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F7049" w14:textId="1A5259C8" w:rsidR="00126001" w:rsidRDefault="00623223">
      <w:pPr>
        <w:pStyle w:val="BodyText"/>
        <w:rPr>
          <w:rFonts w:ascii="Times New Roman"/>
        </w:rPr>
      </w:pPr>
      <w:r>
        <w:rPr>
          <w:noProof/>
          <w:lang w:val="en-AU" w:eastAsia="en-AU"/>
        </w:rPr>
        <w:pict w14:anchorId="5535FC3B">
          <v:rect id="_x0000_s1033" style="position:absolute;margin-left:-15.5pt;margin-top:1.35pt;width:564.1pt;height:192.45pt;z-index:-15778304" o:regroupid="1" fillcolor="#003b45" stroked="f"/>
        </w:pict>
      </w:r>
    </w:p>
    <w:p w14:paraId="6E735258" w14:textId="77777777" w:rsidR="00126001" w:rsidRDefault="00126001">
      <w:pPr>
        <w:pStyle w:val="BodyText"/>
        <w:rPr>
          <w:rFonts w:ascii="Times New Roman"/>
        </w:rPr>
      </w:pPr>
    </w:p>
    <w:p w14:paraId="592AF227" w14:textId="5A71FC69" w:rsidR="00126001" w:rsidRDefault="00623223">
      <w:pPr>
        <w:pStyle w:val="BodyText"/>
        <w:rPr>
          <w:rFonts w:ascii="Times New Roman"/>
        </w:rPr>
      </w:pPr>
      <w:r>
        <w:rPr>
          <w:rFonts w:ascii="Times New Roman"/>
          <w:noProof/>
          <w:lang w:val="en-AU" w:eastAsia="en-AU"/>
        </w:rPr>
        <w:pict w14:anchorId="61ED238E">
          <v:shapetype id="_x0000_t202" coordsize="21600,21600" o:spt="202" path="m,l,21600r21600,l21600,xe">
            <v:stroke joinstyle="miter"/>
            <v:path gradientshapeok="t" o:connecttype="rect"/>
          </v:shapetype>
          <v:shape id="_x0000_s1028" type="#_x0000_t202" style="position:absolute;margin-left:475.5pt;margin-top:1pt;width:56.65pt;height:12.3pt;z-index:-15773184" o:regroupid="1" filled="f" stroked="f">
            <v:textbox style="mso-next-textbox:#_x0000_s1028" inset="0,0,0,0">
              <w:txbxContent>
                <w:p w14:paraId="56A86288" w14:textId="62EBC5C6" w:rsidR="00126001" w:rsidRDefault="0061310B">
                  <w:pPr>
                    <w:spacing w:line="246" w:lineRule="exact"/>
                    <w:rPr>
                      <w:b/>
                    </w:rPr>
                  </w:pPr>
                  <w:r>
                    <w:rPr>
                      <w:b/>
                      <w:color w:val="FFFFFF"/>
                    </w:rPr>
                    <w:t xml:space="preserve">Fact </w:t>
                  </w:r>
                  <w:r w:rsidR="009E2E28">
                    <w:rPr>
                      <w:b/>
                      <w:color w:val="FFFFFF"/>
                    </w:rPr>
                    <w:t>s</w:t>
                  </w:r>
                  <w:r>
                    <w:rPr>
                      <w:b/>
                      <w:color w:val="FFFFFF"/>
                    </w:rPr>
                    <w:t>heet</w:t>
                  </w:r>
                </w:p>
              </w:txbxContent>
            </v:textbox>
          </v:shape>
        </w:pict>
      </w:r>
      <w:r>
        <w:rPr>
          <w:rFonts w:ascii="Times New Roman"/>
          <w:noProof/>
          <w:lang w:val="en-AU" w:eastAsia="en-AU"/>
        </w:rPr>
        <w:pict w14:anchorId="0E407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6.6pt;margin-top:1.8pt;width:154.3pt;height:44.6pt;z-index:-15774208" o:regroupid="1">
            <v:imagedata r:id="rId5" o:title=""/>
          </v:shape>
        </w:pict>
      </w:r>
    </w:p>
    <w:p w14:paraId="5F98A97E" w14:textId="6F053A91" w:rsidR="00126001" w:rsidRDefault="00623223">
      <w:pPr>
        <w:pStyle w:val="BodyText"/>
        <w:rPr>
          <w:rFonts w:ascii="Times New Roman"/>
        </w:rPr>
      </w:pPr>
      <w:r>
        <w:rPr>
          <w:rFonts w:ascii="Times New Roman"/>
          <w:noProof/>
          <w:lang w:val="en-AU" w:eastAsia="en-AU"/>
        </w:rPr>
        <w:pict w14:anchorId="36A4BA99">
          <v:line id="_x0000_s1030" style="position:absolute;z-index:-15775232" from="475.5pt,5.1pt" to="548.65pt,5.1pt" o:regroupid="1" strokecolor="#bfd22b" strokeweight="1pt"/>
        </w:pict>
      </w:r>
    </w:p>
    <w:p w14:paraId="7EAB331E" w14:textId="77777777" w:rsidR="00126001" w:rsidRDefault="00126001">
      <w:pPr>
        <w:pStyle w:val="BodyText"/>
        <w:rPr>
          <w:rFonts w:ascii="Times New Roman"/>
        </w:rPr>
      </w:pPr>
    </w:p>
    <w:p w14:paraId="08D4F8C4" w14:textId="77777777" w:rsidR="00126001" w:rsidRDefault="00126001">
      <w:pPr>
        <w:pStyle w:val="BodyText"/>
        <w:rPr>
          <w:rFonts w:ascii="Times New Roman"/>
        </w:rPr>
      </w:pPr>
    </w:p>
    <w:p w14:paraId="6D583C36" w14:textId="77777777" w:rsidR="00126001" w:rsidRDefault="00126001">
      <w:pPr>
        <w:pStyle w:val="BodyText"/>
        <w:rPr>
          <w:rFonts w:ascii="Times New Roman"/>
        </w:rPr>
      </w:pPr>
    </w:p>
    <w:p w14:paraId="6D0AC89E" w14:textId="77777777" w:rsidR="00126001" w:rsidRDefault="00126001">
      <w:pPr>
        <w:pStyle w:val="BodyText"/>
        <w:rPr>
          <w:rFonts w:ascii="Times New Roman"/>
        </w:rPr>
      </w:pPr>
    </w:p>
    <w:p w14:paraId="51BF4FE8" w14:textId="77777777" w:rsidR="00126001" w:rsidRDefault="00126001">
      <w:pPr>
        <w:pStyle w:val="BodyText"/>
        <w:rPr>
          <w:rFonts w:ascii="Times New Roman"/>
        </w:rPr>
      </w:pPr>
    </w:p>
    <w:p w14:paraId="33695086" w14:textId="77777777" w:rsidR="00126001" w:rsidRDefault="00126001">
      <w:pPr>
        <w:pStyle w:val="BodyText"/>
        <w:rPr>
          <w:rFonts w:ascii="Times New Roman"/>
        </w:rPr>
      </w:pPr>
    </w:p>
    <w:p w14:paraId="6A42E4F7" w14:textId="6D149DBC" w:rsidR="00126001" w:rsidRDefault="00623223">
      <w:pPr>
        <w:pStyle w:val="BodyText"/>
        <w:rPr>
          <w:rFonts w:ascii="Times New Roman"/>
        </w:rPr>
      </w:pPr>
      <w:r>
        <w:rPr>
          <w:rFonts w:ascii="Times New Roman"/>
          <w:noProof/>
          <w:lang w:val="en-AU" w:eastAsia="en-AU"/>
        </w:rPr>
        <w:pict w14:anchorId="1DE5F771">
          <v:shape id="_x0000_s1027" type="#_x0000_t202" style="position:absolute;margin-left:5.8pt;margin-top:2.2pt;width:504.55pt;height:35.75pt;z-index:-15772160" o:regroupid="1" filled="f" stroked="f">
            <v:textbox style="mso-next-textbox:#_x0000_s1027" inset="0,0,0,0">
              <w:txbxContent>
                <w:p w14:paraId="0B97DD13" w14:textId="191689C2" w:rsidR="0061310B" w:rsidRPr="009E2E28" w:rsidRDefault="0061310B">
                  <w:pPr>
                    <w:spacing w:line="715" w:lineRule="exact"/>
                    <w:rPr>
                      <w:b/>
                      <w:color w:val="FFFFFF"/>
                      <w:sz w:val="56"/>
                      <w:szCs w:val="56"/>
                      <w:lang w:val="en-US"/>
                    </w:rPr>
                  </w:pPr>
                  <w:r w:rsidRPr="009E2E28">
                    <w:rPr>
                      <w:b/>
                      <w:color w:val="FFFFFF"/>
                      <w:sz w:val="56"/>
                      <w:szCs w:val="56"/>
                      <w:lang w:val="en-US"/>
                    </w:rPr>
                    <w:t>Meeting legislative requirements</w:t>
                  </w:r>
                </w:p>
                <w:p w14:paraId="613F781A" w14:textId="767542FD" w:rsidR="00126001" w:rsidRPr="0061310B" w:rsidRDefault="0061310B">
                  <w:pPr>
                    <w:spacing w:line="715" w:lineRule="exact"/>
                    <w:rPr>
                      <w:b/>
                      <w:sz w:val="64"/>
                      <w:lang w:val="en-US"/>
                    </w:rPr>
                  </w:pPr>
                  <w:r>
                    <w:rPr>
                      <w:b/>
                      <w:color w:val="FFFFFF"/>
                      <w:sz w:val="64"/>
                      <w:lang w:val="en-US"/>
                    </w:rPr>
                    <w:t xml:space="preserve"> </w:t>
                  </w:r>
                  <w:proofErr w:type="spellStart"/>
                  <w:r>
                    <w:rPr>
                      <w:b/>
                      <w:color w:val="FFFFFF"/>
                      <w:sz w:val="64"/>
                      <w:lang w:val="en-US"/>
                    </w:rPr>
                    <w:t>reequirements</w:t>
                  </w:r>
                  <w:proofErr w:type="spellEnd"/>
                </w:p>
              </w:txbxContent>
            </v:textbox>
          </v:shape>
        </w:pict>
      </w:r>
    </w:p>
    <w:p w14:paraId="2356D217" w14:textId="1229EA77" w:rsidR="00126001" w:rsidRDefault="00126001">
      <w:pPr>
        <w:pStyle w:val="BodyText"/>
        <w:rPr>
          <w:rFonts w:ascii="Times New Roman"/>
        </w:rPr>
      </w:pPr>
    </w:p>
    <w:p w14:paraId="0C4EBB75" w14:textId="77777777" w:rsidR="00126001" w:rsidRDefault="00126001">
      <w:pPr>
        <w:pStyle w:val="BodyText"/>
        <w:rPr>
          <w:rFonts w:ascii="Times New Roman"/>
        </w:rPr>
      </w:pPr>
    </w:p>
    <w:p w14:paraId="71DD2E89" w14:textId="131A455E" w:rsidR="009E2E28" w:rsidRDefault="00623223" w:rsidP="00905D59">
      <w:pPr>
        <w:pStyle w:val="BodyText"/>
        <w:tabs>
          <w:tab w:val="left" w:pos="3350"/>
          <w:tab w:val="left" w:pos="7137"/>
          <w:tab w:val="left" w:pos="8656"/>
        </w:tabs>
        <w:rPr>
          <w:rFonts w:ascii="Times New Roman"/>
        </w:rPr>
      </w:pPr>
      <w:r>
        <w:rPr>
          <w:rFonts w:ascii="Times New Roman"/>
          <w:noProof/>
          <w:lang w:val="en-AU" w:eastAsia="en-AU"/>
        </w:rPr>
        <w:pict w14:anchorId="71E3EA22">
          <v:shape id="_x0000_s1032" style="position:absolute;margin-left:360.45pt;margin-top:5.7pt;width:188.2pt;height:38.5pt;z-index:-15777280" coordorigin="7831,3389" coordsize="3764,770" o:regroupid="1" path="m11594,3389l7831,4158r3763,l11594,3389xe" fillcolor="#bfd22b" stroked="f">
            <v:path arrowok="t"/>
          </v:shape>
        </w:pict>
      </w:r>
      <w:r w:rsidR="00905D59">
        <w:rPr>
          <w:rFonts w:ascii="Times New Roman"/>
        </w:rPr>
        <w:tab/>
      </w:r>
      <w:r w:rsidR="00905D59">
        <w:rPr>
          <w:rFonts w:ascii="Times New Roman"/>
        </w:rPr>
        <w:tab/>
      </w:r>
      <w:r w:rsidR="00905D59">
        <w:rPr>
          <w:rFonts w:ascii="Times New Roman"/>
        </w:rPr>
        <w:tab/>
      </w:r>
    </w:p>
    <w:p w14:paraId="4D4F3162" w14:textId="01130A26" w:rsidR="009E2E28" w:rsidRDefault="00905D59" w:rsidP="00905D59">
      <w:pPr>
        <w:pStyle w:val="BodyText"/>
        <w:tabs>
          <w:tab w:val="left" w:pos="8656"/>
        </w:tabs>
        <w:rPr>
          <w:rFonts w:ascii="Times New Roman"/>
        </w:rPr>
      </w:pPr>
      <w:r>
        <w:rPr>
          <w:rFonts w:ascii="Times New Roman"/>
        </w:rPr>
        <w:tab/>
      </w:r>
    </w:p>
    <w:p w14:paraId="437A230A" w14:textId="77777777" w:rsidR="00126001" w:rsidRDefault="00126001">
      <w:pPr>
        <w:pStyle w:val="BodyText"/>
        <w:rPr>
          <w:rFonts w:ascii="Times New Roman"/>
        </w:rPr>
      </w:pPr>
    </w:p>
    <w:p w14:paraId="3F9EFE90" w14:textId="4F9A0307" w:rsidR="00126001" w:rsidRDefault="00623223">
      <w:pPr>
        <w:pStyle w:val="BodyText"/>
        <w:rPr>
          <w:rFonts w:ascii="Times New Roman"/>
        </w:rPr>
      </w:pPr>
      <w:r>
        <w:rPr>
          <w:rFonts w:ascii="Times New Roman"/>
          <w:noProof/>
          <w:lang w:val="en-AU" w:eastAsia="en-AU"/>
        </w:rPr>
        <w:pict w14:anchorId="6272F3F0">
          <v:shape id="_x0000_s1031" style="position:absolute;margin-left:-15.5pt;margin-top:9.7pt;width:375.95pt;height:77pt;z-index:-15776256" coordorigin="312,4158" coordsize="7519,1540" o:regroupid="1" path="m7830,4158r-7518,l312,5698,7830,4158xe" fillcolor="#00757a" stroked="f">
            <v:path arrowok="t"/>
          </v:shape>
        </w:pict>
      </w:r>
    </w:p>
    <w:p w14:paraId="5198C289" w14:textId="77777777" w:rsidR="00126001" w:rsidRDefault="00126001">
      <w:pPr>
        <w:pStyle w:val="BodyText"/>
        <w:rPr>
          <w:rFonts w:ascii="Times New Roman"/>
        </w:rPr>
      </w:pPr>
    </w:p>
    <w:p w14:paraId="6C6BF502" w14:textId="77777777" w:rsidR="00126001" w:rsidRDefault="00126001">
      <w:pPr>
        <w:pStyle w:val="BodyText"/>
        <w:rPr>
          <w:rFonts w:ascii="Times New Roman"/>
        </w:rPr>
      </w:pPr>
    </w:p>
    <w:p w14:paraId="04A33582" w14:textId="77777777" w:rsidR="00126001" w:rsidRDefault="00126001">
      <w:pPr>
        <w:pStyle w:val="BodyText"/>
        <w:rPr>
          <w:rFonts w:ascii="Times New Roman"/>
        </w:rPr>
      </w:pPr>
    </w:p>
    <w:p w14:paraId="04485F5F" w14:textId="77777777" w:rsidR="00126001" w:rsidRDefault="00126001">
      <w:pPr>
        <w:pStyle w:val="BodyText"/>
        <w:rPr>
          <w:rFonts w:ascii="Times New Roman"/>
        </w:rPr>
      </w:pPr>
    </w:p>
    <w:p w14:paraId="677F7A41" w14:textId="77777777" w:rsidR="00126001" w:rsidRDefault="00126001">
      <w:pPr>
        <w:pStyle w:val="BodyText"/>
        <w:rPr>
          <w:rFonts w:ascii="Times New Roman"/>
        </w:rPr>
      </w:pPr>
    </w:p>
    <w:p w14:paraId="2081F90A" w14:textId="77777777" w:rsidR="00126001" w:rsidRDefault="00126001">
      <w:pPr>
        <w:pStyle w:val="BodyText"/>
        <w:rPr>
          <w:rFonts w:ascii="Times New Roman"/>
        </w:rPr>
      </w:pPr>
    </w:p>
    <w:p w14:paraId="353BBDEA" w14:textId="77777777" w:rsidR="00126001" w:rsidRDefault="00126001">
      <w:pPr>
        <w:pStyle w:val="BodyText"/>
        <w:spacing w:before="8"/>
        <w:rPr>
          <w:rFonts w:ascii="Times New Roman"/>
          <w:sz w:val="17"/>
        </w:rPr>
      </w:pPr>
    </w:p>
    <w:p w14:paraId="4FF18636" w14:textId="77777777" w:rsidR="00126001" w:rsidRDefault="00623223">
      <w:pPr>
        <w:pStyle w:val="BodyText"/>
        <w:spacing w:line="20" w:lineRule="exact"/>
        <w:ind w:left="7727"/>
        <w:rPr>
          <w:rFonts w:ascii="Times New Roman"/>
          <w:sz w:val="2"/>
        </w:rPr>
      </w:pPr>
      <w:r>
        <w:rPr>
          <w:rFonts w:ascii="Times New Roman"/>
          <w:sz w:val="2"/>
        </w:rPr>
      </w:r>
      <w:r>
        <w:rPr>
          <w:rFonts w:ascii="Times New Roman"/>
          <w:sz w:val="2"/>
        </w:rPr>
        <w:pict w14:anchorId="491C98EE">
          <v:group id="_x0000_s1036" style="width:140.8pt;height:.5pt;mso-position-horizontal-relative:char;mso-position-vertical-relative:line" coordsize="2816,10">
            <v:line id="_x0000_s1037" style="position:absolute" from="0,5" to="2816,5" strokecolor="#bfd22b" strokeweight=".5pt"/>
            <w10:anchorlock/>
          </v:group>
        </w:pict>
      </w:r>
    </w:p>
    <w:p w14:paraId="7FB6950A" w14:textId="77777777" w:rsidR="00126001" w:rsidRDefault="00623223">
      <w:pPr>
        <w:pStyle w:val="BodyText"/>
        <w:spacing w:before="136" w:line="256" w:lineRule="auto"/>
        <w:ind w:left="117" w:right="3497"/>
      </w:pPr>
      <w:r>
        <w:pict w14:anchorId="6923CF1B">
          <v:shape id="_x0000_s1035" type="#_x0000_t202" style="position:absolute;left:0;text-align:left;margin-left:417.65pt;margin-top:8.45pt;width:140.8pt;height:238.1pt;z-index:15730176;mso-position-horizontal-relative:page" fillcolor="#eee" stroked="f">
            <v:textbox style="mso-next-textbox:#_x0000_s1035" inset="0,0,0,0">
              <w:txbxContent>
                <w:p w14:paraId="5A45B3FF" w14:textId="77777777" w:rsidR="00126001" w:rsidRDefault="00126001">
                  <w:pPr>
                    <w:pStyle w:val="BodyText"/>
                    <w:spacing w:before="10"/>
                    <w:rPr>
                      <w:b/>
                      <w:sz w:val="25"/>
                    </w:rPr>
                  </w:pPr>
                </w:p>
                <w:p w14:paraId="3F172E2E" w14:textId="77777777" w:rsidR="00126001" w:rsidRDefault="0061310B">
                  <w:pPr>
                    <w:pStyle w:val="BodyText"/>
                    <w:spacing w:line="256" w:lineRule="auto"/>
                    <w:ind w:left="340" w:right="373"/>
                  </w:pPr>
                  <w:r>
                    <w:t xml:space="preserve">Standard 1.6 of the Australian Professional Standards for </w:t>
                  </w:r>
                  <w:r>
                    <w:rPr>
                      <w:spacing w:val="-4"/>
                    </w:rPr>
                    <w:t xml:space="preserve">Teachers </w:t>
                  </w:r>
                  <w:r>
                    <w:t xml:space="preserve">(the Standards) addresses the obligations of teachers to understand and meaningfully implement in their practice the DSE and any other relevant jurisdictional </w:t>
                  </w:r>
                  <w:r>
                    <w:rPr>
                      <w:spacing w:val="-3"/>
                    </w:rPr>
                    <w:t xml:space="preserve">policy. </w:t>
                  </w:r>
                  <w:r>
                    <w:t>Standard 4.1 ensure that teachers are equipped to ensure inclusive student participation in their classrooms.</w:t>
                  </w:r>
                </w:p>
              </w:txbxContent>
            </v:textbox>
            <w10:wrap anchorx="page"/>
          </v:shape>
        </w:pict>
      </w:r>
      <w:r w:rsidR="0061310B">
        <w:t>The Australian Government supports the right of children with disability to have the same educational opportunities as other children. This concept is reflected in the Disability Discrimination Act 1992 (DDA).</w:t>
      </w:r>
    </w:p>
    <w:p w14:paraId="1A808F28" w14:textId="77777777" w:rsidR="00126001" w:rsidRDefault="0061310B">
      <w:pPr>
        <w:pStyle w:val="BodyText"/>
        <w:spacing w:before="170" w:line="256" w:lineRule="auto"/>
        <w:ind w:left="117" w:right="3497"/>
      </w:pPr>
      <w:r>
        <w:t>All state and territory education providers, including government and non- government schools, must comply with the DDA and the Disability Standards for Education 2005 (DSE) therein, as well as the relevant disability discrimination legislation of their state or territory.</w:t>
      </w:r>
    </w:p>
    <w:p w14:paraId="5100A202" w14:textId="77777777" w:rsidR="00126001" w:rsidRDefault="0061310B">
      <w:pPr>
        <w:pStyle w:val="BodyText"/>
        <w:spacing w:before="170" w:line="256" w:lineRule="auto"/>
        <w:ind w:left="117" w:right="3497"/>
      </w:pPr>
      <w:r>
        <w:t>As a teacher, the DSE clarify the obligations of education and training providers and the respective role a teacher will play in supporting the standards.</w:t>
      </w:r>
    </w:p>
    <w:p w14:paraId="20541493" w14:textId="77777777" w:rsidR="00126001" w:rsidRDefault="0061310B">
      <w:pPr>
        <w:pStyle w:val="BodyText"/>
        <w:spacing w:before="169"/>
        <w:ind w:left="117"/>
      </w:pPr>
      <w:r>
        <w:t>Some of the areas covered in the DSE which teachers must be aware of are:</w:t>
      </w:r>
    </w:p>
    <w:p w14:paraId="54A609D1" w14:textId="77777777" w:rsidR="00126001" w:rsidRDefault="0061310B">
      <w:pPr>
        <w:pStyle w:val="ListParagraph"/>
        <w:numPr>
          <w:ilvl w:val="0"/>
          <w:numId w:val="1"/>
        </w:numPr>
        <w:tabs>
          <w:tab w:val="left" w:pos="497"/>
        </w:tabs>
        <w:rPr>
          <w:sz w:val="20"/>
        </w:rPr>
      </w:pPr>
      <w:r>
        <w:rPr>
          <w:sz w:val="20"/>
        </w:rPr>
        <w:t>the rights of students with</w:t>
      </w:r>
      <w:r>
        <w:rPr>
          <w:spacing w:val="-3"/>
          <w:sz w:val="20"/>
        </w:rPr>
        <w:t xml:space="preserve"> </w:t>
      </w:r>
      <w:r>
        <w:rPr>
          <w:sz w:val="20"/>
        </w:rPr>
        <w:t>disabilities;</w:t>
      </w:r>
    </w:p>
    <w:p w14:paraId="00D37C88" w14:textId="77777777" w:rsidR="00126001" w:rsidRDefault="0061310B">
      <w:pPr>
        <w:pStyle w:val="ListParagraph"/>
        <w:numPr>
          <w:ilvl w:val="0"/>
          <w:numId w:val="1"/>
        </w:numPr>
        <w:tabs>
          <w:tab w:val="left" w:pos="497"/>
        </w:tabs>
        <w:rPr>
          <w:sz w:val="20"/>
        </w:rPr>
      </w:pPr>
      <w:r>
        <w:rPr>
          <w:sz w:val="20"/>
        </w:rPr>
        <w:t>standards for enrolment, participation, curriculum, and support services;</w:t>
      </w:r>
      <w:r>
        <w:rPr>
          <w:spacing w:val="-6"/>
          <w:sz w:val="20"/>
        </w:rPr>
        <w:t xml:space="preserve"> </w:t>
      </w:r>
      <w:r>
        <w:rPr>
          <w:sz w:val="20"/>
        </w:rPr>
        <w:t>and</w:t>
      </w:r>
    </w:p>
    <w:p w14:paraId="4C5D2C92" w14:textId="77777777" w:rsidR="00126001" w:rsidRDefault="0061310B">
      <w:pPr>
        <w:pStyle w:val="ListParagraph"/>
        <w:numPr>
          <w:ilvl w:val="0"/>
          <w:numId w:val="1"/>
        </w:numPr>
        <w:tabs>
          <w:tab w:val="left" w:pos="497"/>
        </w:tabs>
        <w:spacing w:line="256" w:lineRule="auto"/>
        <w:ind w:right="3577"/>
        <w:rPr>
          <w:sz w:val="20"/>
        </w:rPr>
      </w:pPr>
      <w:r>
        <w:rPr>
          <w:sz w:val="20"/>
        </w:rPr>
        <w:t>obligations to make reasonable adjustments where necessary to ensure full participation of students with</w:t>
      </w:r>
      <w:r>
        <w:rPr>
          <w:spacing w:val="-5"/>
          <w:sz w:val="20"/>
        </w:rPr>
        <w:t xml:space="preserve"> </w:t>
      </w:r>
      <w:r>
        <w:rPr>
          <w:sz w:val="20"/>
        </w:rPr>
        <w:t>disabilities.</w:t>
      </w:r>
    </w:p>
    <w:p w14:paraId="2D83BB9A" w14:textId="77777777" w:rsidR="00126001" w:rsidRDefault="00126001">
      <w:pPr>
        <w:pStyle w:val="BodyText"/>
        <w:spacing w:before="4"/>
        <w:rPr>
          <w:sz w:val="31"/>
        </w:rPr>
      </w:pPr>
    </w:p>
    <w:p w14:paraId="31C0CABA" w14:textId="77777777" w:rsidR="00126001" w:rsidRDefault="00623223">
      <w:pPr>
        <w:pStyle w:val="Heading1"/>
      </w:pPr>
      <w:r>
        <w:pict w14:anchorId="1DCD2730">
          <v:line id="_x0000_s1034" style="position:absolute;left:0;text-align:left;z-index:15729664;mso-position-horizontal-relative:page" from="417.65pt,7.75pt" to="558.4pt,7.75pt" strokecolor="#bfd22b" strokeweight=".5pt">
            <w10:wrap anchorx="page"/>
          </v:line>
        </w:pict>
      </w:r>
      <w:r w:rsidR="0061310B">
        <w:rPr>
          <w:color w:val="00757A"/>
        </w:rPr>
        <w:t>Rights of students with disabilities</w:t>
      </w:r>
    </w:p>
    <w:p w14:paraId="4C2E1BDC" w14:textId="77777777" w:rsidR="00126001" w:rsidRDefault="0061310B">
      <w:pPr>
        <w:pStyle w:val="BodyText"/>
        <w:spacing w:before="108" w:line="256" w:lineRule="auto"/>
        <w:ind w:left="117" w:right="3698"/>
      </w:pPr>
      <w:r>
        <w:t>The DSE state that all students, including those with disabilities, have the right to be treated with dignity and to enjoy the benefits of a supportive educational</w:t>
      </w:r>
    </w:p>
    <w:p w14:paraId="1FEF9C0B" w14:textId="77777777" w:rsidR="00126001" w:rsidRDefault="0061310B">
      <w:pPr>
        <w:pStyle w:val="BodyText"/>
        <w:spacing w:line="256" w:lineRule="auto"/>
        <w:ind w:left="117" w:right="3431"/>
      </w:pPr>
      <w:r>
        <w:t>environment which encourages their equal participation. Students with disabilities should not be victim of discrimination or harassment on the part of school employees, agents, or other students.</w:t>
      </w:r>
    </w:p>
    <w:p w14:paraId="464212A9" w14:textId="1A9CB381" w:rsidR="00126001" w:rsidRDefault="0061310B">
      <w:pPr>
        <w:pStyle w:val="BodyText"/>
        <w:spacing w:before="170" w:line="256" w:lineRule="auto"/>
        <w:ind w:left="117" w:right="3497"/>
      </w:pPr>
      <w:r>
        <w:t xml:space="preserve">You can find further information on the Disability Standards for Education </w:t>
      </w:r>
      <w:hyperlink r:id="rId6">
        <w:r>
          <w:rPr>
            <w:color w:val="00757A"/>
          </w:rPr>
          <w:t>here</w:t>
        </w:r>
      </w:hyperlink>
      <w:r>
        <w:rPr>
          <w:color w:val="00757A"/>
        </w:rPr>
        <w:t xml:space="preserve"> </w:t>
      </w:r>
      <w:r>
        <w:t xml:space="preserve">including practical guides </w:t>
      </w:r>
      <w:r w:rsidR="00057F83">
        <w:t>for</w:t>
      </w:r>
      <w:r>
        <w:t xml:space="preserve"> teachers and exemplars of practice.</w:t>
      </w:r>
    </w:p>
    <w:p w14:paraId="6FD2ADDD" w14:textId="1DA4277C" w:rsidR="00126001" w:rsidRDefault="0061310B">
      <w:pPr>
        <w:pStyle w:val="BodyText"/>
        <w:spacing w:before="169" w:line="256" w:lineRule="auto"/>
        <w:ind w:left="117" w:right="3980"/>
        <w:jc w:val="both"/>
      </w:pPr>
      <w:r>
        <w:rPr>
          <w:spacing w:val="-4"/>
        </w:rPr>
        <w:t xml:space="preserve">Teachers </w:t>
      </w:r>
      <w:r>
        <w:t>considering a reasonable adjustment can obtain information pertaining to a disability provided that this information directly relates to the adjustment and will not be used in a discriminatory fashion.</w:t>
      </w:r>
    </w:p>
    <w:p w14:paraId="0064FAA3" w14:textId="77777777" w:rsidR="00126001" w:rsidRDefault="00126001">
      <w:pPr>
        <w:pStyle w:val="BodyText"/>
        <w:spacing w:before="6"/>
        <w:rPr>
          <w:sz w:val="23"/>
        </w:rPr>
      </w:pPr>
    </w:p>
    <w:p w14:paraId="3CF002BA" w14:textId="77777777" w:rsidR="00126001" w:rsidRDefault="00126001">
      <w:pPr>
        <w:rPr>
          <w:sz w:val="23"/>
        </w:rPr>
        <w:sectPr w:rsidR="00126001">
          <w:type w:val="continuous"/>
          <w:pgSz w:w="11910" w:h="16840"/>
          <w:pgMar w:top="300" w:right="540" w:bottom="280" w:left="620" w:header="720" w:footer="720" w:gutter="0"/>
          <w:cols w:space="720"/>
        </w:sectPr>
      </w:pPr>
    </w:p>
    <w:p w14:paraId="5EA5664C" w14:textId="584B0ECA" w:rsidR="00126001" w:rsidRDefault="0061310B">
      <w:pPr>
        <w:pStyle w:val="Heading1"/>
        <w:spacing w:before="90"/>
      </w:pPr>
      <w:r>
        <w:rPr>
          <w:color w:val="00757A"/>
        </w:rPr>
        <w:t>Professional learning</w:t>
      </w:r>
    </w:p>
    <w:p w14:paraId="0A5259D7" w14:textId="77777777" w:rsidR="00126001" w:rsidRDefault="0061310B">
      <w:pPr>
        <w:pStyle w:val="BodyText"/>
        <w:spacing w:before="108" w:line="256" w:lineRule="auto"/>
        <w:ind w:left="117" w:right="19"/>
      </w:pPr>
      <w:r>
        <w:t>It is the responsibility of all teachers and school leaders to undertake professional learning relating to Standards 1.6 and 4.1. The continued learning and implementation of approaches to supporting students with disabilities through practice continues to enhance the educational experience these students receive.</w:t>
      </w:r>
    </w:p>
    <w:p w14:paraId="144D339F" w14:textId="77777777" w:rsidR="00126001" w:rsidRDefault="0061310B">
      <w:pPr>
        <w:pStyle w:val="BodyText"/>
        <w:rPr>
          <w:sz w:val="26"/>
        </w:rPr>
      </w:pPr>
      <w:r>
        <w:br w:type="column"/>
      </w:r>
    </w:p>
    <w:p w14:paraId="70C21C2C" w14:textId="77777777" w:rsidR="00126001" w:rsidRDefault="00126001">
      <w:pPr>
        <w:pStyle w:val="BodyText"/>
        <w:rPr>
          <w:sz w:val="26"/>
        </w:rPr>
      </w:pPr>
    </w:p>
    <w:p w14:paraId="61BFB3C7" w14:textId="77777777" w:rsidR="00126001" w:rsidRDefault="00126001">
      <w:pPr>
        <w:pStyle w:val="BodyText"/>
        <w:rPr>
          <w:sz w:val="26"/>
        </w:rPr>
      </w:pPr>
    </w:p>
    <w:p w14:paraId="1260B36F" w14:textId="77777777" w:rsidR="00126001" w:rsidRDefault="00126001">
      <w:pPr>
        <w:pStyle w:val="BodyText"/>
        <w:rPr>
          <w:sz w:val="26"/>
        </w:rPr>
      </w:pPr>
    </w:p>
    <w:p w14:paraId="22D07082" w14:textId="77777777" w:rsidR="00126001" w:rsidRDefault="00126001">
      <w:pPr>
        <w:pStyle w:val="BodyText"/>
        <w:spacing w:before="5"/>
        <w:rPr>
          <w:sz w:val="23"/>
        </w:rPr>
      </w:pPr>
    </w:p>
    <w:p w14:paraId="3178F422" w14:textId="77777777" w:rsidR="00126001" w:rsidRDefault="00623223">
      <w:pPr>
        <w:ind w:left="117"/>
        <w:rPr>
          <w:b/>
          <w:sz w:val="24"/>
        </w:rPr>
      </w:pPr>
      <w:hyperlink r:id="rId7">
        <w:r w:rsidR="0061310B">
          <w:rPr>
            <w:b/>
            <w:color w:val="76797B"/>
            <w:sz w:val="24"/>
          </w:rPr>
          <w:t>aitsl.edu.au</w:t>
        </w:r>
      </w:hyperlink>
    </w:p>
    <w:sectPr w:rsidR="00126001">
      <w:type w:val="continuous"/>
      <w:pgSz w:w="11910" w:h="16840"/>
      <w:pgMar w:top="300" w:right="540" w:bottom="280" w:left="620" w:header="720" w:footer="720" w:gutter="0"/>
      <w:cols w:num="2" w:space="720" w:equalWidth="0">
        <w:col w:w="7372" w:space="1739"/>
        <w:col w:w="163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4F628A"/>
    <w:multiLevelType w:val="hybridMultilevel"/>
    <w:tmpl w:val="13CCC5C8"/>
    <w:lvl w:ilvl="0" w:tplc="3D9CDD04">
      <w:numFmt w:val="bullet"/>
      <w:lvlText w:val="•"/>
      <w:lvlJc w:val="left"/>
      <w:pPr>
        <w:ind w:left="497" w:hanging="210"/>
      </w:pPr>
      <w:rPr>
        <w:rFonts w:ascii="Arial" w:eastAsia="Arial" w:hAnsi="Arial" w:cs="Arial" w:hint="default"/>
        <w:w w:val="100"/>
        <w:sz w:val="20"/>
        <w:szCs w:val="20"/>
        <w:lang w:val="en-GB" w:eastAsia="en-US" w:bidi="ar-SA"/>
      </w:rPr>
    </w:lvl>
    <w:lvl w:ilvl="1" w:tplc="8D44065E">
      <w:numFmt w:val="bullet"/>
      <w:lvlText w:val="•"/>
      <w:lvlJc w:val="left"/>
      <w:pPr>
        <w:ind w:left="1524" w:hanging="210"/>
      </w:pPr>
      <w:rPr>
        <w:rFonts w:hint="default"/>
        <w:lang w:val="en-GB" w:eastAsia="en-US" w:bidi="ar-SA"/>
      </w:rPr>
    </w:lvl>
    <w:lvl w:ilvl="2" w:tplc="7D0E12F4">
      <w:numFmt w:val="bullet"/>
      <w:lvlText w:val="•"/>
      <w:lvlJc w:val="left"/>
      <w:pPr>
        <w:ind w:left="2549" w:hanging="210"/>
      </w:pPr>
      <w:rPr>
        <w:rFonts w:hint="default"/>
        <w:lang w:val="en-GB" w:eastAsia="en-US" w:bidi="ar-SA"/>
      </w:rPr>
    </w:lvl>
    <w:lvl w:ilvl="3" w:tplc="A25666B0">
      <w:numFmt w:val="bullet"/>
      <w:lvlText w:val="•"/>
      <w:lvlJc w:val="left"/>
      <w:pPr>
        <w:ind w:left="3573" w:hanging="210"/>
      </w:pPr>
      <w:rPr>
        <w:rFonts w:hint="default"/>
        <w:lang w:val="en-GB" w:eastAsia="en-US" w:bidi="ar-SA"/>
      </w:rPr>
    </w:lvl>
    <w:lvl w:ilvl="4" w:tplc="01DEDA38">
      <w:numFmt w:val="bullet"/>
      <w:lvlText w:val="•"/>
      <w:lvlJc w:val="left"/>
      <w:pPr>
        <w:ind w:left="4598" w:hanging="210"/>
      </w:pPr>
      <w:rPr>
        <w:rFonts w:hint="default"/>
        <w:lang w:val="en-GB" w:eastAsia="en-US" w:bidi="ar-SA"/>
      </w:rPr>
    </w:lvl>
    <w:lvl w:ilvl="5" w:tplc="4776C770">
      <w:numFmt w:val="bullet"/>
      <w:lvlText w:val="•"/>
      <w:lvlJc w:val="left"/>
      <w:pPr>
        <w:ind w:left="5622" w:hanging="210"/>
      </w:pPr>
      <w:rPr>
        <w:rFonts w:hint="default"/>
        <w:lang w:val="en-GB" w:eastAsia="en-US" w:bidi="ar-SA"/>
      </w:rPr>
    </w:lvl>
    <w:lvl w:ilvl="6" w:tplc="C5248816">
      <w:numFmt w:val="bullet"/>
      <w:lvlText w:val="•"/>
      <w:lvlJc w:val="left"/>
      <w:pPr>
        <w:ind w:left="6647" w:hanging="210"/>
      </w:pPr>
      <w:rPr>
        <w:rFonts w:hint="default"/>
        <w:lang w:val="en-GB" w:eastAsia="en-US" w:bidi="ar-SA"/>
      </w:rPr>
    </w:lvl>
    <w:lvl w:ilvl="7" w:tplc="1E4825EE">
      <w:numFmt w:val="bullet"/>
      <w:lvlText w:val="•"/>
      <w:lvlJc w:val="left"/>
      <w:pPr>
        <w:ind w:left="7671" w:hanging="210"/>
      </w:pPr>
      <w:rPr>
        <w:rFonts w:hint="default"/>
        <w:lang w:val="en-GB" w:eastAsia="en-US" w:bidi="ar-SA"/>
      </w:rPr>
    </w:lvl>
    <w:lvl w:ilvl="8" w:tplc="5D96D7FC">
      <w:numFmt w:val="bullet"/>
      <w:lvlText w:val="•"/>
      <w:lvlJc w:val="left"/>
      <w:pPr>
        <w:ind w:left="8696" w:hanging="210"/>
      </w:pPr>
      <w:rPr>
        <w:rFonts w:hint="default"/>
        <w:lang w:val="en-GB"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126001"/>
    <w:rsid w:val="00057F83"/>
    <w:rsid w:val="00126001"/>
    <w:rsid w:val="0061310B"/>
    <w:rsid w:val="00623223"/>
    <w:rsid w:val="00905D59"/>
    <w:rsid w:val="009E2E28"/>
    <w:rsid w:val="00CF3A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9">
      <o:colormenu v:ext="edit" fillcolor="none"/>
    </o:shapedefaults>
    <o:shapelayout v:ext="edit">
      <o:idmap v:ext="edit" data="1"/>
      <o:regrouptable v:ext="edit">
        <o:entry new="1" old="0"/>
      </o:regrouptable>
    </o:shapelayout>
  </w:shapeDefaults>
  <w:decimalSymbol w:val="."/>
  <w:listSeparator w:val=","/>
  <w14:docId w14:val="5CBD74E4"/>
  <w15:docId w15:val="{FC954ADA-4C3F-43BD-99DC-363E7A261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1"/>
      <w:ind w:left="117"/>
      <w:outlineLvl w:val="0"/>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86"/>
      <w:ind w:left="497" w:hanging="21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itsl.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ucation.gov.au/disability-standards-education-2005"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Elston</cp:lastModifiedBy>
  <cp:revision>7</cp:revision>
  <dcterms:created xsi:type="dcterms:W3CDTF">2020-11-26T03:57:00Z</dcterms:created>
  <dcterms:modified xsi:type="dcterms:W3CDTF">2020-11-26T05:52:00Z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2020-11-25T00:00:00Z</vt:filetime>
  </property>
  <property fmtid="{D5CDD505-2E9C-101B-9397-08002B2CF9AE}" pid="3" name="Creator">
    <vt:lpwstr>Adobe InDesign 15.1 (Macintosh)</vt:lpwstr>
  </property>
  <property fmtid="{D5CDD505-2E9C-101B-9397-08002B2CF9AE}" pid="4" name="LastSaved">
    <vt:filetime>2020-11-24T00:00:00Z</vt:filetime>
  </property>
</Properties>
</file>