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3A8E2" w14:textId="6B686CBF" w:rsidR="00DF1429" w:rsidRDefault="00F446E3" w:rsidP="00F446E3">
      <w:r w:rsidRPr="003E5390">
        <w:rPr>
          <w:noProof/>
          <w:lang w:eastAsia="en-AU"/>
        </w:rPr>
        <w:drawing>
          <wp:anchor distT="0" distB="0" distL="114300" distR="114300" simplePos="0" relativeHeight="251651584" behindDoc="0" locked="1" layoutInCell="1" allowOverlap="1" wp14:anchorId="075B6EA6" wp14:editId="31E91FBB">
            <wp:simplePos x="0" y="0"/>
            <wp:positionH relativeFrom="page">
              <wp:posOffset>5448300</wp:posOffset>
            </wp:positionH>
            <wp:positionV relativeFrom="page">
              <wp:posOffset>424815</wp:posOffset>
            </wp:positionV>
            <wp:extent cx="1738630" cy="1619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TSL logo (stacked GRADIENT).jpg"/>
                    <pic:cNvPicPr/>
                  </pic:nvPicPr>
                  <pic:blipFill>
                    <a:blip r:embed="rId8">
                      <a:extLst>
                        <a:ext uri="{28A0092B-C50C-407E-A947-70E740481C1C}">
                          <a14:useLocalDpi xmlns:a14="http://schemas.microsoft.com/office/drawing/2010/main" val="0"/>
                        </a:ext>
                      </a:extLst>
                    </a:blip>
                    <a:stretch>
                      <a:fillRect/>
                    </a:stretch>
                  </pic:blipFill>
                  <pic:spPr>
                    <a:xfrm>
                      <a:off x="0" y="0"/>
                      <a:ext cx="1738630" cy="1619885"/>
                    </a:xfrm>
                    <a:prstGeom prst="rect">
                      <a:avLst/>
                    </a:prstGeom>
                  </pic:spPr>
                </pic:pic>
              </a:graphicData>
            </a:graphic>
          </wp:anchor>
        </w:drawing>
      </w:r>
    </w:p>
    <w:p w14:paraId="0E77BC0D" w14:textId="5073D7B2" w:rsidR="002C7628" w:rsidRPr="002C7628" w:rsidRDefault="006052F1" w:rsidP="00265D0B">
      <w:pPr>
        <w:spacing w:before="0" w:line="259" w:lineRule="auto"/>
      </w:pPr>
      <w:r w:rsidRPr="003E5390">
        <w:rPr>
          <w:noProof/>
          <w:lang w:eastAsia="en-AU"/>
        </w:rPr>
        <w:drawing>
          <wp:anchor distT="0" distB="0" distL="114300" distR="114300" simplePos="0" relativeHeight="251650560" behindDoc="0" locked="0" layoutInCell="1" allowOverlap="0" wp14:anchorId="21D60F3A" wp14:editId="09D5B781">
            <wp:simplePos x="0" y="0"/>
            <wp:positionH relativeFrom="margin">
              <wp:posOffset>-711200</wp:posOffset>
            </wp:positionH>
            <wp:positionV relativeFrom="page">
              <wp:posOffset>4520565</wp:posOffset>
            </wp:positionV>
            <wp:extent cx="7141845" cy="4295775"/>
            <wp:effectExtent l="0" t="0" r="190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TSL_089.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141845" cy="4295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V relativeFrom="margin">
              <wp14:pctHeight>0</wp14:pctHeight>
            </wp14:sizeRelV>
          </wp:anchor>
        </w:drawing>
      </w:r>
      <w:r w:rsidR="005A355B" w:rsidRPr="003E5390">
        <w:rPr>
          <w:noProof/>
          <w:lang w:eastAsia="en-AU"/>
        </w:rPr>
        <w:drawing>
          <wp:anchor distT="0" distB="0" distL="114300" distR="114300" simplePos="0" relativeHeight="251663872" behindDoc="0" locked="0" layoutInCell="1" allowOverlap="1" wp14:anchorId="46A23023" wp14:editId="0726B942">
            <wp:simplePos x="0" y="0"/>
            <wp:positionH relativeFrom="margin">
              <wp:posOffset>-713117</wp:posOffset>
            </wp:positionH>
            <wp:positionV relativeFrom="paragraph">
              <wp:posOffset>6861798</wp:posOffset>
            </wp:positionV>
            <wp:extent cx="7152640" cy="20237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dtransparent.png"/>
                    <pic:cNvPicPr/>
                  </pic:nvPicPr>
                  <pic:blipFill>
                    <a:blip r:embed="rId10">
                      <a:extLst>
                        <a:ext uri="{28A0092B-C50C-407E-A947-70E740481C1C}">
                          <a14:useLocalDpi xmlns:a14="http://schemas.microsoft.com/office/drawing/2010/main" val="0"/>
                        </a:ext>
                      </a:extLst>
                    </a:blip>
                    <a:stretch>
                      <a:fillRect/>
                    </a:stretch>
                  </pic:blipFill>
                  <pic:spPr>
                    <a:xfrm>
                      <a:off x="0" y="0"/>
                      <a:ext cx="7155372" cy="2024518"/>
                    </a:xfrm>
                    <a:prstGeom prst="rect">
                      <a:avLst/>
                    </a:prstGeom>
                  </pic:spPr>
                </pic:pic>
              </a:graphicData>
            </a:graphic>
            <wp14:sizeRelH relativeFrom="margin">
              <wp14:pctWidth>0</wp14:pctWidth>
            </wp14:sizeRelH>
            <wp14:sizeRelV relativeFrom="margin">
              <wp14:pctHeight>0</wp14:pctHeight>
            </wp14:sizeRelV>
          </wp:anchor>
        </w:drawing>
      </w:r>
      <w:r w:rsidR="00913215">
        <w:rPr>
          <w:noProof/>
          <w:lang w:eastAsia="en-AU"/>
        </w:rPr>
        <mc:AlternateContent>
          <mc:Choice Requires="wps">
            <w:drawing>
              <wp:anchor distT="45720" distB="45720" distL="114300" distR="114300" simplePos="0" relativeHeight="251668992" behindDoc="0" locked="0" layoutInCell="1" allowOverlap="1" wp14:anchorId="3A724904" wp14:editId="7A1CC3B5">
                <wp:simplePos x="0" y="0"/>
                <wp:positionH relativeFrom="margin">
                  <wp:posOffset>-496404</wp:posOffset>
                </wp:positionH>
                <wp:positionV relativeFrom="paragraph">
                  <wp:posOffset>1210199</wp:posOffset>
                </wp:positionV>
                <wp:extent cx="6330508" cy="1461052"/>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508" cy="1461052"/>
                        </a:xfrm>
                        <a:prstGeom prst="rect">
                          <a:avLst/>
                        </a:prstGeom>
                        <a:noFill/>
                        <a:ln w="9525">
                          <a:noFill/>
                          <a:miter lim="800000"/>
                          <a:headEnd/>
                          <a:tailEnd/>
                        </a:ln>
                      </wps:spPr>
                      <wps:txbx>
                        <w:txbxContent>
                          <w:p w14:paraId="43120D99" w14:textId="052A18FD" w:rsidR="00A90A65" w:rsidRPr="005550E5" w:rsidRDefault="00A90A65" w:rsidP="00913215">
                            <w:pPr>
                              <w:pStyle w:val="TitleHeading1"/>
                              <w:rPr>
                                <w:sz w:val="54"/>
                                <w:szCs w:val="54"/>
                              </w:rPr>
                            </w:pPr>
                            <w:r w:rsidRPr="007A2917">
                              <w:rPr>
                                <w:sz w:val="54"/>
                                <w:szCs w:val="54"/>
                              </w:rPr>
                              <w:t>Enabling H</w:t>
                            </w:r>
                            <w:r w:rsidRPr="005550E5">
                              <w:rPr>
                                <w:sz w:val="54"/>
                                <w:szCs w:val="54"/>
                              </w:rPr>
                              <w:t xml:space="preserve">igh Quality Professional Learning </w:t>
                            </w:r>
                          </w:p>
                          <w:p w14:paraId="480A451F" w14:textId="249E9F11" w:rsidR="00A90A65" w:rsidRDefault="00A90A65" w:rsidP="00913215">
                            <w:pPr>
                              <w:pStyle w:val="TitleSub-heading"/>
                            </w:pPr>
                            <w:r>
                              <w:t xml:space="preserve">A practical </w:t>
                            </w:r>
                            <w:r w:rsidRPr="007A2917">
                              <w:t>guide for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724904" id="_x0000_t202" coordsize="21600,21600" o:spt="202" path="m,l,21600r21600,l21600,xe">
                <v:stroke joinstyle="miter"/>
                <v:path gradientshapeok="t" o:connecttype="rect"/>
              </v:shapetype>
              <v:shape id="Text Box 2" o:spid="_x0000_s1026" type="#_x0000_t202" style="position:absolute;margin-left:-39.1pt;margin-top:95.3pt;width:498.45pt;height:115.0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" filled="f" stroked="f">
                <v:textbox>
                  <w:txbxContent>
                    <w:p w14:paraId="43120D99" w14:textId="052A18FD" w:rsidR="00A90A65" w:rsidRPr="005550E5" w:rsidRDefault="00A90A65" w:rsidP="00913215">
                      <w:pPr>
                        <w:pStyle w:val="TitleHeading1"/>
                        <w:rPr>
                          <w:sz w:val="54"/>
                          <w:szCs w:val="54"/>
                        </w:rPr>
                      </w:pPr>
                      <w:r w:rsidRPr="007A2917">
                        <w:rPr>
                          <w:sz w:val="54"/>
                          <w:szCs w:val="54"/>
                        </w:rPr>
                        <w:t>Enabling H</w:t>
                      </w:r>
                      <w:r w:rsidRPr="005550E5">
                        <w:rPr>
                          <w:sz w:val="54"/>
                          <w:szCs w:val="54"/>
                        </w:rPr>
                        <w:t xml:space="preserve">igh Quality Professional Learning </w:t>
                      </w:r>
                    </w:p>
                    <w:p w14:paraId="480A451F" w14:textId="249E9F11" w:rsidR="00A90A65" w:rsidRDefault="00A90A65" w:rsidP="00913215">
                      <w:pPr>
                        <w:pStyle w:val="TitleSub-heading"/>
                      </w:pPr>
                      <w:r>
                        <w:t xml:space="preserve">A practical </w:t>
                      </w:r>
                      <w:r w:rsidRPr="007A2917">
                        <w:t>guide for leaders</w:t>
                      </w:r>
                    </w:p>
                  </w:txbxContent>
                </v:textbox>
                <w10:wrap anchorx="margin"/>
              </v:shape>
            </w:pict>
          </mc:Fallback>
        </mc:AlternateContent>
      </w:r>
    </w:p>
    <w:p w14:paraId="2275FABE" w14:textId="77777777" w:rsidR="005842F8" w:rsidRPr="003E5390" w:rsidRDefault="005842F8" w:rsidP="003E5390">
      <w:pPr>
        <w:sectPr w:rsidR="005842F8" w:rsidRPr="003E5390" w:rsidSect="00E5351B">
          <w:footerReference w:type="default" r:id="rId11"/>
          <w:pgSz w:w="11906" w:h="16838" w:code="9"/>
          <w:pgMar w:top="1440" w:right="1440" w:bottom="1440" w:left="1440" w:header="709" w:footer="515" w:gutter="0"/>
          <w:cols w:space="708"/>
          <w:titlePg/>
          <w:docGrid w:linePitch="360"/>
        </w:sectPr>
      </w:pPr>
    </w:p>
    <w:p w14:paraId="34094056" w14:textId="77777777" w:rsidR="00D05674" w:rsidRDefault="00D05674" w:rsidP="00D05674">
      <w:pPr>
        <w:pStyle w:val="Heading5"/>
        <w:ind w:right="2930"/>
        <w:rPr>
          <w:b w:val="0"/>
          <w:sz w:val="18"/>
          <w:szCs w:val="18"/>
        </w:rPr>
      </w:pPr>
      <w:bookmarkStart w:id="0" w:name="_Toc506543297"/>
    </w:p>
    <w:p w14:paraId="35AD1849" w14:textId="77777777" w:rsidR="00D05674" w:rsidRDefault="00D05674" w:rsidP="00D05674">
      <w:pPr>
        <w:pStyle w:val="Heading5"/>
        <w:ind w:right="2930"/>
        <w:rPr>
          <w:b w:val="0"/>
          <w:sz w:val="18"/>
          <w:szCs w:val="18"/>
        </w:rPr>
      </w:pPr>
    </w:p>
    <w:p w14:paraId="4C896895" w14:textId="77777777" w:rsidR="00D05674" w:rsidRDefault="00D05674" w:rsidP="00D05674">
      <w:pPr>
        <w:pStyle w:val="Heading5"/>
        <w:ind w:right="2930"/>
        <w:rPr>
          <w:b w:val="0"/>
          <w:sz w:val="18"/>
          <w:szCs w:val="18"/>
        </w:rPr>
      </w:pPr>
    </w:p>
    <w:p w14:paraId="4E7E0195" w14:textId="77777777" w:rsidR="00D05674" w:rsidRDefault="00D05674" w:rsidP="00D05674">
      <w:pPr>
        <w:pStyle w:val="Heading5"/>
        <w:ind w:right="2930"/>
        <w:rPr>
          <w:b w:val="0"/>
          <w:sz w:val="18"/>
          <w:szCs w:val="18"/>
        </w:rPr>
      </w:pPr>
    </w:p>
    <w:p w14:paraId="530F88B8" w14:textId="77777777" w:rsidR="00D05674" w:rsidRDefault="00D05674" w:rsidP="00D05674">
      <w:pPr>
        <w:pStyle w:val="Heading5"/>
        <w:ind w:right="2930"/>
        <w:rPr>
          <w:b w:val="0"/>
          <w:sz w:val="18"/>
          <w:szCs w:val="18"/>
        </w:rPr>
      </w:pPr>
    </w:p>
    <w:p w14:paraId="15FCE1A6" w14:textId="77777777" w:rsidR="00D05674" w:rsidRDefault="00D05674" w:rsidP="00D05674">
      <w:pPr>
        <w:pStyle w:val="Heading5"/>
        <w:ind w:right="2930"/>
        <w:rPr>
          <w:b w:val="0"/>
          <w:sz w:val="18"/>
          <w:szCs w:val="18"/>
        </w:rPr>
      </w:pPr>
    </w:p>
    <w:p w14:paraId="216958E0" w14:textId="77777777" w:rsidR="00D05674" w:rsidRDefault="00D05674" w:rsidP="00D05674">
      <w:pPr>
        <w:pStyle w:val="Heading5"/>
        <w:ind w:right="2930"/>
        <w:rPr>
          <w:b w:val="0"/>
          <w:sz w:val="18"/>
          <w:szCs w:val="18"/>
        </w:rPr>
      </w:pPr>
    </w:p>
    <w:p w14:paraId="61834C5C" w14:textId="77777777" w:rsidR="00D05674" w:rsidRDefault="00D05674" w:rsidP="00D05674">
      <w:pPr>
        <w:pStyle w:val="Heading5"/>
        <w:ind w:right="2930"/>
        <w:rPr>
          <w:b w:val="0"/>
          <w:sz w:val="18"/>
          <w:szCs w:val="18"/>
        </w:rPr>
      </w:pPr>
    </w:p>
    <w:p w14:paraId="05154E1A" w14:textId="77777777" w:rsidR="00D05674" w:rsidRDefault="00D05674" w:rsidP="00D05674">
      <w:pPr>
        <w:pStyle w:val="Heading5"/>
        <w:ind w:right="2930"/>
        <w:rPr>
          <w:b w:val="0"/>
          <w:sz w:val="18"/>
          <w:szCs w:val="18"/>
        </w:rPr>
      </w:pPr>
    </w:p>
    <w:p w14:paraId="1D61E568" w14:textId="77777777" w:rsidR="00D05674" w:rsidRDefault="00D05674" w:rsidP="00D05674">
      <w:pPr>
        <w:pStyle w:val="Heading5"/>
        <w:ind w:right="2930"/>
        <w:rPr>
          <w:b w:val="0"/>
          <w:sz w:val="18"/>
          <w:szCs w:val="18"/>
        </w:rPr>
      </w:pPr>
    </w:p>
    <w:p w14:paraId="4FAA95D4" w14:textId="77777777" w:rsidR="00D05674" w:rsidRDefault="00D05674" w:rsidP="00D05674">
      <w:pPr>
        <w:pStyle w:val="Heading5"/>
        <w:ind w:right="2930"/>
        <w:rPr>
          <w:b w:val="0"/>
          <w:sz w:val="18"/>
          <w:szCs w:val="18"/>
        </w:rPr>
      </w:pPr>
    </w:p>
    <w:p w14:paraId="5E42D80E" w14:textId="77777777" w:rsidR="00D05674" w:rsidRDefault="00D05674" w:rsidP="00D05674">
      <w:pPr>
        <w:pStyle w:val="Heading5"/>
        <w:ind w:right="2930"/>
        <w:rPr>
          <w:b w:val="0"/>
          <w:sz w:val="18"/>
          <w:szCs w:val="18"/>
        </w:rPr>
      </w:pPr>
    </w:p>
    <w:p w14:paraId="45677C75" w14:textId="77777777" w:rsidR="00D05674" w:rsidRDefault="00D05674" w:rsidP="00D05674">
      <w:pPr>
        <w:pStyle w:val="Heading5"/>
        <w:ind w:right="2930"/>
        <w:rPr>
          <w:b w:val="0"/>
          <w:sz w:val="18"/>
          <w:szCs w:val="18"/>
        </w:rPr>
      </w:pPr>
    </w:p>
    <w:p w14:paraId="2E1E7982" w14:textId="77777777" w:rsidR="00D05674" w:rsidRDefault="00D05674" w:rsidP="00D05674">
      <w:pPr>
        <w:pStyle w:val="Heading5"/>
        <w:ind w:right="2930"/>
        <w:rPr>
          <w:b w:val="0"/>
          <w:sz w:val="18"/>
          <w:szCs w:val="18"/>
        </w:rPr>
      </w:pPr>
    </w:p>
    <w:p w14:paraId="64B9380D" w14:textId="61F601BA" w:rsidR="00C879DF" w:rsidRPr="00D05674" w:rsidRDefault="00CC0AB8" w:rsidP="00D05674">
      <w:pPr>
        <w:pStyle w:val="Heading5"/>
        <w:ind w:right="2930"/>
        <w:rPr>
          <w:b w:val="0"/>
          <w:color w:val="auto"/>
          <w:sz w:val="18"/>
          <w:szCs w:val="18"/>
        </w:rPr>
      </w:pPr>
      <w:r w:rsidRPr="00D05674">
        <w:rPr>
          <w:b w:val="0"/>
          <w:color w:val="auto"/>
          <w:sz w:val="18"/>
          <w:szCs w:val="18"/>
        </w:rPr>
        <w:t xml:space="preserve">The Australian Institute for Teaching and School Leadership (AITSL) has worked closely with key education stakeholders to develop the </w:t>
      </w:r>
      <w:r w:rsidRPr="00D05674">
        <w:rPr>
          <w:b w:val="0"/>
          <w:i/>
          <w:color w:val="auto"/>
          <w:sz w:val="18"/>
          <w:szCs w:val="18"/>
        </w:rPr>
        <w:t>Enabling High Quality Professional Learning: A practical guide for leaders</w:t>
      </w:r>
      <w:r w:rsidRPr="00D05674">
        <w:rPr>
          <w:b w:val="0"/>
          <w:color w:val="auto"/>
          <w:sz w:val="18"/>
          <w:szCs w:val="18"/>
        </w:rPr>
        <w:t xml:space="preserve"> and the </w:t>
      </w:r>
      <w:r w:rsidRPr="00D05674">
        <w:rPr>
          <w:b w:val="0"/>
          <w:i/>
          <w:color w:val="auto"/>
          <w:sz w:val="18"/>
          <w:szCs w:val="18"/>
        </w:rPr>
        <w:t>High Quality Professional Learning cycle</w:t>
      </w:r>
      <w:r w:rsidRPr="00D05674">
        <w:rPr>
          <w:b w:val="0"/>
          <w:color w:val="auto"/>
          <w:sz w:val="18"/>
          <w:szCs w:val="18"/>
        </w:rPr>
        <w:t>.</w:t>
      </w:r>
      <w:r w:rsidR="00C879DF" w:rsidRPr="00D05674">
        <w:rPr>
          <w:b w:val="0"/>
          <w:color w:val="auto"/>
          <w:sz w:val="18"/>
          <w:szCs w:val="18"/>
        </w:rPr>
        <w:t xml:space="preserve"> These resources outline the key stages in a cycle of High Quality Professional Learning and critical factors that enable it in </w:t>
      </w:r>
      <w:r w:rsidR="00C403D0" w:rsidRPr="00D05674">
        <w:rPr>
          <w:b w:val="0"/>
          <w:color w:val="auto"/>
          <w:sz w:val="18"/>
          <w:szCs w:val="18"/>
        </w:rPr>
        <w:t>schools</w:t>
      </w:r>
      <w:r w:rsidR="00C403D0" w:rsidRPr="00D05674">
        <w:rPr>
          <w:rStyle w:val="FootnoteReference"/>
          <w:b w:val="0"/>
          <w:color w:val="auto"/>
          <w:sz w:val="18"/>
          <w:szCs w:val="18"/>
        </w:rPr>
        <w:footnoteReference w:id="1"/>
      </w:r>
      <w:r w:rsidR="00C879DF" w:rsidRPr="00D05674">
        <w:rPr>
          <w:b w:val="0"/>
          <w:color w:val="auto"/>
          <w:sz w:val="18"/>
          <w:szCs w:val="18"/>
        </w:rPr>
        <w:t>.</w:t>
      </w:r>
    </w:p>
    <w:p w14:paraId="07DAB89C" w14:textId="77777777" w:rsidR="00CA0B96" w:rsidRPr="00D05674" w:rsidRDefault="00C879DF" w:rsidP="00D05674">
      <w:pPr>
        <w:pStyle w:val="Heading5"/>
        <w:ind w:right="2930"/>
        <w:rPr>
          <w:b w:val="0"/>
          <w:color w:val="auto"/>
          <w:sz w:val="18"/>
          <w:szCs w:val="18"/>
        </w:rPr>
      </w:pPr>
      <w:r w:rsidRPr="00D05674">
        <w:rPr>
          <w:b w:val="0"/>
          <w:color w:val="auto"/>
          <w:sz w:val="18"/>
          <w:szCs w:val="18"/>
        </w:rPr>
        <w:t>In developing these resources, AITSL consulted with national and international experts, state and territory education authorities, Catholic and Independent school authorities</w:t>
      </w:r>
      <w:r w:rsidR="00594ACA" w:rsidRPr="00D05674">
        <w:rPr>
          <w:b w:val="0"/>
          <w:color w:val="auto"/>
          <w:sz w:val="18"/>
          <w:szCs w:val="18"/>
        </w:rPr>
        <w:t xml:space="preserve">, and practising teachers and school leaders. </w:t>
      </w:r>
      <w:r w:rsidRPr="00D05674">
        <w:rPr>
          <w:b w:val="0"/>
          <w:color w:val="auto"/>
          <w:sz w:val="18"/>
          <w:szCs w:val="18"/>
        </w:rPr>
        <w:t xml:space="preserve"> </w:t>
      </w:r>
    </w:p>
    <w:p w14:paraId="3E11D88B" w14:textId="77777777" w:rsidR="008B21D0" w:rsidRPr="00D05674" w:rsidRDefault="00CA0B96" w:rsidP="00D05674">
      <w:pPr>
        <w:pStyle w:val="Heading5"/>
        <w:ind w:right="2930"/>
        <w:rPr>
          <w:b w:val="0"/>
          <w:color w:val="auto"/>
          <w:sz w:val="18"/>
          <w:szCs w:val="18"/>
        </w:rPr>
      </w:pPr>
      <w:r w:rsidRPr="00D05674">
        <w:rPr>
          <w:b w:val="0"/>
          <w:color w:val="auto"/>
          <w:sz w:val="18"/>
          <w:szCs w:val="18"/>
        </w:rPr>
        <w:t xml:space="preserve">The Institute’s responsibility to lead this work was endorsed by Education Ministers at the Education Council in April 2017. </w:t>
      </w:r>
    </w:p>
    <w:p w14:paraId="51B3E044" w14:textId="1E885F8E" w:rsidR="00C403D0" w:rsidRPr="00D05674" w:rsidRDefault="00CA0B96" w:rsidP="00D05674">
      <w:pPr>
        <w:pStyle w:val="Heading5"/>
        <w:ind w:right="2930"/>
        <w:rPr>
          <w:b w:val="0"/>
          <w:color w:val="auto"/>
          <w:sz w:val="18"/>
          <w:szCs w:val="18"/>
        </w:rPr>
      </w:pPr>
      <w:r w:rsidRPr="00D05674">
        <w:rPr>
          <w:b w:val="0"/>
          <w:color w:val="auto"/>
          <w:sz w:val="18"/>
          <w:szCs w:val="18"/>
        </w:rPr>
        <w:t>AITSL acknowledges the work states and territories currently undertake to encourage High Quality Professional Learning</w:t>
      </w:r>
      <w:r w:rsidR="0067039A" w:rsidRPr="00D05674">
        <w:rPr>
          <w:b w:val="0"/>
          <w:color w:val="auto"/>
          <w:sz w:val="18"/>
          <w:szCs w:val="18"/>
        </w:rPr>
        <w:t xml:space="preserve">. These supporting resources intend to complement and supplement existing processes across Australia, to ensure a nationally consistent approach to an ongoing and job-embedded professional learning culture in </w:t>
      </w:r>
      <w:r w:rsidR="00C11D73" w:rsidRPr="00D05674">
        <w:rPr>
          <w:b w:val="0"/>
          <w:color w:val="auto"/>
          <w:sz w:val="18"/>
          <w:szCs w:val="18"/>
        </w:rPr>
        <w:t>schools</w:t>
      </w:r>
      <w:r w:rsidR="0067039A" w:rsidRPr="00D05674">
        <w:rPr>
          <w:b w:val="0"/>
          <w:color w:val="auto"/>
          <w:sz w:val="18"/>
          <w:szCs w:val="18"/>
        </w:rPr>
        <w:t>.</w:t>
      </w:r>
    </w:p>
    <w:p w14:paraId="44D5C9D3" w14:textId="65FFEDDC" w:rsidR="00930DF5" w:rsidRDefault="00930DF5" w:rsidP="00C403D0">
      <w:pPr>
        <w:pStyle w:val="Heading5"/>
      </w:pPr>
      <w:r w:rsidRPr="00C879DF">
        <w:br w:type="page"/>
      </w:r>
    </w:p>
    <w:sdt>
      <w:sdtPr>
        <w:rPr>
          <w:rFonts w:eastAsiaTheme="minorHAnsi" w:cstheme="minorBidi"/>
          <w:b w:val="0"/>
          <w:bCs w:val="0"/>
          <w:color w:val="auto"/>
          <w:sz w:val="20"/>
          <w:szCs w:val="22"/>
          <w:lang w:val="en-AU"/>
        </w:rPr>
        <w:id w:val="196127279"/>
        <w:docPartObj>
          <w:docPartGallery w:val="Table of Contents"/>
          <w:docPartUnique/>
        </w:docPartObj>
      </w:sdtPr>
      <w:sdtEndPr/>
      <w:sdtContent>
        <w:p w14:paraId="2E8952B4" w14:textId="77777777" w:rsidR="00930DF5" w:rsidRDefault="00930DF5" w:rsidP="00930DF5">
          <w:pPr>
            <w:pStyle w:val="TOCHeading"/>
          </w:pPr>
          <w:r>
            <w:t>Contents</w:t>
          </w:r>
        </w:p>
        <w:p w14:paraId="65368D7E" w14:textId="1412DA7D" w:rsidR="00930DF5" w:rsidRDefault="00C610CD" w:rsidP="00930DF5">
          <w:pPr>
            <w:pStyle w:val="TOC1"/>
            <w:rPr>
              <w:rFonts w:asciiTheme="minorHAnsi" w:eastAsiaTheme="minorEastAsia" w:hAnsiTheme="minorHAnsi"/>
              <w:color w:val="auto"/>
              <w:sz w:val="22"/>
              <w:lang w:eastAsia="en-AU"/>
            </w:rPr>
          </w:pPr>
          <w:hyperlink w:anchor="_Toc3975860" w:history="1">
            <w:r w:rsidR="00930DF5" w:rsidRPr="00450DBD">
              <w:rPr>
                <w:rStyle w:val="Hyperlink"/>
                <w:u w:val="none"/>
              </w:rPr>
              <w:t>Introduction</w:t>
            </w:r>
            <w:r w:rsidR="00930DF5">
              <w:rPr>
                <w:webHidden/>
              </w:rPr>
              <w:tab/>
            </w:r>
          </w:hyperlink>
          <w:r w:rsidR="00C27D72">
            <w:t>4</w:t>
          </w:r>
          <w:r w:rsidR="00930DF5" w:rsidRPr="003E5390">
            <w:fldChar w:fldCharType="begin"/>
          </w:r>
          <w:r w:rsidR="00930DF5" w:rsidRPr="00127F54">
            <w:instrText xml:space="preserve"> TOC \o "1-3" \h \z \u </w:instrText>
          </w:r>
          <w:r w:rsidR="00930DF5" w:rsidRPr="003E5390">
            <w:fldChar w:fldCharType="separate"/>
          </w:r>
          <w:hyperlink w:anchor="_Toc3975853" w:history="1"/>
        </w:p>
        <w:p w14:paraId="78DF0D43" w14:textId="2F9AB710" w:rsidR="00930DF5" w:rsidRDefault="00C610CD" w:rsidP="00930DF5">
          <w:pPr>
            <w:pStyle w:val="TOC2"/>
            <w:numPr>
              <w:ilvl w:val="0"/>
              <w:numId w:val="0"/>
            </w:numPr>
            <w:ind w:left="493"/>
            <w:rPr>
              <w:rFonts w:asciiTheme="minorHAnsi" w:eastAsiaTheme="minorEastAsia" w:hAnsiTheme="minorHAnsi"/>
              <w:sz w:val="22"/>
              <w:lang w:eastAsia="en-AU"/>
            </w:rPr>
          </w:pPr>
          <w:hyperlink w:anchor="_Toc3975854" w:history="1">
            <w:r w:rsidR="00930DF5">
              <w:rPr>
                <w:rStyle w:val="Hyperlink"/>
              </w:rPr>
              <w:t>Who is this practical guide</w:t>
            </w:r>
            <w:r w:rsidR="00930DF5" w:rsidRPr="00844F54">
              <w:rPr>
                <w:rStyle w:val="Hyperlink"/>
              </w:rPr>
              <w:t xml:space="preserve"> for?</w:t>
            </w:r>
            <w:r w:rsidR="00930DF5">
              <w:rPr>
                <w:webHidden/>
              </w:rPr>
              <w:tab/>
            </w:r>
            <w:r w:rsidR="00C27D72">
              <w:rPr>
                <w:webHidden/>
              </w:rPr>
              <w:t>4</w:t>
            </w:r>
          </w:hyperlink>
        </w:p>
        <w:p w14:paraId="200CB229" w14:textId="51687AD6" w:rsidR="00930DF5" w:rsidRDefault="00C610CD" w:rsidP="00930DF5">
          <w:pPr>
            <w:pStyle w:val="TOC2"/>
            <w:numPr>
              <w:ilvl w:val="0"/>
              <w:numId w:val="0"/>
            </w:numPr>
            <w:ind w:left="493"/>
            <w:rPr>
              <w:rFonts w:asciiTheme="minorHAnsi" w:eastAsiaTheme="minorEastAsia" w:hAnsiTheme="minorHAnsi"/>
              <w:sz w:val="22"/>
              <w:lang w:eastAsia="en-AU"/>
            </w:rPr>
          </w:pPr>
          <w:hyperlink w:anchor="_Toc3975855" w:history="1">
            <w:r w:rsidR="00930DF5" w:rsidRPr="00450DBD">
              <w:rPr>
                <w:rStyle w:val="Hyperlink"/>
              </w:rPr>
              <w:t>What is the purpose of the practical guide?</w:t>
            </w:r>
            <w:r w:rsidR="00930DF5">
              <w:rPr>
                <w:webHidden/>
              </w:rPr>
              <w:tab/>
            </w:r>
            <w:r w:rsidR="00C27D72">
              <w:rPr>
                <w:webHidden/>
              </w:rPr>
              <w:t>4</w:t>
            </w:r>
          </w:hyperlink>
        </w:p>
        <w:p w14:paraId="221B9B40" w14:textId="39FFDCD3" w:rsidR="00930DF5" w:rsidRDefault="00C610CD" w:rsidP="00930DF5">
          <w:pPr>
            <w:pStyle w:val="TOC2"/>
            <w:numPr>
              <w:ilvl w:val="0"/>
              <w:numId w:val="0"/>
            </w:numPr>
            <w:ind w:left="493"/>
            <w:rPr>
              <w:rFonts w:asciiTheme="minorHAnsi" w:eastAsiaTheme="minorEastAsia" w:hAnsiTheme="minorHAnsi"/>
              <w:sz w:val="22"/>
              <w:lang w:eastAsia="en-AU"/>
            </w:rPr>
          </w:pPr>
          <w:hyperlink w:anchor="_Toc3975856" w:history="1">
            <w:r w:rsidR="00930DF5">
              <w:rPr>
                <w:rStyle w:val="Hyperlink"/>
              </w:rPr>
              <w:t>How can the practical guide help me</w:t>
            </w:r>
            <w:r w:rsidR="00930DF5" w:rsidRPr="00844F54">
              <w:rPr>
                <w:rStyle w:val="Hyperlink"/>
              </w:rPr>
              <w:t>?</w:t>
            </w:r>
            <w:r w:rsidR="00930DF5">
              <w:rPr>
                <w:webHidden/>
              </w:rPr>
              <w:tab/>
            </w:r>
            <w:r w:rsidR="00C27D72">
              <w:rPr>
                <w:webHidden/>
              </w:rPr>
              <w:t>4</w:t>
            </w:r>
          </w:hyperlink>
        </w:p>
        <w:p w14:paraId="181F9D40" w14:textId="27BA63B2" w:rsidR="00930DF5" w:rsidRDefault="00C610CD" w:rsidP="00930DF5">
          <w:pPr>
            <w:pStyle w:val="TOC2"/>
            <w:numPr>
              <w:ilvl w:val="0"/>
              <w:numId w:val="0"/>
            </w:numPr>
            <w:ind w:left="493"/>
            <w:rPr>
              <w:rFonts w:asciiTheme="minorHAnsi" w:eastAsiaTheme="minorEastAsia" w:hAnsiTheme="minorHAnsi"/>
              <w:sz w:val="22"/>
              <w:lang w:eastAsia="en-AU"/>
            </w:rPr>
          </w:pPr>
          <w:hyperlink w:anchor="_Toc3975857" w:history="1">
            <w:r w:rsidR="00930DF5" w:rsidRPr="00844F54">
              <w:rPr>
                <w:rStyle w:val="Hyperlink"/>
              </w:rPr>
              <w:t>How do I use the practical guide?</w:t>
            </w:r>
            <w:r w:rsidR="00930DF5">
              <w:rPr>
                <w:webHidden/>
              </w:rPr>
              <w:tab/>
            </w:r>
            <w:r w:rsidR="00C27D72">
              <w:rPr>
                <w:webHidden/>
              </w:rPr>
              <w:t>4</w:t>
            </w:r>
          </w:hyperlink>
        </w:p>
        <w:p w14:paraId="0FE0602B" w14:textId="7F13B7F0" w:rsidR="00930DF5" w:rsidRDefault="00C610CD" w:rsidP="00930DF5">
          <w:pPr>
            <w:pStyle w:val="TOC1"/>
            <w:rPr>
              <w:rFonts w:asciiTheme="minorHAnsi" w:eastAsiaTheme="minorEastAsia" w:hAnsiTheme="minorHAnsi"/>
              <w:color w:val="auto"/>
              <w:sz w:val="22"/>
              <w:lang w:eastAsia="en-AU"/>
            </w:rPr>
          </w:pPr>
          <w:hyperlink w:anchor="_Toc3975860" w:history="1">
            <w:r w:rsidR="00930DF5">
              <w:rPr>
                <w:rStyle w:val="Hyperlink"/>
              </w:rPr>
              <w:t>Leaders are key enablers for the High Quality Professional Learning of teachers</w:t>
            </w:r>
            <w:r w:rsidR="00930DF5">
              <w:rPr>
                <w:webHidden/>
              </w:rPr>
              <w:tab/>
            </w:r>
            <w:r w:rsidR="00C27D72">
              <w:rPr>
                <w:webHidden/>
              </w:rPr>
              <w:t>5</w:t>
            </w:r>
          </w:hyperlink>
        </w:p>
        <w:p w14:paraId="2DD602C7" w14:textId="1DFA19F1" w:rsidR="00930DF5" w:rsidRPr="00A62A49" w:rsidRDefault="00930DF5" w:rsidP="00930DF5">
          <w:pPr>
            <w:pStyle w:val="TOC1"/>
            <w:rPr>
              <w:rFonts w:asciiTheme="minorHAnsi" w:eastAsiaTheme="minorEastAsia" w:hAnsiTheme="minorHAnsi"/>
              <w:color w:val="auto"/>
              <w:sz w:val="22"/>
              <w:lang w:eastAsia="en-AU"/>
            </w:rPr>
          </w:pPr>
          <w:r w:rsidRPr="00A62A49">
            <w:rPr>
              <w:rStyle w:val="Hyperlink"/>
              <w:u w:val="none"/>
            </w:rPr>
            <w:t xml:space="preserve">Stage 1: </w:t>
          </w:r>
          <w:hyperlink w:anchor="_Toc3975860" w:history="1">
            <w:r w:rsidRPr="00A62A49">
              <w:rPr>
                <w:rStyle w:val="Hyperlink"/>
                <w:u w:val="none"/>
              </w:rPr>
              <w:t>Identify professional learning need(s)</w:t>
            </w:r>
            <w:r w:rsidRPr="00A62A49">
              <w:rPr>
                <w:webHidden/>
              </w:rPr>
              <w:tab/>
            </w:r>
            <w:r w:rsidR="00C27D72">
              <w:rPr>
                <w:webHidden/>
              </w:rPr>
              <w:t>6</w:t>
            </w:r>
          </w:hyperlink>
        </w:p>
        <w:p w14:paraId="063545C4" w14:textId="1314E484" w:rsidR="00930DF5" w:rsidRDefault="00930DF5" w:rsidP="00930DF5">
          <w:pPr>
            <w:pStyle w:val="TOC1"/>
            <w:rPr>
              <w:rFonts w:asciiTheme="minorHAnsi" w:eastAsiaTheme="minorEastAsia" w:hAnsiTheme="minorHAnsi"/>
              <w:color w:val="auto"/>
              <w:sz w:val="22"/>
              <w:lang w:eastAsia="en-AU"/>
            </w:rPr>
          </w:pPr>
          <w:r>
            <w:rPr>
              <w:rStyle w:val="Hyperlink"/>
              <w:u w:val="none"/>
            </w:rPr>
            <w:t>Stage 2</w:t>
          </w:r>
          <w:r w:rsidRPr="00A62A49">
            <w:rPr>
              <w:rStyle w:val="Hyperlink"/>
              <w:u w:val="none"/>
            </w:rPr>
            <w:t xml:space="preserve">: </w:t>
          </w:r>
          <w:hyperlink w:anchor="_Toc3975862" w:history="1">
            <w:r w:rsidRPr="00844F54">
              <w:rPr>
                <w:rStyle w:val="Hyperlink"/>
              </w:rPr>
              <w:t>Select and undertake learning</w:t>
            </w:r>
            <w:r>
              <w:rPr>
                <w:webHidden/>
              </w:rPr>
              <w:tab/>
            </w:r>
            <w:r w:rsidR="00C27D72">
              <w:rPr>
                <w:webHidden/>
              </w:rPr>
              <w:t>8</w:t>
            </w:r>
          </w:hyperlink>
        </w:p>
        <w:p w14:paraId="44C22FE4" w14:textId="1F7031B2" w:rsidR="00930DF5" w:rsidRDefault="00930DF5" w:rsidP="00930DF5">
          <w:pPr>
            <w:pStyle w:val="TOC1"/>
            <w:rPr>
              <w:rFonts w:asciiTheme="minorHAnsi" w:eastAsiaTheme="minorEastAsia" w:hAnsiTheme="minorHAnsi"/>
              <w:color w:val="auto"/>
              <w:sz w:val="22"/>
              <w:lang w:eastAsia="en-AU"/>
            </w:rPr>
          </w:pPr>
          <w:r>
            <w:rPr>
              <w:rStyle w:val="Hyperlink"/>
              <w:u w:val="none"/>
            </w:rPr>
            <w:t>Stage 3</w:t>
          </w:r>
          <w:r w:rsidRPr="00A62A49">
            <w:rPr>
              <w:rStyle w:val="Hyperlink"/>
              <w:u w:val="none"/>
            </w:rPr>
            <w:t xml:space="preserve">: </w:t>
          </w:r>
          <w:hyperlink w:anchor="_Toc3975864" w:history="1">
            <w:r w:rsidRPr="00844F54">
              <w:rPr>
                <w:rStyle w:val="Hyperlink"/>
              </w:rPr>
              <w:t>Apply and refine learning</w:t>
            </w:r>
            <w:r>
              <w:rPr>
                <w:webHidden/>
              </w:rPr>
              <w:tab/>
            </w:r>
            <w:r w:rsidR="00C27D72">
              <w:rPr>
                <w:webHidden/>
              </w:rPr>
              <w:t>10</w:t>
            </w:r>
          </w:hyperlink>
        </w:p>
        <w:p w14:paraId="68B426CD" w14:textId="5C20945F" w:rsidR="00930DF5" w:rsidRPr="00796198" w:rsidRDefault="00930DF5" w:rsidP="00930DF5">
          <w:pPr>
            <w:pStyle w:val="TOC1"/>
            <w:rPr>
              <w:rFonts w:asciiTheme="minorHAnsi" w:eastAsiaTheme="minorEastAsia" w:hAnsiTheme="minorHAnsi"/>
              <w:color w:val="auto"/>
              <w:sz w:val="22"/>
              <w:lang w:eastAsia="en-AU"/>
            </w:rPr>
          </w:pPr>
          <w:r>
            <w:rPr>
              <w:rStyle w:val="Hyperlink"/>
              <w:u w:val="none"/>
            </w:rPr>
            <w:t>Stage 4</w:t>
          </w:r>
          <w:r w:rsidRPr="00A62A49">
            <w:rPr>
              <w:rStyle w:val="Hyperlink"/>
              <w:u w:val="none"/>
            </w:rPr>
            <w:t xml:space="preserve">: </w:t>
          </w:r>
          <w:hyperlink w:anchor="_Toc3975866" w:history="1">
            <w:r w:rsidRPr="00844F54">
              <w:rPr>
                <w:rStyle w:val="Hyperlink"/>
              </w:rPr>
              <w:t>Evaluate overall impact</w:t>
            </w:r>
            <w:r>
              <w:rPr>
                <w:webHidden/>
              </w:rPr>
              <w:tab/>
            </w:r>
            <w:r w:rsidR="00C27D72">
              <w:rPr>
                <w:webHidden/>
              </w:rPr>
              <w:t>12</w:t>
            </w:r>
          </w:hyperlink>
          <w:hyperlink w:anchor="_Toc3975867" w:history="1"/>
        </w:p>
        <w:p w14:paraId="624172AB" w14:textId="4A83040B" w:rsidR="00930DF5" w:rsidRDefault="00C610CD" w:rsidP="00930DF5">
          <w:pPr>
            <w:pStyle w:val="TOC1"/>
            <w:rPr>
              <w:rFonts w:asciiTheme="minorHAnsi" w:eastAsiaTheme="minorEastAsia" w:hAnsiTheme="minorHAnsi"/>
              <w:color w:val="auto"/>
              <w:sz w:val="22"/>
              <w:lang w:eastAsia="en-AU"/>
            </w:rPr>
          </w:pPr>
          <w:hyperlink w:anchor="_Toc3975868" w:history="1">
            <w:r w:rsidR="00930DF5" w:rsidRPr="00844F54">
              <w:rPr>
                <w:rStyle w:val="Hyperlink"/>
              </w:rPr>
              <w:t>The evidence base for this practical guide</w:t>
            </w:r>
            <w:r w:rsidR="00930DF5">
              <w:rPr>
                <w:webHidden/>
              </w:rPr>
              <w:tab/>
            </w:r>
            <w:r w:rsidR="00930DF5">
              <w:rPr>
                <w:webHidden/>
              </w:rPr>
              <w:fldChar w:fldCharType="begin"/>
            </w:r>
            <w:r w:rsidR="00930DF5">
              <w:rPr>
                <w:webHidden/>
              </w:rPr>
              <w:instrText xml:space="preserve"> PAGEREF _Toc3975868 \h </w:instrText>
            </w:r>
            <w:r w:rsidR="00930DF5">
              <w:rPr>
                <w:webHidden/>
              </w:rPr>
            </w:r>
            <w:r w:rsidR="00930DF5">
              <w:rPr>
                <w:webHidden/>
              </w:rPr>
              <w:fldChar w:fldCharType="separate"/>
            </w:r>
            <w:r w:rsidR="00930DF5">
              <w:rPr>
                <w:webHidden/>
              </w:rPr>
              <w:t>1</w:t>
            </w:r>
            <w:r w:rsidR="00C27D72">
              <w:rPr>
                <w:webHidden/>
              </w:rPr>
              <w:t>4</w:t>
            </w:r>
            <w:r w:rsidR="00930DF5">
              <w:rPr>
                <w:webHidden/>
              </w:rPr>
              <w:fldChar w:fldCharType="end"/>
            </w:r>
          </w:hyperlink>
        </w:p>
        <w:p w14:paraId="03D8EF0E" w14:textId="77777777" w:rsidR="00930DF5" w:rsidRDefault="00930DF5" w:rsidP="00930DF5">
          <w:r w:rsidRPr="003E5390">
            <w:fldChar w:fldCharType="end"/>
          </w:r>
        </w:p>
      </w:sdtContent>
    </w:sdt>
    <w:p w14:paraId="78FD7548" w14:textId="77777777" w:rsidR="00930DF5" w:rsidRPr="003E5390" w:rsidRDefault="00930DF5" w:rsidP="005D3F0E"/>
    <w:p w14:paraId="58AC7373" w14:textId="1058BA6D" w:rsidR="002E67EC" w:rsidRPr="005D3F0E" w:rsidRDefault="002E67EC" w:rsidP="005D3F0E">
      <w:r w:rsidRPr="003E5390">
        <w:br w:type="page"/>
      </w:r>
    </w:p>
    <w:p w14:paraId="3E7A15D7" w14:textId="26C88B2F" w:rsidR="006625CC" w:rsidRDefault="00915C47" w:rsidP="00913215">
      <w:pPr>
        <w:pStyle w:val="Heading2"/>
      </w:pPr>
      <w:bookmarkStart w:id="1" w:name="_Toc3975854"/>
      <w:r>
        <w:lastRenderedPageBreak/>
        <w:t>Who is this practical guide is for?</w:t>
      </w:r>
      <w:bookmarkEnd w:id="1"/>
    </w:p>
    <w:p w14:paraId="7172B512" w14:textId="1DBD1472" w:rsidR="00772C0A" w:rsidRDefault="00772C0A" w:rsidP="00772C0A">
      <w:pPr>
        <w:pStyle w:val="BulletLevel1"/>
      </w:pPr>
      <w:r>
        <w:t xml:space="preserve">Leaders determining the professional learning goals and needs of their school or learning context </w:t>
      </w:r>
    </w:p>
    <w:p w14:paraId="23387D1A" w14:textId="7F9E76F3" w:rsidR="002D0608" w:rsidRDefault="00772C0A" w:rsidP="002D0608">
      <w:pPr>
        <w:pStyle w:val="BulletLevel1"/>
      </w:pPr>
      <w:r>
        <w:t xml:space="preserve">Professional learning coordinators considering the professional learning needs of their teaching teams </w:t>
      </w:r>
    </w:p>
    <w:p w14:paraId="7D464E8C" w14:textId="4C354721" w:rsidR="002D0608" w:rsidRPr="002D0608" w:rsidRDefault="00241953" w:rsidP="002D0608">
      <w:pPr>
        <w:pStyle w:val="Greyboxpara"/>
        <w:rPr>
          <w:i/>
          <w:sz w:val="18"/>
          <w:szCs w:val="18"/>
        </w:rPr>
      </w:pPr>
      <w:r>
        <w:rPr>
          <w:i/>
          <w:sz w:val="18"/>
          <w:szCs w:val="18"/>
        </w:rPr>
        <w:t>AITSL</w:t>
      </w:r>
      <w:r w:rsidR="002D0608" w:rsidRPr="002D0608">
        <w:rPr>
          <w:i/>
          <w:sz w:val="18"/>
          <w:szCs w:val="18"/>
        </w:rPr>
        <w:t xml:space="preserve"> acknowledges that professional learning is a two-way dialogic process </w:t>
      </w:r>
      <w:r w:rsidR="002D0608">
        <w:rPr>
          <w:i/>
          <w:sz w:val="18"/>
          <w:szCs w:val="18"/>
        </w:rPr>
        <w:t>involving</w:t>
      </w:r>
      <w:r w:rsidR="007504A1">
        <w:rPr>
          <w:i/>
          <w:sz w:val="18"/>
          <w:szCs w:val="18"/>
        </w:rPr>
        <w:t xml:space="preserve"> both</w:t>
      </w:r>
      <w:r w:rsidR="002D0608">
        <w:rPr>
          <w:i/>
          <w:sz w:val="18"/>
          <w:szCs w:val="18"/>
        </w:rPr>
        <w:t xml:space="preserve"> teachers and leaders </w:t>
      </w:r>
      <w:r w:rsidR="007504A1">
        <w:rPr>
          <w:i/>
          <w:sz w:val="18"/>
          <w:szCs w:val="18"/>
        </w:rPr>
        <w:t>in</w:t>
      </w:r>
      <w:r>
        <w:rPr>
          <w:i/>
          <w:sz w:val="18"/>
          <w:szCs w:val="18"/>
        </w:rPr>
        <w:t xml:space="preserve"> the ongoing learning cycle. This guide aims to support leaders </w:t>
      </w:r>
      <w:r w:rsidR="007504A1">
        <w:rPr>
          <w:i/>
          <w:sz w:val="18"/>
          <w:szCs w:val="18"/>
        </w:rPr>
        <w:t>to</w:t>
      </w:r>
      <w:r>
        <w:rPr>
          <w:i/>
          <w:sz w:val="18"/>
          <w:szCs w:val="18"/>
        </w:rPr>
        <w:t xml:space="preserve"> effectively work with teachers towards high quality professional learning.</w:t>
      </w:r>
    </w:p>
    <w:p w14:paraId="4A31D86F" w14:textId="77777777" w:rsidR="003C34E3" w:rsidRDefault="003C34E3" w:rsidP="003C34E3">
      <w:pPr>
        <w:pStyle w:val="Heading2"/>
      </w:pPr>
      <w:bookmarkStart w:id="2" w:name="_Toc3975856"/>
      <w:bookmarkStart w:id="3" w:name="_Toc3975857"/>
      <w:r>
        <w:t>What is the purpose of the practical guide?</w:t>
      </w:r>
      <w:bookmarkEnd w:id="2"/>
    </w:p>
    <w:p w14:paraId="7548FD4D" w14:textId="6216545F" w:rsidR="003C34E3" w:rsidRDefault="003C34E3" w:rsidP="003C34E3">
      <w:r>
        <w:t xml:space="preserve">The benefits of high quality professional learning are vast. </w:t>
      </w:r>
      <w:r w:rsidR="00516CCF">
        <w:t>When</w:t>
      </w:r>
      <w:r>
        <w:t xml:space="preserve"> teachers engage in</w:t>
      </w:r>
      <w:r w:rsidR="00516CCF">
        <w:t xml:space="preserve"> continuous professional growth, teacher quality improves, which in turn maximises the impact on learner outcomes (Naylor &amp; Sayed 2014)</w:t>
      </w:r>
      <w:r>
        <w:t xml:space="preserve">. </w:t>
      </w:r>
    </w:p>
    <w:p w14:paraId="0C2A7128" w14:textId="4F9CCF61" w:rsidR="003C34E3" w:rsidRPr="002D0608" w:rsidRDefault="003C34E3" w:rsidP="003C34E3">
      <w:r>
        <w:t xml:space="preserve">The purpose of the practical guide is </w:t>
      </w:r>
      <w:r w:rsidRPr="002D0608">
        <w:t>to support leaders gaining a better understanding of the HQPL cycle and to encourage high quality professional learning. It aims to develop schools as learning communities and encourages purposeful conversations on the ongoing professional learning process.</w:t>
      </w:r>
    </w:p>
    <w:p w14:paraId="5343BA83" w14:textId="4DCCA86F" w:rsidR="003C34E3" w:rsidRDefault="003C34E3" w:rsidP="003C34E3">
      <w:r w:rsidRPr="002D0608">
        <w:t>This practical guide aims to assist leaders with improving the professional</w:t>
      </w:r>
      <w:r>
        <w:t xml:space="preserve"> learning process within schools to capitalise on the benefits of high quality professional learning. </w:t>
      </w:r>
    </w:p>
    <w:bookmarkEnd w:id="3"/>
    <w:p w14:paraId="3CAEE31C" w14:textId="41CAAA27" w:rsidR="00D215FB" w:rsidRDefault="00D215FB" w:rsidP="00D215FB">
      <w:pPr>
        <w:pStyle w:val="Heading2"/>
      </w:pPr>
      <w:r>
        <w:t xml:space="preserve">How can the practical guide help </w:t>
      </w:r>
      <w:r w:rsidR="003B3331">
        <w:t>me</w:t>
      </w:r>
      <w:r>
        <w:t xml:space="preserve">? </w:t>
      </w:r>
    </w:p>
    <w:p w14:paraId="1C4B845D" w14:textId="0FB0947B" w:rsidR="00D215FB" w:rsidRDefault="00D215FB" w:rsidP="00D215FB">
      <w:r>
        <w:t>The practical guide provides information to guide and support teachers through all four stages of the HQPL cycle:</w:t>
      </w:r>
    </w:p>
    <w:p w14:paraId="18219970" w14:textId="77777777" w:rsidR="00D215FB" w:rsidRDefault="00D215FB" w:rsidP="00D215FB">
      <w:pPr>
        <w:pStyle w:val="Greybox"/>
      </w:pPr>
      <w:r>
        <w:t>Stage 1 - identify professional learning needs</w:t>
      </w:r>
    </w:p>
    <w:p w14:paraId="5C081343" w14:textId="77777777" w:rsidR="00D215FB" w:rsidRDefault="00D215FB" w:rsidP="00D215FB">
      <w:pPr>
        <w:pStyle w:val="Greybox"/>
      </w:pPr>
      <w:r>
        <w:t>Stage 2 - select and undertake professional learning</w:t>
      </w:r>
    </w:p>
    <w:p w14:paraId="3CD7C64F" w14:textId="3D19C5B7" w:rsidR="00D215FB" w:rsidRDefault="00D215FB" w:rsidP="00D215FB">
      <w:pPr>
        <w:pStyle w:val="Greybox"/>
      </w:pPr>
      <w:r>
        <w:t xml:space="preserve">Stage 3 - apply the learning </w:t>
      </w:r>
    </w:p>
    <w:p w14:paraId="3CDF9DCA" w14:textId="20C2D812" w:rsidR="00D215FB" w:rsidRDefault="00D215FB" w:rsidP="00D215FB">
      <w:pPr>
        <w:pStyle w:val="Greybox"/>
      </w:pPr>
      <w:r>
        <w:t>Stage 4 - evaluate impact</w:t>
      </w:r>
    </w:p>
    <w:p w14:paraId="4A98037F" w14:textId="4295B917" w:rsidR="00D215FB" w:rsidRDefault="00D215FB" w:rsidP="00D215FB">
      <w:r>
        <w:t xml:space="preserve">It includes an A3 pull-out that provides </w:t>
      </w:r>
      <w:r w:rsidRPr="002D0608">
        <w:t xml:space="preserve">considerations for </w:t>
      </w:r>
      <w:r w:rsidR="003B3331" w:rsidRPr="002D0608">
        <w:t xml:space="preserve">leadership </w:t>
      </w:r>
      <w:r w:rsidRPr="002D0608">
        <w:t>support, implementation structures and processes at each stage.</w:t>
      </w:r>
      <w:r>
        <w:t xml:space="preserve"> </w:t>
      </w:r>
    </w:p>
    <w:p w14:paraId="2ED3D868" w14:textId="77777777" w:rsidR="003B3331" w:rsidRPr="00B33B75" w:rsidRDefault="003B3331" w:rsidP="003B3331">
      <w:pPr>
        <w:rPr>
          <w:rFonts w:cs="Arial"/>
          <w:b/>
          <w:bCs/>
          <w:noProof/>
          <w:color w:val="007377" w:themeColor="text2"/>
          <w:sz w:val="30"/>
          <w:szCs w:val="30"/>
        </w:rPr>
      </w:pPr>
      <w:r w:rsidRPr="00B33B75">
        <w:rPr>
          <w:rFonts w:cs="Arial"/>
          <w:b/>
          <w:bCs/>
          <w:noProof/>
          <w:color w:val="007377" w:themeColor="text2"/>
          <w:sz w:val="30"/>
          <w:szCs w:val="30"/>
        </w:rPr>
        <w:t>How do I use the practical guide?</w:t>
      </w:r>
    </w:p>
    <w:p w14:paraId="1021D0EC" w14:textId="60725A80" w:rsidR="003B3331" w:rsidRPr="002D0608" w:rsidRDefault="003B3331" w:rsidP="003B3331">
      <w:pPr>
        <w:pStyle w:val="ListParagraph"/>
        <w:numPr>
          <w:ilvl w:val="0"/>
          <w:numId w:val="24"/>
        </w:numPr>
      </w:pPr>
      <w:r>
        <w:t xml:space="preserve">Read through the descriptions </w:t>
      </w:r>
      <w:r w:rsidRPr="002D0608">
        <w:t xml:space="preserve">for each stage and use the questions to review existing professional learning processes in your school. </w:t>
      </w:r>
    </w:p>
    <w:p w14:paraId="7C58979E" w14:textId="42B2EAED" w:rsidR="003B3331" w:rsidRPr="002D0608" w:rsidRDefault="003B3331" w:rsidP="003B3331">
      <w:pPr>
        <w:pStyle w:val="ListParagraph"/>
        <w:numPr>
          <w:ilvl w:val="0"/>
          <w:numId w:val="24"/>
        </w:numPr>
      </w:pPr>
      <w:r w:rsidRPr="002D0608">
        <w:t xml:space="preserve">Use the A3 pull-out as a reference for key support you can provide teachers through </w:t>
      </w:r>
      <w:r w:rsidR="002D0608">
        <w:t>the cycle</w:t>
      </w:r>
      <w:r w:rsidRPr="002D0608">
        <w:t>.</w:t>
      </w:r>
    </w:p>
    <w:p w14:paraId="6DBD76D7" w14:textId="16ABDD6A" w:rsidR="003B3331" w:rsidRPr="002D0608" w:rsidRDefault="003B3331" w:rsidP="003B3331">
      <w:pPr>
        <w:pStyle w:val="ListParagraph"/>
        <w:numPr>
          <w:ilvl w:val="0"/>
          <w:numId w:val="24"/>
        </w:numPr>
      </w:pPr>
      <w:r w:rsidRPr="002D0608">
        <w:t xml:space="preserve">Conduct whole-school discussions with teachers and encourage them to use </w:t>
      </w:r>
      <w:r w:rsidR="00E35633">
        <w:t>the cycle</w:t>
      </w:r>
      <w:r w:rsidRPr="002D0608">
        <w:t xml:space="preserve"> as a guid</w:t>
      </w:r>
      <w:r w:rsidR="00E35633">
        <w:t xml:space="preserve">e </w:t>
      </w:r>
      <w:r w:rsidRPr="002D0608">
        <w:t>for professional growth and</w:t>
      </w:r>
      <w:r w:rsidR="002D0608" w:rsidRPr="002D0608">
        <w:t xml:space="preserve"> to</w:t>
      </w:r>
      <w:r w:rsidRPr="002D0608">
        <w:t xml:space="preserve"> inform performance and development conversations.</w:t>
      </w:r>
    </w:p>
    <w:p w14:paraId="1F41BD5B" w14:textId="57B8536B" w:rsidR="00D215FB" w:rsidRPr="006625CC" w:rsidRDefault="003B3331" w:rsidP="006625CC">
      <w:pPr>
        <w:spacing w:line="276" w:lineRule="auto"/>
        <w:rPr>
          <w:rFonts w:cs="Arial"/>
          <w:noProof/>
          <w:szCs w:val="20"/>
          <w:lang w:eastAsia="en-AU"/>
        </w:rPr>
      </w:pPr>
      <w:r>
        <w:t>Thi</w:t>
      </w:r>
      <w:r w:rsidRPr="00C37429">
        <w:t>s</w:t>
      </w:r>
      <w:r>
        <w:t xml:space="preserve"> practical guide supports the </w:t>
      </w:r>
      <w:hyperlink r:id="rId12" w:history="1">
        <w:r w:rsidRPr="00A62660">
          <w:rPr>
            <w:rStyle w:val="Hyperlink"/>
            <w:rFonts w:cs="Arial"/>
            <w:noProof/>
            <w:color w:val="007377"/>
            <w:szCs w:val="20"/>
            <w:lang w:eastAsia="en-AU"/>
          </w:rPr>
          <w:t>Australian Charter for the Professional Learning of Teachers and School Leaders</w:t>
        </w:r>
      </w:hyperlink>
      <w:r w:rsidRPr="00A62660">
        <w:rPr>
          <w:rStyle w:val="Hyperlink"/>
          <w:color w:val="007377"/>
        </w:rPr>
        <w:t xml:space="preserve"> </w:t>
      </w:r>
      <w:r>
        <w:t xml:space="preserve">(the Charter) and </w:t>
      </w:r>
      <w:hyperlink r:id="rId13" w:history="1">
        <w:r w:rsidRPr="0022598F">
          <w:rPr>
            <w:rStyle w:val="Hyperlink"/>
            <w:rFonts w:cs="Arial"/>
            <w:noProof/>
            <w:color w:val="007377"/>
            <w:szCs w:val="20"/>
            <w:lang w:eastAsia="en-AU"/>
          </w:rPr>
          <w:t>Australian Teacher Performance and Development Framework</w:t>
        </w:r>
      </w:hyperlink>
      <w:r w:rsidRPr="00775FDC">
        <w:t xml:space="preserve"> </w:t>
      </w:r>
      <w:r w:rsidR="00775FDC">
        <w:t>(</w:t>
      </w:r>
      <w:r>
        <w:t>the Framework)</w:t>
      </w:r>
      <w:r>
        <w:rPr>
          <w:rFonts w:cs="Arial"/>
          <w:noProof/>
          <w:szCs w:val="20"/>
          <w:lang w:eastAsia="en-AU"/>
        </w:rPr>
        <w:t>.</w:t>
      </w:r>
    </w:p>
    <w:p w14:paraId="7EBD84AB" w14:textId="61DBD6AA" w:rsidR="00772C0A" w:rsidRDefault="00F274CE" w:rsidP="00772C0A">
      <w:pPr>
        <w:pStyle w:val="Heading2"/>
      </w:pPr>
      <w:bookmarkStart w:id="4" w:name="_Toc3975858"/>
      <w:r>
        <w:lastRenderedPageBreak/>
        <w:t>Leaders are key enablers for the</w:t>
      </w:r>
      <w:r w:rsidR="00772C0A">
        <w:t xml:space="preserve"> High </w:t>
      </w:r>
      <w:r w:rsidR="00466FBD">
        <w:t>Quality Professional L</w:t>
      </w:r>
      <w:r w:rsidR="00772C0A">
        <w:t>earning</w:t>
      </w:r>
      <w:bookmarkEnd w:id="4"/>
      <w:r>
        <w:t xml:space="preserve"> of teachers</w:t>
      </w:r>
    </w:p>
    <w:p w14:paraId="24AEB1CF" w14:textId="015A70F3" w:rsidR="007F2BA5" w:rsidRDefault="007F2BA5" w:rsidP="007F2BA5">
      <w:pPr>
        <w:spacing w:line="276" w:lineRule="auto"/>
        <w:jc w:val="both"/>
      </w:pPr>
      <w:r>
        <w:t xml:space="preserve">Leaders play an important role in enabling the high quality professional learning of teachers. </w:t>
      </w:r>
      <w:r w:rsidR="00675009">
        <w:t>The Charter</w:t>
      </w:r>
      <w:r>
        <w:t xml:space="preserve"> emphasises the need for leaders to build a </w:t>
      </w:r>
      <w:r w:rsidRPr="00C81826">
        <w:rPr>
          <w:b/>
          <w:i/>
        </w:rPr>
        <w:t>culture of learning</w:t>
      </w:r>
      <w:r>
        <w:t xml:space="preserve"> with teachers that aims to improve learner outcomes.</w:t>
      </w:r>
    </w:p>
    <w:p w14:paraId="4B6FDA08" w14:textId="58FFF831" w:rsidR="001A3E0E" w:rsidRDefault="00872490" w:rsidP="001A3E0E">
      <w:pPr>
        <w:pStyle w:val="BulletLevel1"/>
        <w:numPr>
          <w:ilvl w:val="0"/>
          <w:numId w:val="0"/>
        </w:numPr>
      </w:pPr>
      <w:r w:rsidRPr="00872490">
        <w:t>The Charter</w:t>
      </w:r>
      <w:r w:rsidR="0066722C">
        <w:t xml:space="preserve"> (p.3)</w:t>
      </w:r>
      <w:r w:rsidRPr="00872490">
        <w:t xml:space="preserve"> identifies six key ch</w:t>
      </w:r>
      <w:r>
        <w:t xml:space="preserve">aracteristics of a HQPL culture. </w:t>
      </w:r>
      <w:r w:rsidR="001A3E0E">
        <w:t>S</w:t>
      </w:r>
      <w:r w:rsidR="001A3E0E" w:rsidRPr="00EC0955">
        <w:t>trong leadership support</w:t>
      </w:r>
      <w:r w:rsidR="001A3E0E">
        <w:t xml:space="preserve"> is key and can be exhibited in a variety of ways</w:t>
      </w:r>
      <w:r>
        <w:t xml:space="preserve"> with a</w:t>
      </w:r>
      <w:r w:rsidR="001A3E0E">
        <w:t xml:space="preserve"> focus on the core tenets of a HQPL culture.</w:t>
      </w:r>
    </w:p>
    <w:p w14:paraId="0CEA77F8" w14:textId="77777777" w:rsidR="008E3DA9" w:rsidRDefault="008E3DA9" w:rsidP="00772C0A"/>
    <w:p w14:paraId="3940728B" w14:textId="77777777" w:rsidR="00950594" w:rsidRDefault="00950594" w:rsidP="00772C0A"/>
    <w:tbl>
      <w:tblPr>
        <w:tblStyle w:val="TableGrid"/>
        <w:tblW w:w="9152" w:type="dxa"/>
        <w:tblBorders>
          <w:top w:val="single" w:sz="4" w:space="0" w:color="ABAF32" w:themeColor="accent2" w:themeShade="80"/>
          <w:left w:val="single" w:sz="4" w:space="0" w:color="ABAF32" w:themeColor="accent2" w:themeShade="80"/>
          <w:bottom w:val="single" w:sz="4" w:space="0" w:color="ABAF32" w:themeColor="accent2" w:themeShade="80"/>
          <w:right w:val="single" w:sz="4" w:space="0" w:color="ABAF32" w:themeColor="accent2" w:themeShade="80"/>
          <w:insideH w:val="single" w:sz="4" w:space="0" w:color="ABAF32" w:themeColor="accent2" w:themeShade="80"/>
          <w:insideV w:val="single" w:sz="4" w:space="0" w:color="ABAF32" w:themeColor="accent2" w:themeShade="80"/>
        </w:tblBorders>
        <w:shd w:val="clear" w:color="auto" w:fill="F5F7D0" w:themeFill="accent1" w:themeFillTint="33"/>
        <w:tblLook w:val="04A0" w:firstRow="1" w:lastRow="0" w:firstColumn="1" w:lastColumn="0" w:noHBand="0" w:noVBand="1"/>
      </w:tblPr>
      <w:tblGrid>
        <w:gridCol w:w="3050"/>
        <w:gridCol w:w="3050"/>
        <w:gridCol w:w="3052"/>
      </w:tblGrid>
      <w:tr w:rsidR="008E3DA9" w14:paraId="2AAFA83D" w14:textId="77777777" w:rsidTr="00BF3731">
        <w:trPr>
          <w:trHeight w:val="563"/>
        </w:trPr>
        <w:tc>
          <w:tcPr>
            <w:tcW w:w="9152" w:type="dxa"/>
            <w:gridSpan w:val="3"/>
            <w:shd w:val="clear" w:color="auto" w:fill="F5F7D0" w:themeFill="accent1" w:themeFillTint="33"/>
            <w:tcMar>
              <w:top w:w="113" w:type="dxa"/>
              <w:bottom w:w="113" w:type="dxa"/>
            </w:tcMar>
          </w:tcPr>
          <w:p w14:paraId="22E0F1F9" w14:textId="061CDDB9" w:rsidR="008E3DA9" w:rsidRPr="008E3DA9" w:rsidRDefault="001530BC" w:rsidP="006B4AD1">
            <w:pPr>
              <w:pStyle w:val="Heading3"/>
              <w:jc w:val="center"/>
              <w:outlineLvl w:val="2"/>
              <w:rPr>
                <w:i/>
              </w:rPr>
            </w:pPr>
            <w:bookmarkStart w:id="5" w:name="_Toc3975859"/>
            <w:r w:rsidRPr="00C8004C">
              <w:t xml:space="preserve">A leader </w:t>
            </w:r>
            <w:r>
              <w:t>can</w:t>
            </w:r>
            <w:r w:rsidRPr="00C8004C">
              <w:t xml:space="preserve"> support </w:t>
            </w:r>
            <w:r>
              <w:t>High Quality Professional Learning</w:t>
            </w:r>
            <w:r w:rsidRPr="00C8004C">
              <w:t xml:space="preserve"> by…</w:t>
            </w:r>
            <w:bookmarkEnd w:id="5"/>
          </w:p>
        </w:tc>
      </w:tr>
      <w:tr w:rsidR="008E3DA9" w14:paraId="27BF6E94" w14:textId="77777777" w:rsidTr="00D10E93">
        <w:trPr>
          <w:trHeight w:val="1163"/>
        </w:trPr>
        <w:tc>
          <w:tcPr>
            <w:tcW w:w="3050" w:type="dxa"/>
            <w:shd w:val="clear" w:color="auto" w:fill="FAFBE5"/>
            <w:tcMar>
              <w:top w:w="113" w:type="dxa"/>
              <w:bottom w:w="113" w:type="dxa"/>
            </w:tcMar>
          </w:tcPr>
          <w:p w14:paraId="2FD5EA47" w14:textId="132FF581" w:rsidR="008E3DA9" w:rsidRDefault="008E3DA9" w:rsidP="008E3DA9">
            <w:pPr>
              <w:pStyle w:val="Heading5"/>
              <w:outlineLvl w:val="4"/>
            </w:pPr>
            <w:r w:rsidRPr="001C7ADB">
              <w:t xml:space="preserve">Encouraging ongoing learning </w:t>
            </w:r>
            <w:r>
              <w:t>and be actively involved</w:t>
            </w:r>
          </w:p>
        </w:tc>
        <w:tc>
          <w:tcPr>
            <w:tcW w:w="3050" w:type="dxa"/>
            <w:shd w:val="clear" w:color="auto" w:fill="FAFBE5"/>
            <w:tcMar>
              <w:top w:w="113" w:type="dxa"/>
              <w:bottom w:w="113" w:type="dxa"/>
            </w:tcMar>
          </w:tcPr>
          <w:p w14:paraId="3C896F86" w14:textId="2047C02D" w:rsidR="008E3DA9" w:rsidRDefault="008E3DA9" w:rsidP="008E3DA9">
            <w:pPr>
              <w:pStyle w:val="Heading5"/>
              <w:outlineLvl w:val="4"/>
            </w:pPr>
            <w:r w:rsidRPr="00C8004C">
              <w:t>Encouraging a collective responsibility for learner outcomes</w:t>
            </w:r>
          </w:p>
        </w:tc>
        <w:tc>
          <w:tcPr>
            <w:tcW w:w="3052" w:type="dxa"/>
            <w:shd w:val="clear" w:color="auto" w:fill="FAFBE5"/>
            <w:tcMar>
              <w:top w:w="113" w:type="dxa"/>
              <w:bottom w:w="113" w:type="dxa"/>
            </w:tcMar>
          </w:tcPr>
          <w:p w14:paraId="7F883753" w14:textId="48CAFFF2" w:rsidR="008E3DA9" w:rsidRDefault="008E3DA9" w:rsidP="008E3DA9">
            <w:pPr>
              <w:pStyle w:val="Heading5"/>
              <w:outlineLvl w:val="4"/>
            </w:pPr>
            <w:r>
              <w:t>Establishing high levels of trust</w:t>
            </w:r>
            <w:r w:rsidRPr="00C8004C">
              <w:t xml:space="preserve"> </w:t>
            </w:r>
          </w:p>
        </w:tc>
      </w:tr>
      <w:tr w:rsidR="008E3DA9" w14:paraId="5C4F1E01" w14:textId="77777777" w:rsidTr="00D10E93">
        <w:trPr>
          <w:trHeight w:val="1353"/>
        </w:trPr>
        <w:tc>
          <w:tcPr>
            <w:tcW w:w="3050" w:type="dxa"/>
            <w:shd w:val="clear" w:color="auto" w:fill="FAFBE5"/>
            <w:tcMar>
              <w:top w:w="113" w:type="dxa"/>
              <w:bottom w:w="113" w:type="dxa"/>
            </w:tcMar>
          </w:tcPr>
          <w:p w14:paraId="65219F0D" w14:textId="77777777" w:rsidR="008E3DA9" w:rsidRPr="00C8004C" w:rsidRDefault="008E3DA9" w:rsidP="008E3DA9">
            <w:pPr>
              <w:pStyle w:val="Heading5"/>
              <w:outlineLvl w:val="4"/>
            </w:pPr>
            <w:r>
              <w:t>Establishing structures and processes for HQPL</w:t>
            </w:r>
          </w:p>
          <w:p w14:paraId="7601EE51" w14:textId="77777777" w:rsidR="008E3DA9" w:rsidRDefault="008E3DA9" w:rsidP="008E3DA9">
            <w:pPr>
              <w:pStyle w:val="Heading5"/>
              <w:outlineLvl w:val="4"/>
            </w:pPr>
          </w:p>
        </w:tc>
        <w:tc>
          <w:tcPr>
            <w:tcW w:w="3050" w:type="dxa"/>
            <w:shd w:val="clear" w:color="auto" w:fill="FAFBE5"/>
            <w:tcMar>
              <w:top w:w="113" w:type="dxa"/>
              <w:bottom w:w="113" w:type="dxa"/>
            </w:tcMar>
          </w:tcPr>
          <w:p w14:paraId="43208F5D" w14:textId="26081CDB" w:rsidR="008E3DA9" w:rsidRDefault="008E3DA9" w:rsidP="008E3DA9">
            <w:pPr>
              <w:pStyle w:val="Heading5"/>
              <w:outlineLvl w:val="4"/>
            </w:pPr>
            <w:r w:rsidRPr="00C8004C">
              <w:t xml:space="preserve">Encouraging </w:t>
            </w:r>
            <w:r>
              <w:t>purposeful collaboration through high levels of interaction and inter-dependence</w:t>
            </w:r>
          </w:p>
        </w:tc>
        <w:tc>
          <w:tcPr>
            <w:tcW w:w="3052" w:type="dxa"/>
            <w:shd w:val="clear" w:color="auto" w:fill="FAFBE5"/>
            <w:tcMar>
              <w:top w:w="113" w:type="dxa"/>
              <w:bottom w:w="113" w:type="dxa"/>
            </w:tcMar>
          </w:tcPr>
          <w:p w14:paraId="1F089F72" w14:textId="77777777" w:rsidR="008E3DA9" w:rsidRPr="00C8004C" w:rsidRDefault="008E3DA9" w:rsidP="008E3DA9">
            <w:pPr>
              <w:pStyle w:val="Heading5"/>
              <w:outlineLvl w:val="4"/>
            </w:pPr>
            <w:r>
              <w:t xml:space="preserve">Allocating adequate time and resources </w:t>
            </w:r>
          </w:p>
          <w:p w14:paraId="5328B907" w14:textId="77777777" w:rsidR="008E3DA9" w:rsidRDefault="008E3DA9" w:rsidP="008E3DA9">
            <w:pPr>
              <w:pStyle w:val="Heading5"/>
              <w:outlineLvl w:val="4"/>
            </w:pPr>
          </w:p>
        </w:tc>
      </w:tr>
      <w:tr w:rsidR="008E3DA9" w14:paraId="062B89A0" w14:textId="77777777" w:rsidTr="00D10E93">
        <w:trPr>
          <w:trHeight w:val="1262"/>
        </w:trPr>
        <w:tc>
          <w:tcPr>
            <w:tcW w:w="3050" w:type="dxa"/>
            <w:shd w:val="clear" w:color="auto" w:fill="FAFBE5"/>
            <w:tcMar>
              <w:top w:w="113" w:type="dxa"/>
              <w:bottom w:w="113" w:type="dxa"/>
            </w:tcMar>
          </w:tcPr>
          <w:p w14:paraId="623EEBBF" w14:textId="236CBDC2" w:rsidR="008E3DA9" w:rsidRDefault="008E3DA9" w:rsidP="008E3DA9">
            <w:pPr>
              <w:pStyle w:val="Heading5"/>
              <w:outlineLvl w:val="4"/>
            </w:pPr>
            <w:r>
              <w:t>Establishing a strong vision and direction for PL driven by data</w:t>
            </w:r>
          </w:p>
        </w:tc>
        <w:tc>
          <w:tcPr>
            <w:tcW w:w="3050" w:type="dxa"/>
            <w:shd w:val="clear" w:color="auto" w:fill="FAFBE5"/>
            <w:tcMar>
              <w:top w:w="113" w:type="dxa"/>
              <w:bottom w:w="113" w:type="dxa"/>
            </w:tcMar>
          </w:tcPr>
          <w:p w14:paraId="22E6E0FF" w14:textId="64DD7034" w:rsidR="008E3DA9" w:rsidRDefault="008E3DA9" w:rsidP="004F4137">
            <w:pPr>
              <w:pStyle w:val="Heading5"/>
              <w:outlineLvl w:val="4"/>
            </w:pPr>
            <w:r>
              <w:t>Prioritising the most appropriate and effective types of professional learning</w:t>
            </w:r>
            <w:r w:rsidR="004F4137">
              <w:t xml:space="preserve"> together with teachers</w:t>
            </w:r>
          </w:p>
        </w:tc>
        <w:tc>
          <w:tcPr>
            <w:tcW w:w="3052" w:type="dxa"/>
            <w:shd w:val="clear" w:color="auto" w:fill="FAFBE5"/>
            <w:tcMar>
              <w:top w:w="113" w:type="dxa"/>
              <w:bottom w:w="113" w:type="dxa"/>
            </w:tcMar>
          </w:tcPr>
          <w:p w14:paraId="0E524B9D" w14:textId="41EEC030" w:rsidR="008E3DA9" w:rsidRDefault="008E3DA9" w:rsidP="008E3DA9">
            <w:pPr>
              <w:pStyle w:val="Heading5"/>
              <w:outlineLvl w:val="4"/>
            </w:pPr>
            <w:r>
              <w:t xml:space="preserve">Aligning </w:t>
            </w:r>
            <w:r w:rsidR="004F4137">
              <w:t>the HQPL cycle with existing Performance and Development</w:t>
            </w:r>
            <w:r>
              <w:t xml:space="preserve"> processes</w:t>
            </w:r>
          </w:p>
        </w:tc>
      </w:tr>
    </w:tbl>
    <w:p w14:paraId="4750CE86" w14:textId="77777777" w:rsidR="00772C0A" w:rsidRDefault="00772C0A" w:rsidP="00772C0A"/>
    <w:p w14:paraId="1D2F6A3A" w14:textId="77777777" w:rsidR="000B1F15" w:rsidRDefault="000B1F15" w:rsidP="00772C0A"/>
    <w:p w14:paraId="0B232E29" w14:textId="77777777" w:rsidR="00A32826" w:rsidRDefault="00A32826" w:rsidP="00772C0A"/>
    <w:p w14:paraId="34A51360" w14:textId="77777777" w:rsidR="00D42421" w:rsidRDefault="00D42421" w:rsidP="00772C0A"/>
    <w:p w14:paraId="37223E3D" w14:textId="77777777" w:rsidR="00D42421" w:rsidRDefault="00D42421" w:rsidP="00772C0A"/>
    <w:p w14:paraId="37BA81AD" w14:textId="77777777" w:rsidR="00D42421" w:rsidRDefault="00D42421" w:rsidP="00772C0A"/>
    <w:p w14:paraId="090DA9AF" w14:textId="6C335E43" w:rsidR="00D42421" w:rsidRDefault="00D42421" w:rsidP="00772C0A">
      <w:r>
        <w:br/>
      </w:r>
    </w:p>
    <w:p w14:paraId="5FAE8EBE" w14:textId="77777777" w:rsidR="00A32826" w:rsidRDefault="00A32826" w:rsidP="00772C0A"/>
    <w:p w14:paraId="351E7970" w14:textId="77777777" w:rsidR="00922D88" w:rsidRDefault="00922D88" w:rsidP="00772C0A"/>
    <w:p w14:paraId="1F0B204B" w14:textId="3B792A7C" w:rsidR="000B1F15" w:rsidRDefault="003E12A5" w:rsidP="003E12A5">
      <w:pPr>
        <w:pStyle w:val="STAGE"/>
        <w:spacing w:before="240" w:after="240"/>
        <w:ind w:right="7609"/>
      </w:pPr>
      <w:r>
        <w:lastRenderedPageBreak/>
        <w:t xml:space="preserve"> </w:t>
      </w:r>
      <w:r w:rsidR="00B8097A">
        <w:t xml:space="preserve"> </w:t>
      </w:r>
      <w:r w:rsidR="000B1F15">
        <w:t>STAGE 1</w:t>
      </w:r>
    </w:p>
    <w:p w14:paraId="4E98D52B" w14:textId="14B920E3" w:rsidR="00772C0A" w:rsidRDefault="00772C0A" w:rsidP="00887874">
      <w:pPr>
        <w:pStyle w:val="Heading1"/>
      </w:pPr>
      <w:bookmarkStart w:id="6" w:name="_Toc3975860"/>
      <w:r>
        <w:t>Identify professional learning need(s)</w:t>
      </w:r>
      <w:bookmarkEnd w:id="6"/>
    </w:p>
    <w:p w14:paraId="5836C3D6" w14:textId="77777777" w:rsidR="00772C0A" w:rsidRDefault="00772C0A" w:rsidP="00772C0A">
      <w:r>
        <w:t xml:space="preserve">Effective professional learning starts with understanding teachers’ learning needs, “at the individual, team or school level in response to an assessment of students’ learning needs” (Tooley &amp; Connally 2016, p.5). </w:t>
      </w:r>
    </w:p>
    <w:p w14:paraId="4803D430" w14:textId="079405CA" w:rsidR="00772C0A" w:rsidRDefault="00772C0A" w:rsidP="00772C0A">
      <w:r>
        <w:t>Professional learning undertaken by teachers needs to be relevant and focussed on the problems of practice in their individual contexts. This will ensure a collective responsibility within schools to focus efforts on driving teacher professional learning towards improved learner outcomes.</w:t>
      </w:r>
    </w:p>
    <w:p w14:paraId="55F02168" w14:textId="1784172C" w:rsidR="00772C0A" w:rsidRDefault="00772C0A" w:rsidP="00772C0A">
      <w:r>
        <w:t xml:space="preserve">Research demonstrates </w:t>
      </w:r>
      <w:r w:rsidR="008C3CC5">
        <w:t xml:space="preserve">that </w:t>
      </w:r>
      <w:r>
        <w:t>supportive leaders create learning communities with a strong vision and shared values (Lomos et al 2011, p129</w:t>
      </w:r>
      <w:r w:rsidR="00466FBD">
        <w:t>;</w:t>
      </w:r>
      <w:r>
        <w:t xml:space="preserve"> Vanblaere &amp; Davos 2016, p34). The </w:t>
      </w:r>
      <w:hyperlink r:id="rId14" w:history="1">
        <w:r w:rsidR="007911BB">
          <w:rPr>
            <w:rStyle w:val="Hyperlink"/>
          </w:rPr>
          <w:t>Teacher</w:t>
        </w:r>
      </w:hyperlink>
      <w:r w:rsidR="007911BB">
        <w:rPr>
          <w:rStyle w:val="Hyperlink"/>
        </w:rPr>
        <w:t xml:space="preserve"> Standards</w:t>
      </w:r>
      <w:r>
        <w:t xml:space="preserve">, the Australian Curriculum and school-based planning documents should guide a common understanding of the knowledge and skills that teachers need to maximise their impact on a child’s learning. </w:t>
      </w:r>
    </w:p>
    <w:p w14:paraId="5FA47578" w14:textId="5BA855DC" w:rsidR="008F263B" w:rsidRPr="008F263B" w:rsidRDefault="00772C0A" w:rsidP="008F263B">
      <w:pPr>
        <w:pStyle w:val="Heading2"/>
      </w:pPr>
      <w:bookmarkStart w:id="7" w:name="_Toc3975861"/>
      <w:r>
        <w:t>For this stage, c</w:t>
      </w:r>
      <w:r w:rsidR="008F263B">
        <w:t>onsider the following questions</w:t>
      </w:r>
      <w:bookmarkEnd w:id="7"/>
    </w:p>
    <w:tbl>
      <w:tblPr>
        <w:tblStyle w:val="ListTable4-Accent6"/>
        <w:tblW w:w="0" w:type="auto"/>
        <w:tblLook w:val="04A0" w:firstRow="1" w:lastRow="0" w:firstColumn="1" w:lastColumn="0" w:noHBand="0" w:noVBand="1"/>
      </w:tblPr>
      <w:tblGrid>
        <w:gridCol w:w="9016"/>
      </w:tblGrid>
      <w:tr w:rsidR="00D0488B" w14:paraId="6463D9CC" w14:textId="77777777" w:rsidTr="00551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31D21B08" w14:textId="556927FA" w:rsidR="00D0488B" w:rsidRPr="00630911" w:rsidRDefault="00092C43" w:rsidP="00362B07">
            <w:pPr>
              <w:pStyle w:val="Tablecentreh1"/>
            </w:pPr>
            <w:r>
              <w:t xml:space="preserve">Learning </w:t>
            </w:r>
            <w:r w:rsidR="00362B07">
              <w:t>Goals</w:t>
            </w:r>
          </w:p>
        </w:tc>
      </w:tr>
      <w:tr w:rsidR="00D0488B" w14:paraId="239DDD43" w14:textId="77777777" w:rsidTr="00D95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6445FB6" w14:textId="77777777" w:rsidR="00943013" w:rsidRPr="00D95D1A" w:rsidRDefault="00943013" w:rsidP="00943013">
            <w:pPr>
              <w:pStyle w:val="BulletLevel1"/>
              <w:rPr>
                <w:b w:val="0"/>
              </w:rPr>
            </w:pPr>
            <w:r w:rsidRPr="00D95D1A">
              <w:rPr>
                <w:b w:val="0"/>
              </w:rPr>
              <w:t xml:space="preserve">What </w:t>
            </w:r>
            <w:r>
              <w:rPr>
                <w:b w:val="0"/>
              </w:rPr>
              <w:t>evidence</w:t>
            </w:r>
            <w:r w:rsidRPr="00D95D1A">
              <w:rPr>
                <w:b w:val="0"/>
              </w:rPr>
              <w:t xml:space="preserve"> </w:t>
            </w:r>
            <w:r>
              <w:rPr>
                <w:b w:val="0"/>
              </w:rPr>
              <w:t>is</w:t>
            </w:r>
            <w:r w:rsidRPr="00D95D1A">
              <w:rPr>
                <w:b w:val="0"/>
              </w:rPr>
              <w:t xml:space="preserve"> available to identify </w:t>
            </w:r>
            <w:r>
              <w:rPr>
                <w:b w:val="0"/>
              </w:rPr>
              <w:t>the learning needs of teachers</w:t>
            </w:r>
            <w:r w:rsidRPr="00D95D1A">
              <w:rPr>
                <w:b w:val="0"/>
              </w:rPr>
              <w:t xml:space="preserve">? </w:t>
            </w:r>
          </w:p>
          <w:p w14:paraId="7818ACB2" w14:textId="77777777" w:rsidR="00943013" w:rsidRDefault="00943013" w:rsidP="00943013">
            <w:pPr>
              <w:pStyle w:val="BulletLevel1"/>
              <w:rPr>
                <w:b w:val="0"/>
              </w:rPr>
            </w:pPr>
            <w:r w:rsidRPr="00D95D1A">
              <w:rPr>
                <w:b w:val="0"/>
              </w:rPr>
              <w:t>How are teachers involved in the decision making about their professional learning needs?</w:t>
            </w:r>
          </w:p>
          <w:p w14:paraId="564EAF09" w14:textId="54AEDB51" w:rsidR="00D0488B" w:rsidRPr="00DE0DCA" w:rsidRDefault="00943013" w:rsidP="00943013">
            <w:pPr>
              <w:pStyle w:val="BulletLevel1"/>
              <w:rPr>
                <w:b w:val="0"/>
              </w:rPr>
            </w:pPr>
            <w:r>
              <w:rPr>
                <w:b w:val="0"/>
              </w:rPr>
              <w:t>How are school</w:t>
            </w:r>
            <w:r w:rsidRPr="00D95D1A">
              <w:rPr>
                <w:b w:val="0"/>
              </w:rPr>
              <w:t xml:space="preserve"> </w:t>
            </w:r>
            <w:r>
              <w:rPr>
                <w:b w:val="0"/>
              </w:rPr>
              <w:t xml:space="preserve">level strategic </w:t>
            </w:r>
            <w:r w:rsidRPr="00D95D1A">
              <w:rPr>
                <w:b w:val="0"/>
              </w:rPr>
              <w:t>goals and initiatives discussed with</w:t>
            </w:r>
            <w:r>
              <w:rPr>
                <w:b w:val="0"/>
              </w:rPr>
              <w:t>,</w:t>
            </w:r>
            <w:r w:rsidRPr="00D95D1A">
              <w:rPr>
                <w:b w:val="0"/>
              </w:rPr>
              <w:t xml:space="preserve"> and communicated to all staff?</w:t>
            </w:r>
          </w:p>
        </w:tc>
      </w:tr>
    </w:tbl>
    <w:p w14:paraId="29B8CE61" w14:textId="77777777" w:rsidR="00D0488B" w:rsidRDefault="00D0488B" w:rsidP="00772C0A"/>
    <w:tbl>
      <w:tblPr>
        <w:tblStyle w:val="ListTable4-Accent6"/>
        <w:tblW w:w="0" w:type="auto"/>
        <w:tblLook w:val="04A0" w:firstRow="1" w:lastRow="0" w:firstColumn="1" w:lastColumn="0" w:noHBand="0" w:noVBand="1"/>
      </w:tblPr>
      <w:tblGrid>
        <w:gridCol w:w="9016"/>
      </w:tblGrid>
      <w:tr w:rsidR="00D95D1A" w14:paraId="2A5C762D" w14:textId="77777777" w:rsidTr="00551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7DE73801" w14:textId="77777777" w:rsidR="00D95D1A" w:rsidRPr="00D95D1A" w:rsidRDefault="00D95D1A" w:rsidP="00D95D1A">
            <w:pPr>
              <w:pStyle w:val="Tablecentreh1"/>
            </w:pPr>
            <w:r w:rsidRPr="00D95D1A">
              <w:t xml:space="preserve">Systems and Processes </w:t>
            </w:r>
          </w:p>
        </w:tc>
      </w:tr>
      <w:tr w:rsidR="00D95D1A" w14:paraId="33612F17" w14:textId="77777777" w:rsidTr="00D95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82E60E8" w14:textId="39072825" w:rsidR="00D95D1A" w:rsidRPr="00D95D1A" w:rsidRDefault="00D95D1A" w:rsidP="00D95D1A">
            <w:pPr>
              <w:pStyle w:val="BulletLevel1"/>
              <w:rPr>
                <w:b w:val="0"/>
              </w:rPr>
            </w:pPr>
            <w:r w:rsidRPr="00D95D1A">
              <w:rPr>
                <w:b w:val="0"/>
              </w:rPr>
              <w:t xml:space="preserve">How are instructional leaders </w:t>
            </w:r>
            <w:r w:rsidR="00DE719D">
              <w:rPr>
                <w:b w:val="0"/>
              </w:rPr>
              <w:t>involved</w:t>
            </w:r>
            <w:r w:rsidR="00943013">
              <w:rPr>
                <w:b w:val="0"/>
              </w:rPr>
              <w:t xml:space="preserve"> in the process of</w:t>
            </w:r>
            <w:r w:rsidRPr="00D95D1A">
              <w:rPr>
                <w:b w:val="0"/>
              </w:rPr>
              <w:t xml:space="preserve"> identify</w:t>
            </w:r>
            <w:r w:rsidR="00DE719D">
              <w:rPr>
                <w:b w:val="0"/>
              </w:rPr>
              <w:t>ing</w:t>
            </w:r>
            <w:r w:rsidRPr="00D95D1A">
              <w:rPr>
                <w:b w:val="0"/>
              </w:rPr>
              <w:t xml:space="preserve"> the professional learning needs of teachers? </w:t>
            </w:r>
          </w:p>
          <w:p w14:paraId="664885D6" w14:textId="77777777" w:rsidR="00D95D1A" w:rsidRPr="00D95D1A" w:rsidRDefault="00D95D1A" w:rsidP="00D95D1A">
            <w:pPr>
              <w:pStyle w:val="BulletLevel1"/>
              <w:rPr>
                <w:b w:val="0"/>
              </w:rPr>
            </w:pPr>
            <w:r w:rsidRPr="00D95D1A">
              <w:rPr>
                <w:b w:val="0"/>
              </w:rPr>
              <w:t>How often are teachers engaged in performance and development conversations that encourage professional growth?</w:t>
            </w:r>
          </w:p>
          <w:p w14:paraId="3C5210F4" w14:textId="241D2E77" w:rsidR="00D95D1A" w:rsidRPr="00D95D1A" w:rsidRDefault="00D95D1A" w:rsidP="00D95D1A">
            <w:pPr>
              <w:pStyle w:val="BulletLevel1"/>
              <w:rPr>
                <w:szCs w:val="16"/>
              </w:rPr>
            </w:pPr>
            <w:r w:rsidRPr="00D95D1A">
              <w:rPr>
                <w:b w:val="0"/>
              </w:rPr>
              <w:t>What measures are in place to ensure adequate support and resources (e.g. time) have been allocated for high quality professional learning of teachers?</w:t>
            </w:r>
          </w:p>
        </w:tc>
      </w:tr>
    </w:tbl>
    <w:p w14:paraId="69946B5A" w14:textId="77777777" w:rsidR="00D95D1A" w:rsidRDefault="00D95D1A" w:rsidP="00772C0A"/>
    <w:p w14:paraId="02E4DC91" w14:textId="77777777" w:rsidR="0054361B" w:rsidRDefault="0054361B" w:rsidP="00A90A65">
      <w:pPr>
        <w:pStyle w:val="Heading5"/>
      </w:pPr>
    </w:p>
    <w:p w14:paraId="72F13CBF" w14:textId="77777777" w:rsidR="0054361B" w:rsidRDefault="0054361B" w:rsidP="00A90A65">
      <w:pPr>
        <w:pStyle w:val="Heading5"/>
      </w:pPr>
    </w:p>
    <w:p w14:paraId="14967EF6" w14:textId="3E634F45" w:rsidR="00D95D1A" w:rsidRDefault="00D95D1A" w:rsidP="00A90A65">
      <w:pPr>
        <w:pStyle w:val="Heading5"/>
      </w:pPr>
      <w:r w:rsidRPr="002C7140">
        <w:t>Examples of data to support the identification of professional learning needs include</w:t>
      </w:r>
      <w:r>
        <w:t>:</w:t>
      </w:r>
    </w:p>
    <w:p w14:paraId="6C915737" w14:textId="15B9BE9B" w:rsidR="00D95D1A" w:rsidRDefault="006D4CC7" w:rsidP="00077186">
      <w:pPr>
        <w:pStyle w:val="Listtick"/>
      </w:pPr>
      <w:r>
        <w:t>s</w:t>
      </w:r>
      <w:r w:rsidR="00922D88">
        <w:t>tudent feedback</w:t>
      </w:r>
    </w:p>
    <w:p w14:paraId="1ECBCD7F" w14:textId="67679B9D" w:rsidR="00D95D1A" w:rsidRDefault="006D4CC7" w:rsidP="00077186">
      <w:pPr>
        <w:pStyle w:val="Listtick"/>
      </w:pPr>
      <w:r>
        <w:t>p</w:t>
      </w:r>
      <w:r w:rsidR="00922D88">
        <w:t>eer/supervisor feedback</w:t>
      </w:r>
    </w:p>
    <w:p w14:paraId="0B974600" w14:textId="30EB705C" w:rsidR="00D95D1A" w:rsidRDefault="006D4CC7" w:rsidP="00077186">
      <w:pPr>
        <w:pStyle w:val="Listtick"/>
      </w:pPr>
      <w:r>
        <w:t>p</w:t>
      </w:r>
      <w:r w:rsidR="00922D88">
        <w:t>arent feedback</w:t>
      </w:r>
    </w:p>
    <w:p w14:paraId="45651EB4" w14:textId="2E4273E6" w:rsidR="00D95D1A" w:rsidRDefault="006D4CC7" w:rsidP="00077186">
      <w:pPr>
        <w:pStyle w:val="Listtick"/>
      </w:pPr>
      <w:r>
        <w:t>t</w:t>
      </w:r>
      <w:r w:rsidR="00D95D1A">
        <w:t>eacher</w:t>
      </w:r>
      <w:r w:rsidR="00922D88">
        <w:t xml:space="preserve"> self-assessment and reflection</w:t>
      </w:r>
    </w:p>
    <w:p w14:paraId="5357BBC7" w14:textId="42D0C08A" w:rsidR="00D95D1A" w:rsidRDefault="00D95D1A" w:rsidP="00077186">
      <w:pPr>
        <w:pStyle w:val="Listtick"/>
      </w:pPr>
      <w:r w:rsidRPr="00855297">
        <w:t>classroom observation reports</w:t>
      </w:r>
    </w:p>
    <w:p w14:paraId="67CB99B5" w14:textId="465E329E" w:rsidR="00D95D1A" w:rsidRDefault="00922D88" w:rsidP="00077186">
      <w:pPr>
        <w:pStyle w:val="Listtick"/>
      </w:pPr>
      <w:r>
        <w:t>lesson plans</w:t>
      </w:r>
    </w:p>
    <w:p w14:paraId="08D49B7C" w14:textId="04263767" w:rsidR="00D95D1A" w:rsidRDefault="00D95D1A" w:rsidP="00077186">
      <w:pPr>
        <w:pStyle w:val="Listtick"/>
      </w:pPr>
      <w:r w:rsidRPr="00855297">
        <w:t xml:space="preserve">professional </w:t>
      </w:r>
      <w:r w:rsidR="001E2408">
        <w:t>learning</w:t>
      </w:r>
      <w:r w:rsidRPr="00855297">
        <w:t xml:space="preserve"> </w:t>
      </w:r>
      <w:r>
        <w:t>conversations and goals</w:t>
      </w:r>
    </w:p>
    <w:p w14:paraId="5F5D98A5" w14:textId="7C136507" w:rsidR="00D95D1A" w:rsidRDefault="00D95D1A" w:rsidP="00077186">
      <w:pPr>
        <w:pStyle w:val="Listtick"/>
      </w:pPr>
      <w:r w:rsidRPr="00855297">
        <w:t xml:space="preserve">student </w:t>
      </w:r>
      <w:r>
        <w:t xml:space="preserve">data and </w:t>
      </w:r>
      <w:r w:rsidRPr="00855297">
        <w:t>work samples</w:t>
      </w:r>
    </w:p>
    <w:p w14:paraId="163A06C5" w14:textId="77777777" w:rsidR="00D01497" w:rsidRDefault="00D01497" w:rsidP="00D01497">
      <w:pPr>
        <w:pStyle w:val="Listtick"/>
        <w:numPr>
          <w:ilvl w:val="0"/>
          <w:numId w:val="0"/>
        </w:numPr>
        <w:ind w:left="357"/>
      </w:pPr>
    </w:p>
    <w:tbl>
      <w:tblPr>
        <w:tblStyle w:val="TableGrid3"/>
        <w:tblW w:w="0" w:type="auto"/>
        <w:tblBorders>
          <w:insideH w:val="none" w:sz="0" w:space="0" w:color="auto"/>
        </w:tblBorders>
        <w:tblLook w:val="04A0" w:firstRow="1" w:lastRow="0" w:firstColumn="1" w:lastColumn="0" w:noHBand="0" w:noVBand="1"/>
      </w:tblPr>
      <w:tblGrid>
        <w:gridCol w:w="1950"/>
        <w:gridCol w:w="7076"/>
      </w:tblGrid>
      <w:tr w:rsidR="00D95D1A" w14:paraId="5954295C" w14:textId="77777777" w:rsidTr="00551CB2">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right w:val="none" w:sz="0" w:space="0" w:color="auto"/>
              <w:tl2br w:val="none" w:sz="0" w:space="0" w:color="auto"/>
              <w:tr2bl w:val="none" w:sz="0" w:space="0" w:color="auto"/>
            </w:tcBorders>
            <w:shd w:val="clear" w:color="CAD6D8" w:themeColor="accent4" w:fill="007377" w:themeFill="text2"/>
          </w:tcPr>
          <w:p w14:paraId="2290B99A" w14:textId="77777777" w:rsidR="00D95D1A" w:rsidRPr="00A51141" w:rsidRDefault="00D95D1A" w:rsidP="00551CB2">
            <w:pPr>
              <w:pStyle w:val="Tablecentreh1"/>
              <w:rPr>
                <w:b w:val="0"/>
              </w:rPr>
            </w:pPr>
            <w:r w:rsidRPr="00A51141">
              <w:t>Supplementary Resources</w:t>
            </w:r>
          </w:p>
        </w:tc>
        <w:tc>
          <w:tcPr>
            <w:tcW w:w="7320" w:type="dxa"/>
            <w:tcBorders>
              <w:top w:val="nil"/>
              <w:left w:val="none" w:sz="0" w:space="0" w:color="auto"/>
              <w:bottom w:val="nil"/>
              <w:right w:val="none" w:sz="0" w:space="0" w:color="auto"/>
              <w:tl2br w:val="none" w:sz="0" w:space="0" w:color="auto"/>
              <w:tr2bl w:val="none" w:sz="0" w:space="0" w:color="auto"/>
            </w:tcBorders>
            <w:shd w:val="clear" w:color="CAD6D8" w:themeColor="accent4" w:fill="F5F7D0" w:themeFill="accent1" w:themeFillTint="33"/>
          </w:tcPr>
          <w:p w14:paraId="4C800E84" w14:textId="77777777" w:rsidR="00D95D1A" w:rsidRPr="00C33BDB" w:rsidRDefault="00C610CD" w:rsidP="00C33BDB">
            <w:pPr>
              <w:pStyle w:val="BulletLevel1"/>
              <w:jc w:val="left"/>
              <w:cnfStyle w:val="100000000000" w:firstRow="1" w:lastRow="0" w:firstColumn="0" w:lastColumn="0" w:oddVBand="0" w:evenVBand="0" w:oddHBand="0" w:evenHBand="0" w:firstRowFirstColumn="0" w:firstRowLastColumn="0" w:lastRowFirstColumn="0" w:lastRowLastColumn="0"/>
              <w:rPr>
                <w:rStyle w:val="Hyperlink"/>
                <w:b w:val="0"/>
              </w:rPr>
            </w:pPr>
            <w:hyperlink r:id="rId15" w:anchor="action=share" w:history="1">
              <w:r w:rsidR="00D95D1A" w:rsidRPr="00C33BDB">
                <w:rPr>
                  <w:rStyle w:val="Hyperlink"/>
                  <w:b w:val="0"/>
                </w:rPr>
                <w:t>Leadership Scenarios: New Role, New Vision</w:t>
              </w:r>
            </w:hyperlink>
          </w:p>
          <w:p w14:paraId="67B9ADF9" w14:textId="77777777" w:rsidR="00D95D1A" w:rsidRPr="00487DA7" w:rsidRDefault="00C610CD" w:rsidP="00C33BDB">
            <w:pPr>
              <w:pStyle w:val="BulletLevel1"/>
              <w:jc w:val="left"/>
              <w:cnfStyle w:val="100000000000" w:firstRow="1" w:lastRow="0" w:firstColumn="0" w:lastColumn="0" w:oddVBand="0" w:evenVBand="0" w:oddHBand="0" w:evenHBand="0" w:firstRowFirstColumn="0" w:firstRowLastColumn="0" w:lastRowFirstColumn="0" w:lastRowLastColumn="0"/>
            </w:pPr>
            <w:hyperlink r:id="rId16" w:history="1">
              <w:r w:rsidR="00D95D1A" w:rsidRPr="00C33BDB">
                <w:rPr>
                  <w:rStyle w:val="Hyperlink"/>
                  <w:b w:val="0"/>
                </w:rPr>
                <w:t>Leadership Scenarios: New Role, New Learning Culture</w:t>
              </w:r>
            </w:hyperlink>
          </w:p>
        </w:tc>
      </w:tr>
    </w:tbl>
    <w:p w14:paraId="56F581BE" w14:textId="77777777" w:rsidR="00772C0A" w:rsidRDefault="00772C0A" w:rsidP="00772C0A"/>
    <w:p w14:paraId="237F28E5" w14:textId="77777777" w:rsidR="00772C0A" w:rsidRDefault="00772C0A" w:rsidP="00772C0A"/>
    <w:p w14:paraId="59A885AE" w14:textId="3D1609C7" w:rsidR="00887874" w:rsidRDefault="00887874">
      <w:pPr>
        <w:spacing w:before="0" w:line="259" w:lineRule="auto"/>
      </w:pPr>
      <w:r>
        <w:br w:type="page"/>
      </w:r>
    </w:p>
    <w:p w14:paraId="1EE82C2C" w14:textId="325FB59C" w:rsidR="003E12A5" w:rsidRDefault="003E12A5" w:rsidP="003E12A5">
      <w:pPr>
        <w:pStyle w:val="STAGE"/>
        <w:spacing w:before="240" w:after="240"/>
        <w:ind w:right="7609"/>
      </w:pPr>
      <w:r>
        <w:lastRenderedPageBreak/>
        <w:t xml:space="preserve"> </w:t>
      </w:r>
      <w:r w:rsidR="00B8097A">
        <w:t xml:space="preserve"> </w:t>
      </w:r>
      <w:r>
        <w:t>STAGE 2</w:t>
      </w:r>
    </w:p>
    <w:p w14:paraId="4BE7B31E" w14:textId="77777777" w:rsidR="00772C0A" w:rsidRDefault="00772C0A" w:rsidP="00887874">
      <w:pPr>
        <w:pStyle w:val="Heading1"/>
      </w:pPr>
      <w:bookmarkStart w:id="8" w:name="_Toc3975862"/>
      <w:r>
        <w:t>Select and undertake learning</w:t>
      </w:r>
      <w:bookmarkEnd w:id="8"/>
      <w:r>
        <w:t xml:space="preserve"> </w:t>
      </w:r>
    </w:p>
    <w:p w14:paraId="12CF5267" w14:textId="0D8E9EA6" w:rsidR="00772C0A" w:rsidRDefault="00772C0A" w:rsidP="00887874">
      <w:pPr>
        <w:pStyle w:val="Greyboxpara"/>
      </w:pPr>
      <w:r>
        <w:t xml:space="preserve">Note – Stages 2 and 3 can occur </w:t>
      </w:r>
      <w:r w:rsidR="00EE6970">
        <w:t>concurrently</w:t>
      </w:r>
      <w:r>
        <w:t xml:space="preserve"> for some forms of professional learning (e.g. Professional Learning Communities).</w:t>
      </w:r>
    </w:p>
    <w:p w14:paraId="3698FE5A" w14:textId="77777777" w:rsidR="00772C0A" w:rsidRDefault="00772C0A" w:rsidP="00772C0A"/>
    <w:p w14:paraId="2662A0BB" w14:textId="6FEE5545" w:rsidR="00772C0A" w:rsidRDefault="006E595B" w:rsidP="00772C0A">
      <w:r>
        <w:t>Darling-Hammond et al. (2009, p. 5) suggest</w:t>
      </w:r>
      <w:r w:rsidR="00772C0A">
        <w:t xml:space="preserve"> that an effective professional learning approach “is intensive and ongoing, and connected to practice; focuses on the teaching and learning of specific academic content; is connected to other school initiatives and builds strong working relationships amon</w:t>
      </w:r>
      <w:r w:rsidR="00692533">
        <w:t>g teachers”</w:t>
      </w:r>
      <w:r w:rsidR="00772C0A">
        <w:t>.</w:t>
      </w:r>
      <w:r>
        <w:t xml:space="preserve"> Of all approaches, school-based and practice-focused </w:t>
      </w:r>
      <w:r w:rsidR="00692533">
        <w:t>approaches</w:t>
      </w:r>
      <w:r>
        <w:t xml:space="preserve"> are seen to be the most effective.</w:t>
      </w:r>
    </w:p>
    <w:p w14:paraId="4A01DDA1" w14:textId="1EF60543" w:rsidR="00772C0A" w:rsidRDefault="00772C0A" w:rsidP="008F263B">
      <w:pPr>
        <w:pStyle w:val="Heading2"/>
      </w:pPr>
      <w:bookmarkStart w:id="9" w:name="_Toc3975863"/>
      <w:r>
        <w:t>For this stage, c</w:t>
      </w:r>
      <w:r w:rsidR="008F263B">
        <w:t>onsider the following questions</w:t>
      </w:r>
      <w:bookmarkEnd w:id="9"/>
    </w:p>
    <w:tbl>
      <w:tblPr>
        <w:tblStyle w:val="ListTable4-Accent6"/>
        <w:tblW w:w="0" w:type="auto"/>
        <w:tblLook w:val="04A0" w:firstRow="1" w:lastRow="0" w:firstColumn="1" w:lastColumn="0" w:noHBand="0" w:noVBand="1"/>
      </w:tblPr>
      <w:tblGrid>
        <w:gridCol w:w="9016"/>
      </w:tblGrid>
      <w:tr w:rsidR="00887874" w14:paraId="017B6C89" w14:textId="77777777" w:rsidTr="00222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6EA66B9E" w14:textId="17BFA946" w:rsidR="00887874" w:rsidRPr="00630911" w:rsidRDefault="00887874" w:rsidP="00A90A65">
            <w:pPr>
              <w:pStyle w:val="Tablecentreh1"/>
            </w:pPr>
            <w:r>
              <w:t>Learning Needs</w:t>
            </w:r>
          </w:p>
        </w:tc>
      </w:tr>
      <w:tr w:rsidR="00887874" w14:paraId="4C22F8C8" w14:textId="77777777" w:rsidTr="00A9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A9790E3" w14:textId="4A1379F7" w:rsidR="00887874" w:rsidRPr="00887874" w:rsidRDefault="00887874" w:rsidP="00887874">
            <w:pPr>
              <w:pStyle w:val="BulletLevel1"/>
              <w:rPr>
                <w:b w:val="0"/>
              </w:rPr>
            </w:pPr>
            <w:r w:rsidRPr="00887874">
              <w:rPr>
                <w:b w:val="0"/>
              </w:rPr>
              <w:t xml:space="preserve">Have you considered different professional learning approaches </w:t>
            </w:r>
            <w:r w:rsidR="00692533">
              <w:rPr>
                <w:b w:val="0"/>
              </w:rPr>
              <w:t xml:space="preserve">(listed below) </w:t>
            </w:r>
            <w:r w:rsidRPr="00887874">
              <w:rPr>
                <w:b w:val="0"/>
              </w:rPr>
              <w:t>that best meet the professional learning needs of staff?</w:t>
            </w:r>
          </w:p>
          <w:p w14:paraId="139E1F8C" w14:textId="73435D0A" w:rsidR="00887874" w:rsidRPr="00887874" w:rsidRDefault="00887874" w:rsidP="00887874">
            <w:pPr>
              <w:pStyle w:val="BulletLevel1"/>
              <w:rPr>
                <w:b w:val="0"/>
              </w:rPr>
            </w:pPr>
            <w:r w:rsidRPr="00887874">
              <w:rPr>
                <w:b w:val="0"/>
              </w:rPr>
              <w:t>How do the identified professional lear</w:t>
            </w:r>
            <w:r w:rsidR="00BB794E">
              <w:rPr>
                <w:b w:val="0"/>
              </w:rPr>
              <w:t>ning needs of staff, school initiatives and school</w:t>
            </w:r>
            <w:r w:rsidRPr="00887874">
              <w:rPr>
                <w:b w:val="0"/>
              </w:rPr>
              <w:t xml:space="preserve"> improvement plan align with one another?</w:t>
            </w:r>
          </w:p>
          <w:p w14:paraId="4B222FF2" w14:textId="77777777" w:rsidR="00887874" w:rsidRPr="00900F63" w:rsidRDefault="00887874" w:rsidP="00887874">
            <w:pPr>
              <w:pStyle w:val="BulletLevel1"/>
              <w:rPr>
                <w:b w:val="0"/>
              </w:rPr>
            </w:pPr>
            <w:r w:rsidRPr="00887874">
              <w:rPr>
                <w:b w:val="0"/>
              </w:rPr>
              <w:t xml:space="preserve">How are teachers informed about different types of professional learning and guided to </w:t>
            </w:r>
            <w:r w:rsidRPr="00900F63">
              <w:rPr>
                <w:b w:val="0"/>
              </w:rPr>
              <w:t>select appropriate ones?</w:t>
            </w:r>
          </w:p>
          <w:p w14:paraId="690DA940" w14:textId="79962882" w:rsidR="00CC5B59" w:rsidRPr="00DE0DCA" w:rsidRDefault="00CC5B59" w:rsidP="00887874">
            <w:pPr>
              <w:pStyle w:val="BulletLevel1"/>
              <w:rPr>
                <w:b w:val="0"/>
              </w:rPr>
            </w:pPr>
            <w:r w:rsidRPr="00900F63">
              <w:rPr>
                <w:b w:val="0"/>
              </w:rPr>
              <w:t>Are staff aligning professional learning needs with the Teacher Standards?</w:t>
            </w:r>
          </w:p>
        </w:tc>
      </w:tr>
    </w:tbl>
    <w:p w14:paraId="74AEE626" w14:textId="77777777" w:rsidR="00887874" w:rsidRDefault="00887874" w:rsidP="00887874"/>
    <w:tbl>
      <w:tblPr>
        <w:tblStyle w:val="ListTable4-Accent6"/>
        <w:tblW w:w="0" w:type="auto"/>
        <w:tblLook w:val="04A0" w:firstRow="1" w:lastRow="0" w:firstColumn="1" w:lastColumn="0" w:noHBand="0" w:noVBand="1"/>
      </w:tblPr>
      <w:tblGrid>
        <w:gridCol w:w="9016"/>
      </w:tblGrid>
      <w:tr w:rsidR="00887874" w14:paraId="0A176FEF" w14:textId="77777777" w:rsidTr="00222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74C0234E" w14:textId="2912B5E8" w:rsidR="00887874" w:rsidRPr="00D95D1A" w:rsidRDefault="00887874" w:rsidP="00A90A65">
            <w:pPr>
              <w:pStyle w:val="Tablecentreh1"/>
            </w:pPr>
            <w:r w:rsidRPr="00887874">
              <w:t>Systems and Processes</w:t>
            </w:r>
          </w:p>
        </w:tc>
      </w:tr>
      <w:tr w:rsidR="00887874" w14:paraId="5802E5E4" w14:textId="77777777" w:rsidTr="00A9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34891C9" w14:textId="7A5536ED" w:rsidR="00887874" w:rsidRPr="00887874" w:rsidRDefault="00887874" w:rsidP="00887874">
            <w:pPr>
              <w:pStyle w:val="BulletLevel1"/>
              <w:rPr>
                <w:b w:val="0"/>
              </w:rPr>
            </w:pPr>
            <w:r w:rsidRPr="00887874">
              <w:rPr>
                <w:b w:val="0"/>
              </w:rPr>
              <w:t xml:space="preserve">How can you leverage current </w:t>
            </w:r>
            <w:r w:rsidR="00BB794E">
              <w:rPr>
                <w:b w:val="0"/>
              </w:rPr>
              <w:t>expertise within the school</w:t>
            </w:r>
            <w:r w:rsidRPr="00887874">
              <w:rPr>
                <w:b w:val="0"/>
              </w:rPr>
              <w:t xml:space="preserve"> to support each professional learning approach? </w:t>
            </w:r>
          </w:p>
          <w:p w14:paraId="7FED91E4" w14:textId="56E4D730" w:rsidR="00887874" w:rsidRPr="00D95D1A" w:rsidRDefault="00BB794E" w:rsidP="00692533">
            <w:pPr>
              <w:pStyle w:val="BulletLevel1"/>
              <w:rPr>
                <w:szCs w:val="16"/>
              </w:rPr>
            </w:pPr>
            <w:r>
              <w:rPr>
                <w:b w:val="0"/>
              </w:rPr>
              <w:t>What school</w:t>
            </w:r>
            <w:r w:rsidR="00887874" w:rsidRPr="00887874">
              <w:rPr>
                <w:b w:val="0"/>
              </w:rPr>
              <w:t xml:space="preserve"> structures and processes can be utilised for </w:t>
            </w:r>
            <w:r w:rsidR="00692533">
              <w:rPr>
                <w:b w:val="0"/>
              </w:rPr>
              <w:t>different</w:t>
            </w:r>
            <w:r w:rsidR="00887874" w:rsidRPr="00887874">
              <w:rPr>
                <w:b w:val="0"/>
              </w:rPr>
              <w:t xml:space="preserve"> professional learning approach</w:t>
            </w:r>
            <w:r w:rsidR="00692533">
              <w:rPr>
                <w:b w:val="0"/>
              </w:rPr>
              <w:t>es (listed below)</w:t>
            </w:r>
            <w:r w:rsidR="00887874" w:rsidRPr="00887874">
              <w:rPr>
                <w:b w:val="0"/>
              </w:rPr>
              <w:t>?</w:t>
            </w:r>
          </w:p>
        </w:tc>
      </w:tr>
    </w:tbl>
    <w:p w14:paraId="41FF920A" w14:textId="6323C1A2" w:rsidR="00887874" w:rsidRDefault="00887874" w:rsidP="00772C0A"/>
    <w:p w14:paraId="38DE710E" w14:textId="77777777" w:rsidR="00780995" w:rsidRDefault="00887874" w:rsidP="003E12A5">
      <w:pPr>
        <w:spacing w:before="0" w:line="259" w:lineRule="auto"/>
      </w:pPr>
      <w:r>
        <w:br w:type="page"/>
      </w:r>
    </w:p>
    <w:p w14:paraId="22379530" w14:textId="77777777" w:rsidR="00780995" w:rsidRDefault="00780995" w:rsidP="00780995">
      <w:pPr>
        <w:pStyle w:val="Heading5"/>
      </w:pPr>
      <w:r>
        <w:lastRenderedPageBreak/>
        <w:t>Professional Learning Approaches</w:t>
      </w:r>
    </w:p>
    <w:p w14:paraId="4DF94859" w14:textId="77777777" w:rsidR="003E54DE" w:rsidRDefault="00772C0A" w:rsidP="003E12A5">
      <w:pPr>
        <w:spacing w:before="0" w:line="259" w:lineRule="auto"/>
      </w:pPr>
      <w:r>
        <w:t>There is a wide range of professional learning that a teacher can undertake (as below). Note that this list is not exhaustive</w:t>
      </w:r>
      <w:r w:rsidR="003E54DE">
        <w:t>.</w:t>
      </w:r>
    </w:p>
    <w:p w14:paraId="333B27D8" w14:textId="224002C1" w:rsidR="0067000D" w:rsidRDefault="00775FDC" w:rsidP="003E12A5">
      <w:pPr>
        <w:spacing w:before="0" w:line="259" w:lineRule="auto"/>
      </w:pPr>
      <w:r>
        <w:rPr>
          <w:noProof/>
          <w:lang w:eastAsia="en-AU"/>
        </w:rPr>
        <w:drawing>
          <wp:anchor distT="0" distB="0" distL="114300" distR="114300" simplePos="0" relativeHeight="251670016" behindDoc="0" locked="0" layoutInCell="1" allowOverlap="1" wp14:anchorId="790D1C2A" wp14:editId="0887C234">
            <wp:simplePos x="0" y="0"/>
            <wp:positionH relativeFrom="column">
              <wp:posOffset>-431165</wp:posOffset>
            </wp:positionH>
            <wp:positionV relativeFrom="paragraph">
              <wp:posOffset>572770</wp:posOffset>
            </wp:positionV>
            <wp:extent cx="6638925" cy="4105275"/>
            <wp:effectExtent l="0" t="0" r="9525"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3E54DE">
        <w:t>T</w:t>
      </w:r>
      <w:r w:rsidR="00C011B7">
        <w:t>he</w:t>
      </w:r>
      <w:r w:rsidR="003E54DE">
        <w:t>se categories are non-discrete as there may be</w:t>
      </w:r>
      <w:r w:rsidR="00C011B7">
        <w:t xml:space="preserve"> overlaps in </w:t>
      </w:r>
      <w:r w:rsidR="00D53B4E">
        <w:t>learning approaches</w:t>
      </w:r>
      <w:r w:rsidR="00C160FA">
        <w:t xml:space="preserve">. For example, </w:t>
      </w:r>
      <w:r w:rsidR="004E25CB">
        <w:t xml:space="preserve">some </w:t>
      </w:r>
      <w:r w:rsidR="00C160FA" w:rsidRPr="004E25CB">
        <w:rPr>
          <w:i/>
        </w:rPr>
        <w:t>Professional Learning Communities</w:t>
      </w:r>
      <w:r w:rsidR="00C160FA">
        <w:t xml:space="preserve"> could involve learning journeys and observation of practice and feedback.</w:t>
      </w:r>
    </w:p>
    <w:p w14:paraId="21491B60" w14:textId="716747F2" w:rsidR="004B2149" w:rsidRDefault="004B2149" w:rsidP="003E12A5">
      <w:pPr>
        <w:spacing w:before="0" w:line="259" w:lineRule="auto"/>
      </w:pPr>
    </w:p>
    <w:p w14:paraId="425A38AD" w14:textId="047A805A" w:rsidR="00772C0A" w:rsidRDefault="00772C0A" w:rsidP="00772C0A">
      <w:r>
        <w:t>Many of these approaches can be job-embedded such as classroom</w:t>
      </w:r>
      <w:r w:rsidR="00694CF0">
        <w:t>-</w:t>
      </w:r>
      <w:r>
        <w:t>based teaching, communities of practice and inquiry research.</w:t>
      </w:r>
    </w:p>
    <w:p w14:paraId="0B3223A6" w14:textId="77777777" w:rsidR="00551CB2" w:rsidRDefault="00551CB2" w:rsidP="00772C0A"/>
    <w:tbl>
      <w:tblPr>
        <w:tblStyle w:val="TableGrid3"/>
        <w:tblW w:w="0" w:type="auto"/>
        <w:tblBorders>
          <w:insideH w:val="none" w:sz="0" w:space="0" w:color="auto"/>
        </w:tblBorders>
        <w:tblLook w:val="04A0" w:firstRow="1" w:lastRow="0" w:firstColumn="1" w:lastColumn="0" w:noHBand="0" w:noVBand="1"/>
      </w:tblPr>
      <w:tblGrid>
        <w:gridCol w:w="1950"/>
        <w:gridCol w:w="7076"/>
      </w:tblGrid>
      <w:tr w:rsidR="00D01497" w14:paraId="739F3255" w14:textId="77777777" w:rsidTr="00A90A65">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96" w:type="dxa"/>
            <w:shd w:val="clear" w:color="CAD6D8" w:themeColor="accent4" w:fill="007377" w:themeFill="text2"/>
          </w:tcPr>
          <w:p w14:paraId="19605B25" w14:textId="77777777" w:rsidR="00D01497" w:rsidRPr="00A51141" w:rsidRDefault="00D01497" w:rsidP="00A90A65">
            <w:pPr>
              <w:pStyle w:val="Tablecentreh1"/>
              <w:rPr>
                <w:b w:val="0"/>
              </w:rPr>
            </w:pPr>
            <w:r w:rsidRPr="00A51141">
              <w:t>Supplementary Resources</w:t>
            </w:r>
          </w:p>
        </w:tc>
        <w:tc>
          <w:tcPr>
            <w:tcW w:w="7320" w:type="dxa"/>
            <w:tcBorders>
              <w:top w:val="nil"/>
              <w:bottom w:val="nil"/>
            </w:tcBorders>
            <w:shd w:val="clear" w:color="CAD6D8" w:themeColor="accent4" w:fill="F5F7D0" w:themeFill="accent1" w:themeFillTint="33"/>
          </w:tcPr>
          <w:p w14:paraId="490583D4" w14:textId="37C3062B" w:rsidR="00D01497" w:rsidRPr="00487DA7" w:rsidRDefault="00C610CD" w:rsidP="00A90A65">
            <w:pPr>
              <w:pStyle w:val="BulletLevel1"/>
              <w:jc w:val="left"/>
              <w:cnfStyle w:val="100000000000" w:firstRow="1" w:lastRow="0" w:firstColumn="0" w:lastColumn="0" w:oddVBand="0" w:evenVBand="0" w:oddHBand="0" w:evenHBand="0" w:firstRowFirstColumn="0" w:firstRowLastColumn="0" w:lastRowFirstColumn="0" w:lastRowLastColumn="0"/>
            </w:pPr>
            <w:hyperlink r:id="rId22" w:history="1">
              <w:r w:rsidR="00D01497" w:rsidRPr="00D01497">
                <w:rPr>
                  <w:rStyle w:val="Hyperlink"/>
                  <w:b w:val="0"/>
                  <w:bCs w:val="0"/>
                </w:rPr>
                <w:t>AITSL’s Classroom Observation Strategies</w:t>
              </w:r>
            </w:hyperlink>
          </w:p>
        </w:tc>
      </w:tr>
    </w:tbl>
    <w:p w14:paraId="76399043" w14:textId="3563B3BB" w:rsidR="00D01497" w:rsidRDefault="00D01497" w:rsidP="00772C0A"/>
    <w:p w14:paraId="4CF2E4AD" w14:textId="77777777" w:rsidR="00D01497" w:rsidRDefault="00D01497">
      <w:pPr>
        <w:spacing w:before="0" w:line="259" w:lineRule="auto"/>
      </w:pPr>
      <w:r>
        <w:br w:type="page"/>
      </w:r>
    </w:p>
    <w:p w14:paraId="5CE76475" w14:textId="1CC6DDFE" w:rsidR="003E12A5" w:rsidRDefault="003E12A5" w:rsidP="003E12A5">
      <w:pPr>
        <w:pStyle w:val="STAGE"/>
        <w:spacing w:before="240" w:after="240"/>
        <w:ind w:right="7609"/>
      </w:pPr>
      <w:r>
        <w:lastRenderedPageBreak/>
        <w:t xml:space="preserve"> </w:t>
      </w:r>
      <w:r w:rsidR="00B8097A">
        <w:t xml:space="preserve"> </w:t>
      </w:r>
      <w:r>
        <w:t>STAGE 3</w:t>
      </w:r>
    </w:p>
    <w:p w14:paraId="1B7FE423" w14:textId="77777777" w:rsidR="00772C0A" w:rsidRDefault="00772C0A" w:rsidP="00D01497">
      <w:pPr>
        <w:pStyle w:val="Heading1"/>
      </w:pPr>
      <w:bookmarkStart w:id="10" w:name="_Toc3975864"/>
      <w:r>
        <w:t>Apply and refine learning</w:t>
      </w:r>
      <w:bookmarkEnd w:id="10"/>
      <w:r>
        <w:t xml:space="preserve"> </w:t>
      </w:r>
    </w:p>
    <w:p w14:paraId="41640672" w14:textId="240AE633" w:rsidR="001E2408" w:rsidRDefault="001E2408" w:rsidP="001E2408">
      <w:pPr>
        <w:pStyle w:val="Greyboxpara"/>
      </w:pPr>
      <w:r>
        <w:t xml:space="preserve">Note – Stages 3 and 4 can occur concurrently for some forms of professional learning (e.g. </w:t>
      </w:r>
      <w:r w:rsidR="009504A3">
        <w:t>Action research</w:t>
      </w:r>
      <w:r>
        <w:t>).</w:t>
      </w:r>
    </w:p>
    <w:p w14:paraId="38D2FC84" w14:textId="77777777" w:rsidR="00772C0A" w:rsidRDefault="00772C0A" w:rsidP="00772C0A"/>
    <w:p w14:paraId="494EB62E" w14:textId="66F7C939" w:rsidR="000F03DB" w:rsidRDefault="000F03DB" w:rsidP="000F03DB">
      <w:bookmarkStart w:id="11" w:name="_Toc3975865"/>
      <w:r>
        <w:t xml:space="preserve">Applying professional </w:t>
      </w:r>
      <w:r w:rsidR="00E144D1">
        <w:t>learning and</w:t>
      </w:r>
      <w:r>
        <w:t xml:space="preserve"> evaluating and reflecting on the impact of a new approach on students, is key to achieving a change in teaching practice and learner outcomes (Naylor &amp; Sayed 2014). </w:t>
      </w:r>
      <w:bookmarkStart w:id="12" w:name="_GoBack"/>
      <w:bookmarkEnd w:id="12"/>
    </w:p>
    <w:p w14:paraId="6BAFEE15" w14:textId="52F8597E" w:rsidR="000F03DB" w:rsidRDefault="000F03DB" w:rsidP="000F03DB">
      <w:r>
        <w:t xml:space="preserve">The school environment is </w:t>
      </w:r>
      <w:r w:rsidR="00294DC0">
        <w:t>vital</w:t>
      </w:r>
      <w:r>
        <w:t xml:space="preserve"> to the transference of knowledge and learning into changed tea</w:t>
      </w:r>
      <w:r w:rsidR="00A92345">
        <w:t>ching practice. According to the Charter</w:t>
      </w:r>
      <w:r w:rsidR="0088193F">
        <w:t xml:space="preserve"> (p.3)</w:t>
      </w:r>
      <w:r>
        <w:t>, teachers are well placed to apply their professional learning to classroom practice when there is “support for professional learning through school structures, explicit planning</w:t>
      </w:r>
      <w:r w:rsidR="0088193F">
        <w:t xml:space="preserve"> and the allocation of time”</w:t>
      </w:r>
      <w:r>
        <w:t xml:space="preserve">. </w:t>
      </w:r>
    </w:p>
    <w:p w14:paraId="574D80A2" w14:textId="77777777" w:rsidR="000F03DB" w:rsidRDefault="000F03DB" w:rsidP="000F03DB">
      <w:r>
        <w:t>A culture of learning within schools supports the successful implementation of professional learning. Collaboration where teachers reflect on and refine their practice, then share their learnings, is a key element of this stage. Continual feedback from colleagues and relevant leaders is equally important.</w:t>
      </w:r>
    </w:p>
    <w:p w14:paraId="2E4C3B05" w14:textId="70F7520D" w:rsidR="00772C0A" w:rsidRDefault="00772C0A" w:rsidP="008F263B">
      <w:pPr>
        <w:pStyle w:val="Heading2"/>
      </w:pPr>
      <w:r>
        <w:t>For this stage, c</w:t>
      </w:r>
      <w:r w:rsidR="008F263B">
        <w:t>onsider the following questions</w:t>
      </w:r>
      <w:bookmarkEnd w:id="11"/>
    </w:p>
    <w:tbl>
      <w:tblPr>
        <w:tblStyle w:val="ListTable4-Accent6"/>
        <w:tblW w:w="0" w:type="auto"/>
        <w:tblLook w:val="04A0" w:firstRow="1" w:lastRow="0" w:firstColumn="1" w:lastColumn="0" w:noHBand="0" w:noVBand="1"/>
      </w:tblPr>
      <w:tblGrid>
        <w:gridCol w:w="9016"/>
      </w:tblGrid>
      <w:tr w:rsidR="00C225E8" w14:paraId="23002B77" w14:textId="77777777" w:rsidTr="00A9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05262258" w14:textId="165168DB" w:rsidR="00C225E8" w:rsidRPr="00630911" w:rsidRDefault="00C225E8" w:rsidP="00A90A65">
            <w:pPr>
              <w:pStyle w:val="Tablecentreh1"/>
            </w:pPr>
            <w:r w:rsidRPr="00C225E8">
              <w:t>Growth and Improvement</w:t>
            </w:r>
          </w:p>
        </w:tc>
      </w:tr>
      <w:tr w:rsidR="00C225E8" w14:paraId="2CB56E36" w14:textId="77777777" w:rsidTr="00A9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56702D1E" w14:textId="2F1183EA" w:rsidR="00C225E8" w:rsidRPr="00C225E8" w:rsidRDefault="00C225E8" w:rsidP="00C225E8">
            <w:pPr>
              <w:pStyle w:val="BulletLevel1"/>
              <w:rPr>
                <w:b w:val="0"/>
              </w:rPr>
            </w:pPr>
            <w:r w:rsidRPr="00C225E8">
              <w:rPr>
                <w:b w:val="0"/>
              </w:rPr>
              <w:t>How are teachers made aware of what effective practice should look like in the classroom?</w:t>
            </w:r>
          </w:p>
          <w:p w14:paraId="287FB21D" w14:textId="4DFE6872" w:rsidR="00C225E8" w:rsidRPr="00C225E8" w:rsidRDefault="00C225E8" w:rsidP="00C225E8">
            <w:pPr>
              <w:pStyle w:val="BulletLevel1"/>
              <w:rPr>
                <w:b w:val="0"/>
              </w:rPr>
            </w:pPr>
            <w:r w:rsidRPr="00C225E8">
              <w:rPr>
                <w:b w:val="0"/>
              </w:rPr>
              <w:t>How are teachers supported to apply their learning in phases in order to experience gradual and incremental professional growth?</w:t>
            </w:r>
          </w:p>
          <w:p w14:paraId="1A9A4E2A" w14:textId="031B246E" w:rsidR="00C225E8" w:rsidRPr="00DE0DCA" w:rsidRDefault="00C225E8" w:rsidP="00C225E8">
            <w:pPr>
              <w:pStyle w:val="BulletLevel1"/>
              <w:rPr>
                <w:b w:val="0"/>
              </w:rPr>
            </w:pPr>
            <w:r w:rsidRPr="00C225E8">
              <w:rPr>
                <w:b w:val="0"/>
              </w:rPr>
              <w:t>How has the application of lea</w:t>
            </w:r>
            <w:r w:rsidR="00BB794E">
              <w:rPr>
                <w:b w:val="0"/>
              </w:rPr>
              <w:t>rning contributed to school</w:t>
            </w:r>
            <w:r w:rsidRPr="00C225E8">
              <w:rPr>
                <w:b w:val="0"/>
              </w:rPr>
              <w:t xml:space="preserve"> improvement goals?</w:t>
            </w:r>
          </w:p>
        </w:tc>
      </w:tr>
    </w:tbl>
    <w:p w14:paraId="4751D5FF" w14:textId="77777777" w:rsidR="00C225E8" w:rsidRDefault="00C225E8" w:rsidP="00C225E8"/>
    <w:tbl>
      <w:tblPr>
        <w:tblStyle w:val="ListTable4-Accent6"/>
        <w:tblW w:w="0" w:type="auto"/>
        <w:tblLook w:val="04A0" w:firstRow="1" w:lastRow="0" w:firstColumn="1" w:lastColumn="0" w:noHBand="0" w:noVBand="1"/>
      </w:tblPr>
      <w:tblGrid>
        <w:gridCol w:w="9016"/>
      </w:tblGrid>
      <w:tr w:rsidR="00C225E8" w14:paraId="68394836" w14:textId="77777777" w:rsidTr="00A90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298B834F" w14:textId="77777777" w:rsidR="00C225E8" w:rsidRPr="00D95D1A" w:rsidRDefault="00C225E8" w:rsidP="00A90A65">
            <w:pPr>
              <w:pStyle w:val="Tablecentreh1"/>
            </w:pPr>
            <w:r w:rsidRPr="00887874">
              <w:t>Systems and Processes</w:t>
            </w:r>
          </w:p>
        </w:tc>
      </w:tr>
      <w:tr w:rsidR="00C225E8" w14:paraId="2B9C4346" w14:textId="77777777" w:rsidTr="00A90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60C94CD" w14:textId="43514B61" w:rsidR="00A90A65" w:rsidRPr="00A90A65" w:rsidRDefault="00BB794E" w:rsidP="00A90A65">
            <w:pPr>
              <w:pStyle w:val="BulletLevel1"/>
              <w:rPr>
                <w:b w:val="0"/>
              </w:rPr>
            </w:pPr>
            <w:r>
              <w:rPr>
                <w:b w:val="0"/>
              </w:rPr>
              <w:t>What school</w:t>
            </w:r>
            <w:r w:rsidR="00A90A65" w:rsidRPr="00A90A65">
              <w:rPr>
                <w:b w:val="0"/>
              </w:rPr>
              <w:t xml:space="preserve"> systems and processes are in place to support teachers to be innovative, try new strategies, refine them and reflect on their learning? </w:t>
            </w:r>
          </w:p>
          <w:p w14:paraId="670E533D" w14:textId="3AB42CBD" w:rsidR="00C225E8" w:rsidRPr="00D95D1A" w:rsidRDefault="00A90A65" w:rsidP="00A90A65">
            <w:pPr>
              <w:pStyle w:val="BulletLevel1"/>
              <w:rPr>
                <w:szCs w:val="16"/>
              </w:rPr>
            </w:pPr>
            <w:r w:rsidRPr="00A90A65">
              <w:rPr>
                <w:b w:val="0"/>
              </w:rPr>
              <w:t>What formal or informal opportunities are there for teachers to receive feedback, reflect and to challenge their thinking?</w:t>
            </w:r>
          </w:p>
        </w:tc>
      </w:tr>
    </w:tbl>
    <w:p w14:paraId="68AC7326" w14:textId="6C58090F" w:rsidR="00A90A65" w:rsidRDefault="00A90A65" w:rsidP="00772C0A"/>
    <w:p w14:paraId="3ACA6E5E" w14:textId="6377B74A" w:rsidR="00772C0A" w:rsidRDefault="00A90A65" w:rsidP="00EB6056">
      <w:pPr>
        <w:pStyle w:val="Heading5"/>
      </w:pPr>
      <w:r>
        <w:br w:type="page"/>
      </w:r>
      <w:r w:rsidR="00772C0A">
        <w:lastRenderedPageBreak/>
        <w:t xml:space="preserve">Examples of how to </w:t>
      </w:r>
      <w:r w:rsidR="005A7F18">
        <w:t xml:space="preserve">support teachers to </w:t>
      </w:r>
      <w:r w:rsidR="00772C0A">
        <w:t>reflect on and refine the learning being applied include:</w:t>
      </w:r>
    </w:p>
    <w:p w14:paraId="57460468" w14:textId="77777777" w:rsidR="005A7F18" w:rsidRDefault="005A7F18" w:rsidP="005A7F18">
      <w:pPr>
        <w:pStyle w:val="Listtick"/>
      </w:pPr>
      <w:r>
        <w:t>focusing on changing one or two practices at a time to support the transference of learning</w:t>
      </w:r>
    </w:p>
    <w:p w14:paraId="3423FC93" w14:textId="77777777" w:rsidR="005A7F18" w:rsidRDefault="005A7F18" w:rsidP="005A7F18">
      <w:pPr>
        <w:pStyle w:val="Listtick"/>
      </w:pPr>
      <w:r>
        <w:t>facilitating feedback from colleagues and school leaders</w:t>
      </w:r>
    </w:p>
    <w:p w14:paraId="639D515E" w14:textId="77777777" w:rsidR="005A7F18" w:rsidRDefault="005A7F18" w:rsidP="005A7F18">
      <w:pPr>
        <w:pStyle w:val="Listtick"/>
      </w:pPr>
      <w:r>
        <w:t>encouraging reflective practice individually and with colleagues</w:t>
      </w:r>
    </w:p>
    <w:p w14:paraId="2547654E" w14:textId="77777777" w:rsidR="005A7F18" w:rsidRDefault="005A7F18" w:rsidP="005A7F18">
      <w:pPr>
        <w:pStyle w:val="Listtick"/>
      </w:pPr>
      <w:r>
        <w:t>permission to fail</w:t>
      </w:r>
    </w:p>
    <w:p w14:paraId="3F06393A" w14:textId="77777777" w:rsidR="005A7F18" w:rsidRDefault="005A7F18" w:rsidP="005A7F18">
      <w:pPr>
        <w:pStyle w:val="Listtick"/>
      </w:pPr>
      <w:r>
        <w:t>sharing learnings with others</w:t>
      </w:r>
    </w:p>
    <w:p w14:paraId="4684C1B3" w14:textId="77777777" w:rsidR="00A90A65" w:rsidRDefault="00A90A65" w:rsidP="00A90A65">
      <w:pPr>
        <w:pStyle w:val="Listtick"/>
        <w:numPr>
          <w:ilvl w:val="0"/>
          <w:numId w:val="0"/>
        </w:numPr>
        <w:ind w:left="357" w:hanging="357"/>
      </w:pPr>
    </w:p>
    <w:tbl>
      <w:tblPr>
        <w:tblStyle w:val="TableGrid3"/>
        <w:tblW w:w="0" w:type="auto"/>
        <w:tblBorders>
          <w:insideH w:val="none" w:sz="0" w:space="0" w:color="auto"/>
        </w:tblBorders>
        <w:tblLook w:val="04A0" w:firstRow="1" w:lastRow="0" w:firstColumn="1" w:lastColumn="0" w:noHBand="0" w:noVBand="1"/>
      </w:tblPr>
      <w:tblGrid>
        <w:gridCol w:w="1950"/>
        <w:gridCol w:w="7076"/>
      </w:tblGrid>
      <w:tr w:rsidR="00A90A65" w14:paraId="14C55F43" w14:textId="77777777" w:rsidTr="00A90A65">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96" w:type="dxa"/>
            <w:shd w:val="clear" w:color="CAD6D8" w:themeColor="accent4" w:fill="007377" w:themeFill="text2"/>
          </w:tcPr>
          <w:p w14:paraId="51E2C0EA" w14:textId="77777777" w:rsidR="00A90A65" w:rsidRPr="00A51141" w:rsidRDefault="00A90A65" w:rsidP="00A90A65">
            <w:pPr>
              <w:pStyle w:val="Tablecentreh1"/>
              <w:rPr>
                <w:b w:val="0"/>
              </w:rPr>
            </w:pPr>
            <w:r w:rsidRPr="00A51141">
              <w:t>Supplementary Resources</w:t>
            </w:r>
          </w:p>
        </w:tc>
        <w:tc>
          <w:tcPr>
            <w:tcW w:w="7320" w:type="dxa"/>
            <w:tcBorders>
              <w:top w:val="nil"/>
              <w:bottom w:val="nil"/>
            </w:tcBorders>
            <w:shd w:val="clear" w:color="CAD6D8" w:themeColor="accent4" w:fill="F5F7D0" w:themeFill="accent1" w:themeFillTint="33"/>
          </w:tcPr>
          <w:p w14:paraId="0BD2103B" w14:textId="3E206B6D" w:rsidR="00A90A65" w:rsidRPr="00487DA7" w:rsidRDefault="00C610CD" w:rsidP="00A90A65">
            <w:pPr>
              <w:pStyle w:val="BulletLevel1"/>
              <w:jc w:val="left"/>
              <w:cnfStyle w:val="100000000000" w:firstRow="1" w:lastRow="0" w:firstColumn="0" w:lastColumn="0" w:oddVBand="0" w:evenVBand="0" w:oddHBand="0" w:evenHBand="0" w:firstRowFirstColumn="0" w:firstRowLastColumn="0" w:lastRowFirstColumn="0" w:lastRowLastColumn="0"/>
            </w:pPr>
            <w:hyperlink r:id="rId23" w:history="1">
              <w:r w:rsidR="00A90A65" w:rsidRPr="00A90A65">
                <w:rPr>
                  <w:rStyle w:val="Hyperlink"/>
                  <w:b w:val="0"/>
                  <w:bCs w:val="0"/>
                </w:rPr>
                <w:t>Leadership Scenarios: New Role, New Conversations</w:t>
              </w:r>
            </w:hyperlink>
          </w:p>
        </w:tc>
      </w:tr>
    </w:tbl>
    <w:p w14:paraId="273C5DAF" w14:textId="77777777" w:rsidR="00A90A65" w:rsidRDefault="00A90A65" w:rsidP="00A90A65">
      <w:pPr>
        <w:pStyle w:val="Listtick"/>
        <w:numPr>
          <w:ilvl w:val="0"/>
          <w:numId w:val="0"/>
        </w:numPr>
        <w:ind w:left="357" w:hanging="357"/>
      </w:pPr>
    </w:p>
    <w:p w14:paraId="3F8A6585" w14:textId="77777777" w:rsidR="00A90A65" w:rsidRDefault="00A90A65">
      <w:pPr>
        <w:spacing w:before="0" w:line="259" w:lineRule="auto"/>
        <w:rPr>
          <w:rFonts w:eastAsiaTheme="majorEastAsia" w:cstheme="majorBidi"/>
          <w:b/>
          <w:bCs/>
          <w:color w:val="007377" w:themeColor="text2"/>
          <w:sz w:val="52"/>
          <w:szCs w:val="52"/>
        </w:rPr>
      </w:pPr>
      <w:r>
        <w:br w:type="page"/>
      </w:r>
    </w:p>
    <w:p w14:paraId="7CC98D34" w14:textId="143F1538" w:rsidR="003E12A5" w:rsidRDefault="003E12A5" w:rsidP="003E12A5">
      <w:pPr>
        <w:pStyle w:val="STAGE"/>
        <w:spacing w:before="240" w:after="240"/>
        <w:ind w:right="7609"/>
      </w:pPr>
      <w:r>
        <w:lastRenderedPageBreak/>
        <w:t xml:space="preserve"> </w:t>
      </w:r>
      <w:r w:rsidR="00B8097A">
        <w:t xml:space="preserve"> </w:t>
      </w:r>
      <w:r>
        <w:t>STAGE 4</w:t>
      </w:r>
    </w:p>
    <w:p w14:paraId="6405F8E2" w14:textId="3AD95B25" w:rsidR="00772C0A" w:rsidRDefault="00772C0A" w:rsidP="00A90A65">
      <w:pPr>
        <w:pStyle w:val="Heading1"/>
      </w:pPr>
      <w:bookmarkStart w:id="13" w:name="_Toc3975866"/>
      <w:r>
        <w:t>Evaluate overall impact</w:t>
      </w:r>
      <w:bookmarkEnd w:id="13"/>
      <w:r>
        <w:t xml:space="preserve"> </w:t>
      </w:r>
    </w:p>
    <w:p w14:paraId="2179CC2A" w14:textId="11ABF723" w:rsidR="00E216E0" w:rsidRDefault="00E216E0" w:rsidP="00E216E0">
      <w:bookmarkStart w:id="14" w:name="_Toc3975867"/>
      <w:r>
        <w:t xml:space="preserve">It is important to evaluate the professional learning experience </w:t>
      </w:r>
      <w:r w:rsidR="0070048D">
        <w:t xml:space="preserve">formatively, </w:t>
      </w:r>
      <w:r>
        <w:t>on three levels:</w:t>
      </w:r>
    </w:p>
    <w:p w14:paraId="589A1BB5" w14:textId="20C5A3A8" w:rsidR="00E216E0" w:rsidRDefault="00E01919" w:rsidP="00E216E0">
      <w:pPr>
        <w:pStyle w:val="ListParagraph"/>
        <w:numPr>
          <w:ilvl w:val="0"/>
          <w:numId w:val="29"/>
        </w:numPr>
      </w:pPr>
      <w:r>
        <w:t>s</w:t>
      </w:r>
      <w:r w:rsidR="00E216E0">
        <w:t>chool support for professional learning</w:t>
      </w:r>
    </w:p>
    <w:p w14:paraId="2B25CE4A" w14:textId="4858865D" w:rsidR="00E216E0" w:rsidRDefault="00E216E0" w:rsidP="00E216E0">
      <w:pPr>
        <w:pStyle w:val="ListParagraph"/>
        <w:numPr>
          <w:ilvl w:val="0"/>
          <w:numId w:val="29"/>
        </w:numPr>
      </w:pPr>
      <w:r>
        <w:t xml:space="preserve">a teacher’s learning and application of the acquired knowledge and skills </w:t>
      </w:r>
    </w:p>
    <w:p w14:paraId="6467B70F" w14:textId="77777777" w:rsidR="00E216E0" w:rsidRDefault="00E216E0" w:rsidP="00E216E0">
      <w:pPr>
        <w:pStyle w:val="ListParagraph"/>
        <w:numPr>
          <w:ilvl w:val="0"/>
          <w:numId w:val="29"/>
        </w:numPr>
      </w:pPr>
      <w:r>
        <w:t>learner outcomes – whether the professional learning results in the intended change.</w:t>
      </w:r>
    </w:p>
    <w:p w14:paraId="79E6B3E8" w14:textId="72A09E88" w:rsidR="00E216E0" w:rsidRDefault="00E216E0" w:rsidP="00E216E0">
      <w:r>
        <w:t xml:space="preserve">Measuring at multiple levels will assist in identifying </w:t>
      </w:r>
      <w:r w:rsidR="00152D62">
        <w:t xml:space="preserve">areas for development and improvement </w:t>
      </w:r>
      <w:r>
        <w:t>at dif</w:t>
      </w:r>
      <w:r w:rsidR="0070048D">
        <w:t>ferent stages of the HQPL cycle</w:t>
      </w:r>
      <w:r>
        <w:t xml:space="preserve">. This can guide future refinements to next steps and </w:t>
      </w:r>
      <w:r w:rsidR="00152D62">
        <w:t xml:space="preserve">inform </w:t>
      </w:r>
      <w:r>
        <w:t xml:space="preserve">ongoing professional learning needs. </w:t>
      </w:r>
    </w:p>
    <w:p w14:paraId="6614DFF3" w14:textId="5E40F591" w:rsidR="00772C0A" w:rsidRDefault="00772C0A" w:rsidP="00AC180C">
      <w:pPr>
        <w:pStyle w:val="Heading2"/>
      </w:pPr>
      <w:r>
        <w:t>For this stage, c</w:t>
      </w:r>
      <w:r w:rsidR="00AC180C">
        <w:t>onsider the following questions</w:t>
      </w:r>
      <w:bookmarkEnd w:id="14"/>
    </w:p>
    <w:tbl>
      <w:tblPr>
        <w:tblStyle w:val="ListTable4-Accent6"/>
        <w:tblW w:w="0" w:type="auto"/>
        <w:tblLook w:val="04A0" w:firstRow="1" w:lastRow="0" w:firstColumn="1" w:lastColumn="0" w:noHBand="0" w:noVBand="1"/>
      </w:tblPr>
      <w:tblGrid>
        <w:gridCol w:w="9016"/>
      </w:tblGrid>
      <w:tr w:rsidR="00AC180C" w14:paraId="05293DEA" w14:textId="77777777" w:rsidTr="00792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0BBA4D04" w14:textId="5DDAD336" w:rsidR="00AC180C" w:rsidRPr="00630911" w:rsidRDefault="00053549" w:rsidP="007924B0">
            <w:pPr>
              <w:pStyle w:val="Tablecentreh1"/>
            </w:pPr>
            <w:r>
              <w:t>Goals and O</w:t>
            </w:r>
            <w:r w:rsidR="00AC180C" w:rsidRPr="00AC180C">
              <w:t>utcomes</w:t>
            </w:r>
          </w:p>
        </w:tc>
      </w:tr>
      <w:tr w:rsidR="00AC180C" w14:paraId="31AF2385" w14:textId="77777777" w:rsidTr="0079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05CEC297" w14:textId="20FBFCB1" w:rsidR="00AC180C" w:rsidRPr="00F666E3" w:rsidRDefault="00866DFC" w:rsidP="00AC180C">
            <w:pPr>
              <w:pStyle w:val="BulletLevel1"/>
              <w:rPr>
                <w:b w:val="0"/>
              </w:rPr>
            </w:pPr>
            <w:r>
              <w:rPr>
                <w:b w:val="0"/>
              </w:rPr>
              <w:t>What</w:t>
            </w:r>
            <w:r w:rsidR="00AC180C" w:rsidRPr="00AC180C">
              <w:rPr>
                <w:b w:val="0"/>
              </w:rPr>
              <w:t xml:space="preserve"> </w:t>
            </w:r>
            <w:r w:rsidRPr="00F666E3">
              <w:rPr>
                <w:b w:val="0"/>
              </w:rPr>
              <w:t>indicators</w:t>
            </w:r>
            <w:r w:rsidR="00AC180C" w:rsidRPr="00F666E3">
              <w:rPr>
                <w:b w:val="0"/>
              </w:rPr>
              <w:t xml:space="preserve"> </w:t>
            </w:r>
            <w:r w:rsidRPr="00F666E3">
              <w:rPr>
                <w:b w:val="0"/>
              </w:rPr>
              <w:t xml:space="preserve">have </w:t>
            </w:r>
            <w:r w:rsidR="00AC180C" w:rsidRPr="00F666E3">
              <w:rPr>
                <w:b w:val="0"/>
              </w:rPr>
              <w:t xml:space="preserve">been selected to </w:t>
            </w:r>
            <w:r w:rsidRPr="00F666E3">
              <w:rPr>
                <w:b w:val="0"/>
              </w:rPr>
              <w:t>measure</w:t>
            </w:r>
            <w:r w:rsidR="00AC180C" w:rsidRPr="00F666E3">
              <w:rPr>
                <w:b w:val="0"/>
              </w:rPr>
              <w:t xml:space="preserve"> </w:t>
            </w:r>
            <w:r w:rsidRPr="00F666E3">
              <w:rPr>
                <w:b w:val="0"/>
              </w:rPr>
              <w:t xml:space="preserve">change in practice from </w:t>
            </w:r>
            <w:r w:rsidR="00AC180C" w:rsidRPr="00F666E3">
              <w:rPr>
                <w:b w:val="0"/>
              </w:rPr>
              <w:t xml:space="preserve">the professional learning? </w:t>
            </w:r>
          </w:p>
          <w:p w14:paraId="68C27A2F" w14:textId="77777777" w:rsidR="00AC180C" w:rsidRPr="00F666E3" w:rsidRDefault="00AC180C" w:rsidP="00AC180C">
            <w:pPr>
              <w:pStyle w:val="BulletLevel1"/>
              <w:rPr>
                <w:b w:val="0"/>
              </w:rPr>
            </w:pPr>
            <w:r w:rsidRPr="00F666E3">
              <w:rPr>
                <w:b w:val="0"/>
              </w:rPr>
              <w:t>Do you know which professional learning approaches had the greatest impact on teachers’ and children’s learning and the reason for it?</w:t>
            </w:r>
          </w:p>
          <w:p w14:paraId="18E2038E" w14:textId="3C3F1700" w:rsidR="00F42C5C" w:rsidRPr="00DE0DCA" w:rsidRDefault="00F42C5C" w:rsidP="00AC180C">
            <w:pPr>
              <w:pStyle w:val="BulletLevel1"/>
              <w:rPr>
                <w:b w:val="0"/>
              </w:rPr>
            </w:pPr>
            <w:r w:rsidRPr="00F666E3">
              <w:rPr>
                <w:b w:val="0"/>
              </w:rPr>
              <w:t>How are staff being encouraged to review their professional</w:t>
            </w:r>
            <w:r>
              <w:rPr>
                <w:b w:val="0"/>
              </w:rPr>
              <w:t xml:space="preserve"> learning experience and share it with their colleagues?</w:t>
            </w:r>
          </w:p>
        </w:tc>
      </w:tr>
    </w:tbl>
    <w:p w14:paraId="26F2835A" w14:textId="77777777" w:rsidR="00AC180C" w:rsidRDefault="00AC180C" w:rsidP="00AC180C"/>
    <w:tbl>
      <w:tblPr>
        <w:tblStyle w:val="ListTable4-Accent6"/>
        <w:tblW w:w="0" w:type="auto"/>
        <w:tblLook w:val="04A0" w:firstRow="1" w:lastRow="0" w:firstColumn="1" w:lastColumn="0" w:noHBand="0" w:noVBand="1"/>
      </w:tblPr>
      <w:tblGrid>
        <w:gridCol w:w="9016"/>
      </w:tblGrid>
      <w:tr w:rsidR="00AC180C" w14:paraId="385A1528" w14:textId="77777777" w:rsidTr="00792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007377" w:themeFill="text2"/>
          </w:tcPr>
          <w:p w14:paraId="40A5EBF6" w14:textId="77777777" w:rsidR="00AC180C" w:rsidRPr="00D95D1A" w:rsidRDefault="00AC180C" w:rsidP="007924B0">
            <w:pPr>
              <w:pStyle w:val="Tablecentreh1"/>
            </w:pPr>
            <w:r w:rsidRPr="00887874">
              <w:t>Systems and Processes</w:t>
            </w:r>
          </w:p>
        </w:tc>
      </w:tr>
      <w:tr w:rsidR="00AC180C" w14:paraId="6CCBAFDE" w14:textId="77777777" w:rsidTr="007924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4FF547DF" w14:textId="5583BC05" w:rsidR="00AC180C" w:rsidRPr="00AC180C" w:rsidRDefault="00AC180C" w:rsidP="00AC180C">
            <w:pPr>
              <w:pStyle w:val="BulletLevel1"/>
              <w:rPr>
                <w:b w:val="0"/>
              </w:rPr>
            </w:pPr>
            <w:r w:rsidRPr="00AC180C">
              <w:rPr>
                <w:b w:val="0"/>
              </w:rPr>
              <w:t xml:space="preserve">How </w:t>
            </w:r>
            <w:r w:rsidR="000E1449">
              <w:rPr>
                <w:b w:val="0"/>
              </w:rPr>
              <w:t>are you tracking</w:t>
            </w:r>
            <w:r w:rsidRPr="00AC180C">
              <w:rPr>
                <w:b w:val="0"/>
              </w:rPr>
              <w:t xml:space="preserve"> the types of professional learning approaches being undertaken by staff and the content of their professional learning? </w:t>
            </w:r>
          </w:p>
          <w:p w14:paraId="29A65305" w14:textId="39D0FBC3" w:rsidR="00AC180C" w:rsidRPr="00D95D1A" w:rsidRDefault="00AC180C" w:rsidP="000E1449">
            <w:pPr>
              <w:pStyle w:val="BulletLevel1"/>
              <w:rPr>
                <w:szCs w:val="16"/>
              </w:rPr>
            </w:pPr>
            <w:r w:rsidRPr="00AC180C">
              <w:rPr>
                <w:b w:val="0"/>
              </w:rPr>
              <w:t>What school structures and processes need to be in place to better support teacher professional learning? How can these be evaluated to maximise support for teachers?</w:t>
            </w:r>
          </w:p>
        </w:tc>
      </w:tr>
    </w:tbl>
    <w:p w14:paraId="222E7345" w14:textId="77777777" w:rsidR="00772C0A" w:rsidRDefault="00772C0A" w:rsidP="00772C0A"/>
    <w:p w14:paraId="5CFD7492" w14:textId="77777777" w:rsidR="00392E06" w:rsidRDefault="00392E06" w:rsidP="00772C0A"/>
    <w:p w14:paraId="026DDB36" w14:textId="77777777" w:rsidR="00392E06" w:rsidRDefault="00392E06" w:rsidP="00772C0A"/>
    <w:p w14:paraId="4B7F55BF" w14:textId="77777777" w:rsidR="00392E06" w:rsidRDefault="00392E06" w:rsidP="00772C0A"/>
    <w:p w14:paraId="6F0963E4" w14:textId="77777777" w:rsidR="00392E06" w:rsidRDefault="00392E06" w:rsidP="00772C0A"/>
    <w:p w14:paraId="564A1B10" w14:textId="77777777" w:rsidR="00392E06" w:rsidRDefault="00392E06" w:rsidP="00772C0A"/>
    <w:p w14:paraId="73FD0AC1" w14:textId="77777777" w:rsidR="00392E06" w:rsidRDefault="00392E06" w:rsidP="00772C0A"/>
    <w:p w14:paraId="4D927510" w14:textId="77777777" w:rsidR="00392E06" w:rsidRDefault="00392E06" w:rsidP="00772C0A"/>
    <w:p w14:paraId="6B08DA75" w14:textId="49F31C50" w:rsidR="00772C0A" w:rsidRDefault="00772C0A" w:rsidP="00AC180C">
      <w:pPr>
        <w:pStyle w:val="Heading5"/>
      </w:pPr>
      <w:r>
        <w:t xml:space="preserve">Examples of </w:t>
      </w:r>
      <w:r w:rsidR="00C74C99">
        <w:t>data/evidence sources</w:t>
      </w:r>
      <w:r>
        <w:t xml:space="preserve"> include:</w:t>
      </w:r>
    </w:p>
    <w:p w14:paraId="2B5148B4" w14:textId="77777777" w:rsidR="00942E9C" w:rsidRDefault="00942E9C" w:rsidP="00942E9C">
      <w:pPr>
        <w:pStyle w:val="Listtick"/>
      </w:pPr>
      <w:r>
        <w:t>learner</w:t>
      </w:r>
      <w:r w:rsidRPr="00855297">
        <w:t xml:space="preserve"> </w:t>
      </w:r>
      <w:r>
        <w:t xml:space="preserve">data and feedback </w:t>
      </w:r>
    </w:p>
    <w:p w14:paraId="685EEECA" w14:textId="77777777" w:rsidR="00942E9C" w:rsidRPr="00F7041E" w:rsidRDefault="00942E9C" w:rsidP="00942E9C">
      <w:pPr>
        <w:pStyle w:val="Listtick"/>
      </w:pPr>
      <w:r w:rsidRPr="00F7041E">
        <w:t xml:space="preserve">moderation of </w:t>
      </w:r>
      <w:r>
        <w:t>learner</w:t>
      </w:r>
      <w:r w:rsidRPr="00F7041E">
        <w:t xml:space="preserve"> assessment tasks using work samples</w:t>
      </w:r>
    </w:p>
    <w:p w14:paraId="1CFBAD93" w14:textId="77777777" w:rsidR="00942E9C" w:rsidRDefault="00942E9C" w:rsidP="00942E9C">
      <w:pPr>
        <w:pStyle w:val="Listtick"/>
      </w:pPr>
      <w:r>
        <w:t>peer/supervisor feedback</w:t>
      </w:r>
    </w:p>
    <w:p w14:paraId="7E3EB358" w14:textId="77777777" w:rsidR="00942E9C" w:rsidRDefault="00942E9C" w:rsidP="00942E9C">
      <w:pPr>
        <w:pStyle w:val="Listtick"/>
      </w:pPr>
      <w:r>
        <w:t>parent feedback</w:t>
      </w:r>
    </w:p>
    <w:p w14:paraId="46733A18" w14:textId="77777777" w:rsidR="00942E9C" w:rsidRPr="00D54677" w:rsidRDefault="00942E9C" w:rsidP="00942E9C">
      <w:pPr>
        <w:pStyle w:val="Listtick"/>
      </w:pPr>
      <w:r w:rsidRPr="00D54677">
        <w:t>teacher self-assessment and reflection</w:t>
      </w:r>
    </w:p>
    <w:p w14:paraId="4D887FC3" w14:textId="77777777" w:rsidR="00942E9C" w:rsidRPr="00D54677" w:rsidRDefault="00942E9C" w:rsidP="00942E9C">
      <w:pPr>
        <w:pStyle w:val="Listtick"/>
      </w:pPr>
      <w:r w:rsidRPr="00D54677">
        <w:t>classroom observation reports</w:t>
      </w:r>
    </w:p>
    <w:p w14:paraId="089A3BE7" w14:textId="77777777" w:rsidR="00942E9C" w:rsidRPr="00D54677" w:rsidRDefault="00942E9C" w:rsidP="00942E9C">
      <w:pPr>
        <w:pStyle w:val="Listtick"/>
      </w:pPr>
      <w:r w:rsidRPr="00D54677">
        <w:t>teacher perception through surveys etc.</w:t>
      </w:r>
    </w:p>
    <w:p w14:paraId="23E4455C" w14:textId="77777777" w:rsidR="003B4435" w:rsidRDefault="003B4435" w:rsidP="003B4435">
      <w:pPr>
        <w:pStyle w:val="Listtick"/>
        <w:numPr>
          <w:ilvl w:val="0"/>
          <w:numId w:val="0"/>
        </w:numPr>
        <w:ind w:left="357" w:hanging="357"/>
      </w:pPr>
    </w:p>
    <w:tbl>
      <w:tblPr>
        <w:tblStyle w:val="TableGrid3"/>
        <w:tblW w:w="0" w:type="auto"/>
        <w:tblBorders>
          <w:insideH w:val="none" w:sz="0" w:space="0" w:color="auto"/>
        </w:tblBorders>
        <w:tblLook w:val="04A0" w:firstRow="1" w:lastRow="0" w:firstColumn="1" w:lastColumn="0" w:noHBand="0" w:noVBand="1"/>
      </w:tblPr>
      <w:tblGrid>
        <w:gridCol w:w="1950"/>
        <w:gridCol w:w="7076"/>
      </w:tblGrid>
      <w:tr w:rsidR="003B4435" w14:paraId="36022760" w14:textId="77777777" w:rsidTr="007924B0">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96" w:type="dxa"/>
            <w:shd w:val="clear" w:color="CAD6D8" w:themeColor="accent4" w:fill="007377" w:themeFill="text2"/>
          </w:tcPr>
          <w:p w14:paraId="128F8029" w14:textId="77777777" w:rsidR="003B4435" w:rsidRPr="00A51141" w:rsidRDefault="003B4435" w:rsidP="007924B0">
            <w:pPr>
              <w:pStyle w:val="Tablecentreh1"/>
              <w:rPr>
                <w:b w:val="0"/>
              </w:rPr>
            </w:pPr>
            <w:r w:rsidRPr="00A51141">
              <w:t>Supplementary Resources</w:t>
            </w:r>
          </w:p>
        </w:tc>
        <w:tc>
          <w:tcPr>
            <w:tcW w:w="7320" w:type="dxa"/>
            <w:tcBorders>
              <w:top w:val="nil"/>
              <w:bottom w:val="nil"/>
            </w:tcBorders>
            <w:shd w:val="clear" w:color="CAD6D8" w:themeColor="accent4" w:fill="F5F7D0" w:themeFill="accent1" w:themeFillTint="33"/>
          </w:tcPr>
          <w:p w14:paraId="42BBB456" w14:textId="6AE29279" w:rsidR="003B4435" w:rsidRPr="00487DA7" w:rsidRDefault="00C610CD" w:rsidP="003B4435">
            <w:pPr>
              <w:pStyle w:val="BulletLevel1"/>
              <w:jc w:val="left"/>
              <w:cnfStyle w:val="100000000000" w:firstRow="1" w:lastRow="0" w:firstColumn="0" w:lastColumn="0" w:oddVBand="0" w:evenVBand="0" w:oddHBand="0" w:evenHBand="0" w:firstRowFirstColumn="0" w:firstRowLastColumn="0" w:lastRowFirstColumn="0" w:lastRowLastColumn="0"/>
            </w:pPr>
            <w:hyperlink r:id="rId24" w:history="1">
              <w:r w:rsidR="003B4435" w:rsidRPr="003B4435">
                <w:rPr>
                  <w:rStyle w:val="Hyperlink"/>
                  <w:b w:val="0"/>
                  <w:bCs w:val="0"/>
                </w:rPr>
                <w:t>Leadership Scenarios: New Role, New Conversations</w:t>
              </w:r>
            </w:hyperlink>
          </w:p>
        </w:tc>
      </w:tr>
    </w:tbl>
    <w:p w14:paraId="07458F1A" w14:textId="77777777" w:rsidR="003B4435" w:rsidRDefault="003B4435" w:rsidP="003B4435">
      <w:pPr>
        <w:pStyle w:val="Listtick"/>
        <w:numPr>
          <w:ilvl w:val="0"/>
          <w:numId w:val="0"/>
        </w:numPr>
        <w:ind w:left="357" w:hanging="357"/>
      </w:pPr>
    </w:p>
    <w:p w14:paraId="0F82E791" w14:textId="77777777" w:rsidR="00772C0A" w:rsidRDefault="00772C0A" w:rsidP="00772C0A"/>
    <w:p w14:paraId="443579FF" w14:textId="77777777" w:rsidR="003B4435" w:rsidRDefault="003B4435">
      <w:pPr>
        <w:spacing w:before="0" w:line="259" w:lineRule="auto"/>
      </w:pPr>
      <w:r>
        <w:rPr>
          <w:b/>
          <w:bCs/>
        </w:rPr>
        <w:br w:type="page"/>
      </w:r>
    </w:p>
    <w:p w14:paraId="3DFDB474" w14:textId="5BB38FE7" w:rsidR="00772C0A" w:rsidRDefault="00772C0A" w:rsidP="00AC180C">
      <w:pPr>
        <w:pStyle w:val="Heading1"/>
      </w:pPr>
      <w:bookmarkStart w:id="15" w:name="_Toc3975868"/>
      <w:r>
        <w:lastRenderedPageBreak/>
        <w:t xml:space="preserve">The evidence base </w:t>
      </w:r>
      <w:bookmarkEnd w:id="15"/>
    </w:p>
    <w:p w14:paraId="4900914B" w14:textId="77777777" w:rsidR="00772C0A" w:rsidRDefault="00772C0A" w:rsidP="00772C0A">
      <w:r>
        <w:t>To assist in the development of this practical guide, AITSL examined Australian and international research on professional learning for teachers. Major supporting evidence includes:</w:t>
      </w:r>
    </w:p>
    <w:bookmarkEnd w:id="0"/>
    <w:p w14:paraId="6A82E5E5" w14:textId="77777777" w:rsidR="00BF297A" w:rsidRPr="000738B0" w:rsidRDefault="00BF297A" w:rsidP="00BF297A">
      <w:pPr>
        <w:spacing w:line="276" w:lineRule="auto"/>
      </w:pPr>
      <w:r w:rsidRPr="000738B0">
        <w:t xml:space="preserve">Cole, P 2012, </w:t>
      </w:r>
      <w:r w:rsidRPr="00F26BA0">
        <w:rPr>
          <w:i/>
        </w:rPr>
        <w:t>Linking effective professional learning with effective teaching practice</w:t>
      </w:r>
      <w:r>
        <w:rPr>
          <w:i/>
        </w:rPr>
        <w:t>.</w:t>
      </w:r>
      <w:r w:rsidRPr="000738B0">
        <w:t xml:space="preserve"> Melbourne: Australian Institute for Teaching and School Leadership. </w:t>
      </w:r>
    </w:p>
    <w:p w14:paraId="3ABA72CF" w14:textId="77777777" w:rsidR="00BF297A" w:rsidRPr="000738B0" w:rsidRDefault="00BF297A" w:rsidP="00BF297A">
      <w:pPr>
        <w:spacing w:line="276" w:lineRule="auto"/>
      </w:pPr>
      <w:r w:rsidRPr="000738B0">
        <w:t xml:space="preserve">Darling-Hammond, L, Wei, RC, Andree, A, Richardson, N, &amp; Orphanos, S 2009, </w:t>
      </w:r>
      <w:r w:rsidRPr="00F26BA0">
        <w:rPr>
          <w:i/>
        </w:rPr>
        <w:t>Professional learning in the learning profession: A status report on teacher development in the United States and abroad</w:t>
      </w:r>
      <w:r>
        <w:t>.</w:t>
      </w:r>
      <w:r w:rsidRPr="000738B0">
        <w:t xml:space="preserve"> National Staff De</w:t>
      </w:r>
      <w:r>
        <w:t xml:space="preserve">velopment Council: Dallas, TX. Retrieved 7 July 2017 from </w:t>
      </w:r>
      <w:hyperlink r:id="rId25" w:history="1">
        <w:r w:rsidRPr="00DE2BB6">
          <w:rPr>
            <w:rStyle w:val="Hyperlink"/>
          </w:rPr>
          <w:t>https://learningforward.org/docs/pdf/nsdcstudy2009.pdf</w:t>
        </w:r>
      </w:hyperlink>
      <w:r>
        <w:t>.</w:t>
      </w:r>
    </w:p>
    <w:p w14:paraId="4DAE75EB" w14:textId="77777777" w:rsidR="00BF297A" w:rsidRDefault="00BF297A" w:rsidP="00BF297A">
      <w:pPr>
        <w:spacing w:line="276" w:lineRule="auto"/>
      </w:pPr>
      <w:r w:rsidRPr="000738B0">
        <w:t xml:space="preserve">Gulamhussein, A 2013, </w:t>
      </w:r>
      <w:r w:rsidRPr="00F26BA0">
        <w:rPr>
          <w:i/>
        </w:rPr>
        <w:t>Teaching the Teachers: Effective Professional Development in an Era of High Stakes Accountability</w:t>
      </w:r>
      <w:r>
        <w:t>.</w:t>
      </w:r>
      <w:r w:rsidRPr="000738B0">
        <w:t xml:space="preserve"> Center for Public Education.</w:t>
      </w:r>
    </w:p>
    <w:p w14:paraId="38EE8566" w14:textId="77777777" w:rsidR="00BF297A" w:rsidRPr="000738B0" w:rsidRDefault="00BF297A" w:rsidP="00BF297A">
      <w:pPr>
        <w:spacing w:line="276" w:lineRule="auto"/>
      </w:pPr>
      <w:r>
        <w:t>Guskey, T. R. 2000,</w:t>
      </w:r>
      <w:r w:rsidRPr="00B226B4">
        <w:t xml:space="preserve"> </w:t>
      </w:r>
      <w:r w:rsidRPr="00B226B4">
        <w:rPr>
          <w:i/>
        </w:rPr>
        <w:t>Evaluating professional development</w:t>
      </w:r>
      <w:r w:rsidRPr="00B226B4">
        <w:t>. Thousand Oaks, CA: Corwin.</w:t>
      </w:r>
    </w:p>
    <w:p w14:paraId="31806968" w14:textId="77777777" w:rsidR="00BF297A" w:rsidRDefault="00BF297A" w:rsidP="00BF297A">
      <w:pPr>
        <w:pStyle w:val="CommentText"/>
        <w:rPr>
          <w:rStyle w:val="Hyperlink"/>
          <w:rFonts w:ascii="Arial" w:hAnsi="Arial"/>
          <w:szCs w:val="22"/>
        </w:rPr>
      </w:pPr>
      <w:r>
        <w:rPr>
          <w:rFonts w:ascii="Arial" w:hAnsi="Arial"/>
          <w:szCs w:val="22"/>
        </w:rPr>
        <w:t>Killion, J, &amp; Kennedy, J 2012,</w:t>
      </w:r>
      <w:r w:rsidRPr="000738B0">
        <w:rPr>
          <w:rFonts w:ascii="Arial" w:hAnsi="Arial"/>
          <w:szCs w:val="22"/>
        </w:rPr>
        <w:t xml:space="preserve"> </w:t>
      </w:r>
      <w:r w:rsidRPr="00FE062D">
        <w:rPr>
          <w:rFonts w:ascii="Arial" w:hAnsi="Arial"/>
          <w:i/>
          <w:szCs w:val="22"/>
        </w:rPr>
        <w:t>The sweet spot in professional learning</w:t>
      </w:r>
      <w:r w:rsidRPr="000738B0">
        <w:rPr>
          <w:rFonts w:ascii="Arial" w:hAnsi="Arial"/>
          <w:szCs w:val="22"/>
        </w:rPr>
        <w:t xml:space="preserve">. </w:t>
      </w:r>
      <w:r>
        <w:rPr>
          <w:rFonts w:ascii="Arial" w:hAnsi="Arial"/>
          <w:szCs w:val="22"/>
        </w:rPr>
        <w:t>33:5, 10‒17. R</w:t>
      </w:r>
      <w:r w:rsidRPr="000738B0">
        <w:rPr>
          <w:rFonts w:ascii="Arial" w:hAnsi="Arial"/>
          <w:szCs w:val="22"/>
        </w:rPr>
        <w:t xml:space="preserve">etrieved </w:t>
      </w:r>
      <w:r>
        <w:rPr>
          <w:rFonts w:ascii="Arial" w:hAnsi="Arial"/>
          <w:szCs w:val="22"/>
        </w:rPr>
        <w:t>9 December 2019 from</w:t>
      </w:r>
      <w:r w:rsidRPr="000738B0">
        <w:rPr>
          <w:rFonts w:ascii="Arial" w:hAnsi="Arial"/>
          <w:szCs w:val="22"/>
        </w:rPr>
        <w:t xml:space="preserve"> </w:t>
      </w:r>
      <w:hyperlink r:id="rId26" w:history="1">
        <w:r w:rsidRPr="0031778E">
          <w:rPr>
            <w:rStyle w:val="Hyperlink"/>
            <w:rFonts w:ascii="Arial" w:hAnsi="Arial"/>
            <w:szCs w:val="22"/>
          </w:rPr>
          <w:t>http://learningforward.org/docs/jsd-october-2012/killion335.pdf</w:t>
        </w:r>
      </w:hyperlink>
      <w:r>
        <w:rPr>
          <w:rStyle w:val="Hyperlink"/>
          <w:rFonts w:ascii="Arial" w:hAnsi="Arial"/>
          <w:szCs w:val="22"/>
        </w:rPr>
        <w:t>.</w:t>
      </w:r>
    </w:p>
    <w:p w14:paraId="591CD51B" w14:textId="203088B3" w:rsidR="00BF297A" w:rsidRDefault="00BF297A" w:rsidP="00BF297A">
      <w:pPr>
        <w:spacing w:line="276" w:lineRule="auto"/>
      </w:pPr>
      <w:r w:rsidRPr="006F6BD7">
        <w:t xml:space="preserve">Lomos, </w:t>
      </w:r>
      <w:r>
        <w:t xml:space="preserve">C, </w:t>
      </w:r>
      <w:r w:rsidRPr="006F6BD7">
        <w:t xml:space="preserve"> &amp; Bosker</w:t>
      </w:r>
      <w:r>
        <w:t>, R.J. 2011</w:t>
      </w:r>
      <w:r w:rsidRPr="00F26BA0">
        <w:rPr>
          <w:i/>
        </w:rPr>
        <w:t>, Professional communities and student achievement – a meta-analysis</w:t>
      </w:r>
      <w:r>
        <w:t>.</w:t>
      </w:r>
      <w:r w:rsidRPr="006F6BD7">
        <w:t xml:space="preserve"> School Effectiveness and School Improvement, 22:2, 121-148, DOI: 10.1080/09243453.2010.550467</w:t>
      </w:r>
    </w:p>
    <w:p w14:paraId="387A34A4" w14:textId="77777777" w:rsidR="00BF297A" w:rsidRPr="000738B0" w:rsidRDefault="00BF297A" w:rsidP="00BF297A">
      <w:pPr>
        <w:spacing w:line="276" w:lineRule="auto"/>
      </w:pPr>
      <w:r w:rsidRPr="000738B0">
        <w:t xml:space="preserve">Tooley, M, &amp; Connally, K 2016, </w:t>
      </w:r>
      <w:r w:rsidRPr="00F26BA0">
        <w:rPr>
          <w:i/>
        </w:rPr>
        <w:t>No panacea: Diagnosing what ails teacher professional development before reaching for remedies</w:t>
      </w:r>
      <w:r>
        <w:t>.</w:t>
      </w:r>
      <w:r w:rsidRPr="000738B0">
        <w:t xml:space="preserve"> Washington, DC: New America.</w:t>
      </w:r>
    </w:p>
    <w:p w14:paraId="26587BF9" w14:textId="77777777" w:rsidR="00BF297A" w:rsidRDefault="00BF297A" w:rsidP="00BF297A">
      <w:pPr>
        <w:pStyle w:val="CommentText"/>
        <w:rPr>
          <w:rFonts w:ascii="Arial" w:hAnsi="Arial"/>
          <w:szCs w:val="22"/>
        </w:rPr>
      </w:pPr>
      <w:r w:rsidRPr="00D75E35">
        <w:rPr>
          <w:rFonts w:ascii="Arial" w:hAnsi="Arial"/>
          <w:szCs w:val="22"/>
        </w:rPr>
        <w:t xml:space="preserve">Vanblaere, B, </w:t>
      </w:r>
      <w:r>
        <w:rPr>
          <w:rFonts w:ascii="Arial" w:hAnsi="Arial"/>
          <w:szCs w:val="22"/>
        </w:rPr>
        <w:t>&amp;</w:t>
      </w:r>
      <w:r w:rsidRPr="00D75E35">
        <w:rPr>
          <w:rFonts w:ascii="Arial" w:hAnsi="Arial"/>
          <w:szCs w:val="22"/>
        </w:rPr>
        <w:t xml:space="preserve"> Devos</w:t>
      </w:r>
      <w:r>
        <w:rPr>
          <w:rFonts w:ascii="Arial" w:hAnsi="Arial"/>
          <w:szCs w:val="22"/>
        </w:rPr>
        <w:t xml:space="preserve">, G 2016, </w:t>
      </w:r>
      <w:r w:rsidRPr="00D54930">
        <w:rPr>
          <w:rFonts w:ascii="Arial" w:hAnsi="Arial"/>
          <w:i/>
          <w:szCs w:val="22"/>
        </w:rPr>
        <w:t>Relating School Leadership to Perceived Professional Learning Community Characteristics: a Multilevel Analysis</w:t>
      </w:r>
      <w:r>
        <w:rPr>
          <w:rFonts w:ascii="Arial" w:hAnsi="Arial"/>
          <w:szCs w:val="22"/>
        </w:rPr>
        <w:t>.</w:t>
      </w:r>
      <w:r w:rsidRPr="00D75E35">
        <w:rPr>
          <w:rFonts w:ascii="Arial" w:hAnsi="Arial"/>
          <w:szCs w:val="22"/>
        </w:rPr>
        <w:t xml:space="preserve"> Teaching and Teacher Education</w:t>
      </w:r>
      <w:r>
        <w:rPr>
          <w:rFonts w:ascii="Arial" w:hAnsi="Arial"/>
          <w:szCs w:val="22"/>
        </w:rPr>
        <w:t>,</w:t>
      </w:r>
      <w:r w:rsidRPr="00D75E35">
        <w:rPr>
          <w:rFonts w:ascii="Arial" w:hAnsi="Arial"/>
          <w:szCs w:val="22"/>
        </w:rPr>
        <w:t xml:space="preserve"> 57: 26–38.</w:t>
      </w:r>
    </w:p>
    <w:p w14:paraId="2B98B3FC" w14:textId="77777777" w:rsidR="00BF297A" w:rsidRPr="000738B0" w:rsidRDefault="00BF297A" w:rsidP="00BF297A">
      <w:pPr>
        <w:pStyle w:val="CommentText"/>
        <w:rPr>
          <w:rFonts w:ascii="Arial" w:hAnsi="Arial"/>
          <w:szCs w:val="22"/>
        </w:rPr>
      </w:pPr>
      <w:r w:rsidRPr="000738B0">
        <w:rPr>
          <w:rFonts w:ascii="Arial" w:hAnsi="Arial"/>
          <w:szCs w:val="22"/>
        </w:rPr>
        <w:t xml:space="preserve">Yoon, K.S., Duncan, T, Lee, S.W-Y., </w:t>
      </w:r>
      <w:r>
        <w:rPr>
          <w:rFonts w:ascii="Arial" w:hAnsi="Arial"/>
          <w:szCs w:val="22"/>
        </w:rPr>
        <w:t>Scarloss, B, &amp; Shapley, K.L., 2007,</w:t>
      </w:r>
      <w:r w:rsidRPr="000738B0">
        <w:rPr>
          <w:rFonts w:ascii="Arial" w:hAnsi="Arial"/>
          <w:szCs w:val="22"/>
        </w:rPr>
        <w:t xml:space="preserve"> </w:t>
      </w:r>
      <w:r w:rsidRPr="00285608">
        <w:rPr>
          <w:rFonts w:ascii="Arial" w:hAnsi="Arial"/>
          <w:i/>
          <w:szCs w:val="22"/>
        </w:rPr>
        <w:t>Reviewing the evidence on how teacher professional development affects student achievement</w:t>
      </w:r>
      <w:r w:rsidRPr="000738B0">
        <w:rPr>
          <w:rFonts w:ascii="Arial" w:hAnsi="Arial"/>
          <w:szCs w:val="22"/>
        </w:rPr>
        <w:t>. Washington, DC: U.S Department of Education, Institute of Education Sciences, National Center for Education Evaluation and Regional Assistance, Regional Educational Lab</w:t>
      </w:r>
      <w:r>
        <w:rPr>
          <w:rFonts w:ascii="Arial" w:hAnsi="Arial"/>
          <w:szCs w:val="22"/>
        </w:rPr>
        <w:t>oratory Southwest, Austin, TX. Retrieved 26 May 2018</w:t>
      </w:r>
      <w:r w:rsidRPr="000738B0">
        <w:rPr>
          <w:rFonts w:ascii="Arial" w:hAnsi="Arial"/>
          <w:szCs w:val="22"/>
        </w:rPr>
        <w:t xml:space="preserve"> from </w:t>
      </w:r>
      <w:hyperlink r:id="rId27" w:history="1">
        <w:r w:rsidRPr="00DE2BB6">
          <w:rPr>
            <w:rStyle w:val="Hyperlink"/>
            <w:rFonts w:ascii="Arial" w:hAnsi="Arial"/>
            <w:szCs w:val="22"/>
          </w:rPr>
          <w:t>http://ies.ed.gov/ncee/edlabs/regions/southwest/pdf/rel_2007033.pdf</w:t>
        </w:r>
      </w:hyperlink>
      <w:r>
        <w:rPr>
          <w:rFonts w:ascii="Arial" w:hAnsi="Arial"/>
          <w:szCs w:val="22"/>
        </w:rPr>
        <w:t>.</w:t>
      </w:r>
    </w:p>
    <w:p w14:paraId="1C3D8AB0" w14:textId="77777777" w:rsidR="00BF297A" w:rsidRDefault="00BF297A" w:rsidP="00BF297A"/>
    <w:p w14:paraId="00409986" w14:textId="77777777" w:rsidR="006C44C6" w:rsidRDefault="006C44C6" w:rsidP="0011642D"/>
    <w:p w14:paraId="4613FC75" w14:textId="0A0575FB" w:rsidR="0047506C" w:rsidRPr="003E5390" w:rsidRDefault="00265D0B" w:rsidP="0011642D">
      <w:r>
        <w:rPr>
          <w:noProof/>
          <w:lang w:eastAsia="en-AU"/>
        </w:rPr>
        <mc:AlternateContent>
          <mc:Choice Requires="wps">
            <w:drawing>
              <wp:anchor distT="45720" distB="45720" distL="114300" distR="114300" simplePos="0" relativeHeight="251665920" behindDoc="0" locked="0" layoutInCell="1" allowOverlap="1" wp14:anchorId="65254237" wp14:editId="6ECFBE69">
                <wp:simplePos x="0" y="0"/>
                <wp:positionH relativeFrom="column">
                  <wp:posOffset>3852767</wp:posOffset>
                </wp:positionH>
                <wp:positionV relativeFrom="paragraph">
                  <wp:posOffset>8211193</wp:posOffset>
                </wp:positionV>
                <wp:extent cx="2628900"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76350"/>
                        </a:xfrm>
                        <a:prstGeom prst="rect">
                          <a:avLst/>
                        </a:prstGeom>
                        <a:solidFill>
                          <a:srgbClr val="FFFFFF"/>
                        </a:solidFill>
                        <a:ln w="9525">
                          <a:noFill/>
                          <a:miter lim="800000"/>
                          <a:headEnd/>
                          <a:tailEnd/>
                        </a:ln>
                      </wps:spPr>
                      <wps:txbx>
                        <w:txbxContent>
                          <w:p w14:paraId="2CCFD1FF" w14:textId="77777777" w:rsidR="00A90A65" w:rsidRPr="003E5390" w:rsidRDefault="00A90A65" w:rsidP="00785FD4">
                            <w:pPr>
                              <w:pStyle w:val="EndnoteText"/>
                            </w:pPr>
                            <w:r w:rsidRPr="003E5390">
                              <w:t>aitsl.edu.au</w:t>
                            </w:r>
                          </w:p>
                          <w:p w14:paraId="7D65E9E5" w14:textId="77777777" w:rsidR="00A90A65" w:rsidRDefault="00A90A65" w:rsidP="00785FD4">
                            <w:pPr>
                              <w:pStyle w:val="EndnoteText"/>
                            </w:pPr>
                            <w:r w:rsidRPr="003E5390">
                              <w:t>Telephone: +61 3 9944 1200</w:t>
                            </w:r>
                            <w:r>
                              <w:br/>
                            </w:r>
                            <w:r w:rsidRPr="003E5390">
                              <w:t>Email: info@aitsl.edu.au</w:t>
                            </w:r>
                          </w:p>
                          <w:p w14:paraId="404A25CE" w14:textId="3FA6583D" w:rsidR="00A90A65" w:rsidRPr="00785FD4" w:rsidRDefault="00A90A65" w:rsidP="00785FD4">
                            <w:pPr>
                              <w:pStyle w:val="EndnoteText"/>
                              <w:rPr>
                                <w:color w:val="007377" w:themeColor="text2"/>
                              </w:rPr>
                            </w:pPr>
                            <w:r>
                              <w:br/>
                            </w:r>
                            <w:r w:rsidRPr="00785FD4">
                              <w:rPr>
                                <w:color w:val="007377" w:themeColor="text2"/>
                              </w:rPr>
                              <w:t>AITSL is funded by the 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254237" id="_x0000_s1027" type="#_x0000_t202" style="position:absolute;margin-left:303.35pt;margin-top:646.55pt;width:207pt;height:100.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" stroked="f">
                <v:textbox>
                  <w:txbxContent>
                    <w:p w14:paraId="2CCFD1FF" w14:textId="77777777" w:rsidR="00A90A65" w:rsidRPr="003E5390" w:rsidRDefault="00A90A65" w:rsidP="00785FD4">
                      <w:pPr>
                        <w:pStyle w:val="EndnoteText"/>
                      </w:pPr>
                      <w:r w:rsidRPr="003E5390">
                        <w:t>aitsl.edu.au</w:t>
                      </w:r>
                    </w:p>
                    <w:p w14:paraId="7D65E9E5" w14:textId="77777777" w:rsidR="00A90A65" w:rsidRDefault="00A90A65" w:rsidP="00785FD4">
                      <w:pPr>
                        <w:pStyle w:val="EndnoteText"/>
                      </w:pPr>
                      <w:r w:rsidRPr="003E5390">
                        <w:t>Telephone: +61 3 9944 1200</w:t>
                      </w:r>
                      <w:r>
                        <w:br/>
                      </w:r>
                      <w:r w:rsidRPr="003E5390">
                        <w:t>Email: info@aitsl.edu.au</w:t>
                      </w:r>
                    </w:p>
                    <w:p w14:paraId="404A25CE" w14:textId="3FA6583D" w:rsidR="00A90A65" w:rsidRPr="00785FD4" w:rsidRDefault="00A90A65" w:rsidP="00785FD4">
                      <w:pPr>
                        <w:pStyle w:val="EndnoteText"/>
                        <w:rPr>
                          <w:color w:val="007377" w:themeColor="text2"/>
                        </w:rPr>
                      </w:pPr>
                      <w:r>
                        <w:br/>
                      </w:r>
                      <w:r w:rsidRPr="00785FD4">
                        <w:rPr>
                          <w:color w:val="007377" w:themeColor="text2"/>
                        </w:rPr>
                        <w:t>AITSL is funded by the Australian Government</w:t>
                      </w:r>
                    </w:p>
                  </w:txbxContent>
                </v:textbox>
              </v:shape>
            </w:pict>
          </mc:Fallback>
        </mc:AlternateContent>
      </w:r>
      <w:r w:rsidRPr="003E5390">
        <w:rPr>
          <w:noProof/>
          <w:lang w:eastAsia="en-AU"/>
        </w:rPr>
        <w:drawing>
          <wp:anchor distT="0" distB="0" distL="114300" distR="114300" simplePos="0" relativeHeight="251649535" behindDoc="0" locked="0" layoutInCell="1" allowOverlap="1" wp14:anchorId="2AD5183A" wp14:editId="0F80F53A">
            <wp:simplePos x="0" y="0"/>
            <wp:positionH relativeFrom="margin">
              <wp:posOffset>-710004</wp:posOffset>
            </wp:positionH>
            <wp:positionV relativeFrom="paragraph">
              <wp:posOffset>7270651</wp:posOffset>
            </wp:positionV>
            <wp:extent cx="7153200" cy="2073600"/>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dtranspare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53200" cy="2073600"/>
                    </a:xfrm>
                    <a:prstGeom prst="rect">
                      <a:avLst/>
                    </a:prstGeom>
                  </pic:spPr>
                </pic:pic>
              </a:graphicData>
            </a:graphic>
          </wp:anchor>
        </w:drawing>
      </w:r>
    </w:p>
    <w:sectPr w:rsidR="0047506C" w:rsidRPr="003E5390" w:rsidSect="00565323">
      <w:headerReference w:type="even" r:id="rId29"/>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F6954" w14:textId="77777777" w:rsidR="00A90A65" w:rsidRPr="003E5390" w:rsidRDefault="00A90A65" w:rsidP="003E5390">
      <w:r>
        <w:separator/>
      </w:r>
    </w:p>
  </w:endnote>
  <w:endnote w:type="continuationSeparator" w:id="0">
    <w:p w14:paraId="55A8B8E8" w14:textId="77777777" w:rsidR="00A90A65" w:rsidRPr="003E5390" w:rsidRDefault="00A90A65" w:rsidP="003E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3073A" w14:textId="77777777" w:rsidR="00A90A65" w:rsidRDefault="00A90A65" w:rsidP="00584089">
    <w:pPr>
      <w:pStyle w:val="Header"/>
    </w:pPr>
  </w:p>
  <w:p w14:paraId="374906A0" w14:textId="7A890C1D" w:rsidR="00A90A65" w:rsidRDefault="00A90A65" w:rsidP="00584089">
    <w:pPr>
      <w:pStyle w:val="Footer"/>
    </w:pPr>
    <w:r>
      <w:rPr>
        <w:noProof/>
        <w:lang w:eastAsia="en-AU"/>
      </w:rPr>
      <mc:AlternateContent>
        <mc:Choice Requires="wps">
          <w:drawing>
            <wp:anchor distT="4294967295" distB="4294967295" distL="114300" distR="114300" simplePos="0" relativeHeight="251667456" behindDoc="0" locked="0" layoutInCell="1" allowOverlap="1" wp14:anchorId="4C18EE3C" wp14:editId="438C5AED">
              <wp:simplePos x="0" y="0"/>
              <wp:positionH relativeFrom="column">
                <wp:posOffset>13335</wp:posOffset>
              </wp:positionH>
              <wp:positionV relativeFrom="paragraph">
                <wp:posOffset>-21591</wp:posOffset>
              </wp:positionV>
              <wp:extent cx="5799455" cy="0"/>
              <wp:effectExtent l="0" t="0" r="2984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ln>
                        <a:solidFill>
                          <a:srgbClr val="B5BD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06AE5A" id="Straight Connector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1.7pt" to="457.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" strokecolor="#b5bd00">
              <o:lock v:ext="edit" shapetype="f"/>
            </v:line>
          </w:pict>
        </mc:Fallback>
      </mc:AlternateContent>
    </w:r>
    <w:sdt>
      <w:sdtPr>
        <w:id w:val="-244418360"/>
        <w:docPartObj>
          <w:docPartGallery w:val="Page Numbers (Bottom of Page)"/>
          <w:docPartUnique/>
        </w:docPartObj>
      </w:sdtPr>
      <w:sdtEndPr/>
      <w:sdtContent>
        <w:r w:rsidRPr="003E5390">
          <w:fldChar w:fldCharType="begin"/>
        </w:r>
        <w:r w:rsidRPr="003E5390">
          <w:instrText xml:space="preserve"> PAGE   \* MERGEFORMAT </w:instrText>
        </w:r>
        <w:r w:rsidRPr="003E5390">
          <w:fldChar w:fldCharType="separate"/>
        </w:r>
        <w:r w:rsidRPr="003E5390">
          <w:t>2</w:t>
        </w:r>
        <w:r w:rsidRPr="003E5390">
          <w:fldChar w:fldCharType="end"/>
        </w:r>
        <w:r>
          <w:t xml:space="preserve"> </w:t>
        </w:r>
        <w:r w:rsidRPr="003E5390">
          <w:t>Lorem ipsum dolor sit amet consectetur adipiscing elit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4D923" w14:textId="77777777" w:rsidR="00A90A65" w:rsidRPr="00B75CEA" w:rsidRDefault="00A90A65" w:rsidP="00B75C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03201"/>
      <w:docPartObj>
        <w:docPartGallery w:val="Page Numbers (Bottom of Page)"/>
        <w:docPartUnique/>
      </w:docPartObj>
    </w:sdtPr>
    <w:sdtEndPr>
      <w:rPr>
        <w:noProof/>
      </w:rPr>
    </w:sdtEndPr>
    <w:sdtContent>
      <w:p w14:paraId="7EB07A64" w14:textId="6355CBAA" w:rsidR="00707240" w:rsidRDefault="00707240">
        <w:pPr>
          <w:pStyle w:val="Footer"/>
          <w:jc w:val="right"/>
        </w:pPr>
        <w:r>
          <w:fldChar w:fldCharType="begin"/>
        </w:r>
        <w:r>
          <w:instrText xml:space="preserve"> PAGE   \* MERGEFORMAT </w:instrText>
        </w:r>
        <w:r>
          <w:fldChar w:fldCharType="separate"/>
        </w:r>
        <w:r w:rsidR="00C610CD">
          <w:rPr>
            <w:noProof/>
          </w:rPr>
          <w:t>14</w:t>
        </w:r>
        <w:r>
          <w:rPr>
            <w:noProof/>
          </w:rPr>
          <w:fldChar w:fldCharType="end"/>
        </w:r>
      </w:p>
    </w:sdtContent>
  </w:sdt>
  <w:p w14:paraId="27A507AC" w14:textId="77777777" w:rsidR="00A90A65" w:rsidRPr="00711348" w:rsidRDefault="00A90A65" w:rsidP="007113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556FA" w14:textId="77777777" w:rsidR="00A90A65" w:rsidRPr="003E5390" w:rsidRDefault="00A90A65" w:rsidP="003E5390">
      <w:r>
        <w:separator/>
      </w:r>
    </w:p>
  </w:footnote>
  <w:footnote w:type="continuationSeparator" w:id="0">
    <w:p w14:paraId="78E7FD64" w14:textId="77777777" w:rsidR="00A90A65" w:rsidRPr="003E5390" w:rsidRDefault="00A90A65" w:rsidP="003E5390">
      <w:r>
        <w:continuationSeparator/>
      </w:r>
    </w:p>
  </w:footnote>
  <w:footnote w:id="1">
    <w:p w14:paraId="10BCBB47" w14:textId="4C2612D1" w:rsidR="00C403D0" w:rsidRPr="00D05674" w:rsidRDefault="00C403D0" w:rsidP="00D05674">
      <w:pPr>
        <w:pStyle w:val="FootnoteText"/>
        <w:ind w:right="2222"/>
        <w:rPr>
          <w:sz w:val="18"/>
          <w:szCs w:val="18"/>
          <w:lang w:val="en-US"/>
        </w:rPr>
      </w:pPr>
      <w:r w:rsidRPr="00D05674">
        <w:rPr>
          <w:rStyle w:val="FootnoteReference"/>
          <w:sz w:val="18"/>
          <w:szCs w:val="18"/>
        </w:rPr>
        <w:footnoteRef/>
      </w:r>
      <w:r w:rsidRPr="00D05674">
        <w:rPr>
          <w:sz w:val="18"/>
          <w:szCs w:val="18"/>
        </w:rPr>
        <w:t xml:space="preserve"> Note: In this guide, the term ‘school’ has been used throughout but it is always written with the intention of being inclusive of other settings including early childhood services</w:t>
      </w:r>
      <w:r w:rsidR="00AA442E" w:rsidRPr="00D05674">
        <w:rPr>
          <w:sz w:val="18"/>
          <w:szCs w:val="18"/>
        </w:rPr>
        <w:t xml:space="preserve"> and </w:t>
      </w:r>
      <w:r w:rsidRPr="00D05674">
        <w:rPr>
          <w:sz w:val="18"/>
          <w:szCs w:val="18"/>
        </w:rPr>
        <w:t>outdoor education and other non-school settings.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5CA3" w14:textId="77777777" w:rsidR="00A90A65" w:rsidRDefault="00A90A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409000F"/>
    <w:lvl w:ilvl="0">
      <w:start w:val="1"/>
      <w:numFmt w:val="decimal"/>
      <w:lvlText w:val="%1."/>
      <w:lvlJc w:val="left"/>
      <w:pPr>
        <w:ind w:left="360" w:hanging="360"/>
      </w:pPr>
    </w:lvl>
  </w:abstractNum>
  <w:abstractNum w:abstractNumId="1" w15:restartNumberingAfterBreak="0">
    <w:nsid w:val="083A5617"/>
    <w:multiLevelType w:val="hybridMultilevel"/>
    <w:tmpl w:val="0478C61E"/>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80A54D"/>
    <w:multiLevelType w:val="multilevel"/>
    <w:tmpl w:val="DE6E9DF8"/>
    <w:name w:val="Aitsl bullets"/>
    <w:lvl w:ilvl="0">
      <w:start w:val="1"/>
      <w:numFmt w:val="bullet"/>
      <w:lvlText w:val=""/>
      <w:lvlJc w:val="left"/>
      <w:pPr>
        <w:ind w:left="0" w:firstLine="0"/>
      </w:pPr>
      <w:rPr>
        <w:rFonts w:ascii="Symbol" w:hAnsi="Symbol" w:hint="default"/>
        <w:color w:val="007377"/>
      </w:rPr>
    </w:lvl>
    <w:lvl w:ilvl="1">
      <w:numFmt w:val="bullet"/>
      <w:lvlText w:val=""/>
      <w:lvlJc w:val="left"/>
      <w:pPr>
        <w:ind w:left="0" w:firstLine="0"/>
      </w:pPr>
      <w:rPr>
        <w:rFonts w:ascii="Symbol" w:hAnsi="Symbol" w:hint="default"/>
        <w:color w:val="007377"/>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12532136"/>
    <w:multiLevelType w:val="hybridMultilevel"/>
    <w:tmpl w:val="967CAB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C3C10"/>
    <w:multiLevelType w:val="hybridMultilevel"/>
    <w:tmpl w:val="8154DB00"/>
    <w:lvl w:ilvl="0" w:tplc="263E84C8">
      <w:start w:val="1"/>
      <w:numFmt w:val="bullet"/>
      <w:pStyle w:val="Greybox"/>
      <w:lvlText w:val=""/>
      <w:lvlJc w:val="left"/>
      <w:pPr>
        <w:ind w:left="360" w:hanging="360"/>
      </w:pPr>
      <w:rPr>
        <w:rFonts w:ascii="Symbol" w:hAnsi="Symbol" w:hint="default"/>
        <w:color w:val="00737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1F071DF"/>
    <w:multiLevelType w:val="hybridMultilevel"/>
    <w:tmpl w:val="A78EA1C8"/>
    <w:lvl w:ilvl="0" w:tplc="DB2A9C0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C362F1"/>
    <w:multiLevelType w:val="hybridMultilevel"/>
    <w:tmpl w:val="100846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722CAD"/>
    <w:multiLevelType w:val="multilevel"/>
    <w:tmpl w:val="A50E7D2C"/>
    <w:styleLink w:val="BulletList"/>
    <w:lvl w:ilvl="0">
      <w:start w:val="1"/>
      <w:numFmt w:val="bullet"/>
      <w:pStyle w:val="BulletLevel1"/>
      <w:lvlText w:val=""/>
      <w:lvlJc w:val="left"/>
      <w:pPr>
        <w:tabs>
          <w:tab w:val="num" w:pos="284"/>
        </w:tabs>
        <w:ind w:left="284" w:hanging="284"/>
      </w:pPr>
      <w:rPr>
        <w:rFonts w:ascii="Symbol" w:hAnsi="Symbol" w:hint="default"/>
        <w:color w:val="007377"/>
      </w:rPr>
    </w:lvl>
    <w:lvl w:ilvl="1">
      <w:start w:val="1"/>
      <w:numFmt w:val="bullet"/>
      <w:lvlText w:val=""/>
      <w:lvlJc w:val="left"/>
      <w:pPr>
        <w:tabs>
          <w:tab w:val="num" w:pos="567"/>
        </w:tabs>
        <w:ind w:left="567" w:hanging="283"/>
      </w:pPr>
      <w:rPr>
        <w:rFonts w:ascii="Symbol" w:hAnsi="Symbol" w:hint="default"/>
        <w:color w:val="007377"/>
        <w:u w:val="none"/>
      </w:rPr>
    </w:lvl>
    <w:lvl w:ilvl="2">
      <w:start w:val="1"/>
      <w:numFmt w:val="bullet"/>
      <w:pStyle w:val="BulletLevel3"/>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3FF84243"/>
    <w:multiLevelType w:val="multilevel"/>
    <w:tmpl w:val="E7542BDC"/>
    <w:lvl w:ilvl="0">
      <w:start w:val="1"/>
      <w:numFmt w:val="decimal"/>
      <w:lvlText w:val="%1."/>
      <w:lvlJc w:val="left"/>
      <w:pPr>
        <w:ind w:left="720" w:hanging="360"/>
      </w:pPr>
      <w:rPr>
        <w:rFonts w:hint="default"/>
        <w:b/>
        <w:color w:val="007377"/>
      </w:rPr>
    </w:lvl>
    <w:lvl w:ilvl="1">
      <w:start w:val="1"/>
      <w:numFmt w:val="lowerLetter"/>
      <w:pStyle w:val="TOC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5C715C2"/>
    <w:multiLevelType w:val="hybridMultilevel"/>
    <w:tmpl w:val="B21E9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353AFD"/>
    <w:multiLevelType w:val="multilevel"/>
    <w:tmpl w:val="1C0411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36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72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240" w:hanging="1080"/>
      </w:pPr>
      <w:rPr>
        <w:rFonts w:hint="default"/>
        <w:color w:val="000000"/>
      </w:rPr>
    </w:lvl>
    <w:lvl w:ilvl="7">
      <w:start w:val="1"/>
      <w:numFmt w:val="decimal"/>
      <w:isLgl/>
      <w:lvlText w:val="%1.%2.%3.%4.%5.%6.%7.%8"/>
      <w:lvlJc w:val="left"/>
      <w:pPr>
        <w:ind w:left="3600" w:hanging="1080"/>
      </w:pPr>
      <w:rPr>
        <w:rFonts w:hint="default"/>
        <w:color w:val="000000"/>
      </w:rPr>
    </w:lvl>
    <w:lvl w:ilvl="8">
      <w:start w:val="1"/>
      <w:numFmt w:val="decimal"/>
      <w:isLgl/>
      <w:lvlText w:val="%1.%2.%3.%4.%5.%6.%7.%8.%9"/>
      <w:lvlJc w:val="left"/>
      <w:pPr>
        <w:ind w:left="4320" w:hanging="1440"/>
      </w:pPr>
      <w:rPr>
        <w:rFonts w:hint="default"/>
        <w:color w:val="000000"/>
      </w:rPr>
    </w:lvl>
  </w:abstractNum>
  <w:abstractNum w:abstractNumId="11" w15:restartNumberingAfterBreak="0">
    <w:nsid w:val="4B6D4644"/>
    <w:multiLevelType w:val="multilevel"/>
    <w:tmpl w:val="A50E7D2C"/>
    <w:numStyleLink w:val="BulletList"/>
  </w:abstractNum>
  <w:abstractNum w:abstractNumId="12" w15:restartNumberingAfterBreak="0">
    <w:nsid w:val="4BC74E2F"/>
    <w:multiLevelType w:val="hybridMultilevel"/>
    <w:tmpl w:val="521C958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28491A"/>
    <w:multiLevelType w:val="hybridMultilevel"/>
    <w:tmpl w:val="74DC85D0"/>
    <w:lvl w:ilvl="0" w:tplc="E17A9676">
      <w:start w:val="1"/>
      <w:numFmt w:val="bullet"/>
      <w:lvlText w:val="•"/>
      <w:lvlJc w:val="left"/>
      <w:pPr>
        <w:tabs>
          <w:tab w:val="num" w:pos="720"/>
        </w:tabs>
        <w:ind w:left="720" w:hanging="360"/>
      </w:pPr>
      <w:rPr>
        <w:rFonts w:ascii="Times New Roman" w:hAnsi="Times New Roman" w:hint="default"/>
      </w:rPr>
    </w:lvl>
    <w:lvl w:ilvl="1" w:tplc="C4D8330C" w:tentative="1">
      <w:start w:val="1"/>
      <w:numFmt w:val="bullet"/>
      <w:lvlText w:val="•"/>
      <w:lvlJc w:val="left"/>
      <w:pPr>
        <w:tabs>
          <w:tab w:val="num" w:pos="1440"/>
        </w:tabs>
        <w:ind w:left="1440" w:hanging="360"/>
      </w:pPr>
      <w:rPr>
        <w:rFonts w:ascii="Times New Roman" w:hAnsi="Times New Roman" w:hint="default"/>
      </w:rPr>
    </w:lvl>
    <w:lvl w:ilvl="2" w:tplc="ABD81CFE" w:tentative="1">
      <w:start w:val="1"/>
      <w:numFmt w:val="bullet"/>
      <w:lvlText w:val="•"/>
      <w:lvlJc w:val="left"/>
      <w:pPr>
        <w:tabs>
          <w:tab w:val="num" w:pos="2160"/>
        </w:tabs>
        <w:ind w:left="2160" w:hanging="360"/>
      </w:pPr>
      <w:rPr>
        <w:rFonts w:ascii="Times New Roman" w:hAnsi="Times New Roman" w:hint="default"/>
      </w:rPr>
    </w:lvl>
    <w:lvl w:ilvl="3" w:tplc="8FFAFF20" w:tentative="1">
      <w:start w:val="1"/>
      <w:numFmt w:val="bullet"/>
      <w:lvlText w:val="•"/>
      <w:lvlJc w:val="left"/>
      <w:pPr>
        <w:tabs>
          <w:tab w:val="num" w:pos="2880"/>
        </w:tabs>
        <w:ind w:left="2880" w:hanging="360"/>
      </w:pPr>
      <w:rPr>
        <w:rFonts w:ascii="Times New Roman" w:hAnsi="Times New Roman" w:hint="default"/>
      </w:rPr>
    </w:lvl>
    <w:lvl w:ilvl="4" w:tplc="253827B6" w:tentative="1">
      <w:start w:val="1"/>
      <w:numFmt w:val="bullet"/>
      <w:lvlText w:val="•"/>
      <w:lvlJc w:val="left"/>
      <w:pPr>
        <w:tabs>
          <w:tab w:val="num" w:pos="3600"/>
        </w:tabs>
        <w:ind w:left="3600" w:hanging="360"/>
      </w:pPr>
      <w:rPr>
        <w:rFonts w:ascii="Times New Roman" w:hAnsi="Times New Roman" w:hint="default"/>
      </w:rPr>
    </w:lvl>
    <w:lvl w:ilvl="5" w:tplc="BCDE4B10" w:tentative="1">
      <w:start w:val="1"/>
      <w:numFmt w:val="bullet"/>
      <w:lvlText w:val="•"/>
      <w:lvlJc w:val="left"/>
      <w:pPr>
        <w:tabs>
          <w:tab w:val="num" w:pos="4320"/>
        </w:tabs>
        <w:ind w:left="4320" w:hanging="360"/>
      </w:pPr>
      <w:rPr>
        <w:rFonts w:ascii="Times New Roman" w:hAnsi="Times New Roman" w:hint="default"/>
      </w:rPr>
    </w:lvl>
    <w:lvl w:ilvl="6" w:tplc="16A06C96" w:tentative="1">
      <w:start w:val="1"/>
      <w:numFmt w:val="bullet"/>
      <w:lvlText w:val="•"/>
      <w:lvlJc w:val="left"/>
      <w:pPr>
        <w:tabs>
          <w:tab w:val="num" w:pos="5040"/>
        </w:tabs>
        <w:ind w:left="5040" w:hanging="360"/>
      </w:pPr>
      <w:rPr>
        <w:rFonts w:ascii="Times New Roman" w:hAnsi="Times New Roman" w:hint="default"/>
      </w:rPr>
    </w:lvl>
    <w:lvl w:ilvl="7" w:tplc="3D5C5A7E" w:tentative="1">
      <w:start w:val="1"/>
      <w:numFmt w:val="bullet"/>
      <w:lvlText w:val="•"/>
      <w:lvlJc w:val="left"/>
      <w:pPr>
        <w:tabs>
          <w:tab w:val="num" w:pos="5760"/>
        </w:tabs>
        <w:ind w:left="5760" w:hanging="360"/>
      </w:pPr>
      <w:rPr>
        <w:rFonts w:ascii="Times New Roman" w:hAnsi="Times New Roman" w:hint="default"/>
      </w:rPr>
    </w:lvl>
    <w:lvl w:ilvl="8" w:tplc="F214A50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041878"/>
    <w:multiLevelType w:val="hybridMultilevel"/>
    <w:tmpl w:val="B464F868"/>
    <w:lvl w:ilvl="0" w:tplc="E7987262">
      <w:start w:val="1"/>
      <w:numFmt w:val="bullet"/>
      <w:pStyle w:val="Listtick"/>
      <w:lvlText w:val=""/>
      <w:lvlJc w:val="left"/>
      <w:pPr>
        <w:ind w:left="502"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E3233C"/>
    <w:multiLevelType w:val="hybridMultilevel"/>
    <w:tmpl w:val="B9324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069FB"/>
    <w:multiLevelType w:val="hybridMultilevel"/>
    <w:tmpl w:val="2ADEEB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B661A1"/>
    <w:multiLevelType w:val="hybridMultilevel"/>
    <w:tmpl w:val="DBDC3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FC62A8"/>
    <w:multiLevelType w:val="hybridMultilevel"/>
    <w:tmpl w:val="0196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880261"/>
    <w:multiLevelType w:val="hybridMultilevel"/>
    <w:tmpl w:val="05BC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971DA5"/>
    <w:multiLevelType w:val="hybridMultilevel"/>
    <w:tmpl w:val="737E1E0E"/>
    <w:lvl w:ilvl="0" w:tplc="1200D2E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30572F3"/>
    <w:multiLevelType w:val="hybridMultilevel"/>
    <w:tmpl w:val="CB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006666"/>
    <w:multiLevelType w:val="hybridMultilevel"/>
    <w:tmpl w:val="227E9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2A5122"/>
    <w:multiLevelType w:val="hybridMultilevel"/>
    <w:tmpl w:val="85FA59B4"/>
    <w:lvl w:ilvl="0" w:tplc="0C09000D">
      <w:start w:val="1"/>
      <w:numFmt w:val="bullet"/>
      <w:lvlText w:val=""/>
      <w:lvlJc w:val="left"/>
      <w:pPr>
        <w:tabs>
          <w:tab w:val="num" w:pos="720"/>
        </w:tabs>
        <w:ind w:left="720" w:hanging="360"/>
      </w:pPr>
      <w:rPr>
        <w:rFonts w:ascii="Wingdings" w:hAnsi="Wingdings" w:hint="default"/>
      </w:rPr>
    </w:lvl>
    <w:lvl w:ilvl="1" w:tplc="C4D8330C" w:tentative="1">
      <w:start w:val="1"/>
      <w:numFmt w:val="bullet"/>
      <w:lvlText w:val="•"/>
      <w:lvlJc w:val="left"/>
      <w:pPr>
        <w:tabs>
          <w:tab w:val="num" w:pos="1440"/>
        </w:tabs>
        <w:ind w:left="1440" w:hanging="360"/>
      </w:pPr>
      <w:rPr>
        <w:rFonts w:ascii="Times New Roman" w:hAnsi="Times New Roman" w:hint="default"/>
      </w:rPr>
    </w:lvl>
    <w:lvl w:ilvl="2" w:tplc="ABD81CFE" w:tentative="1">
      <w:start w:val="1"/>
      <w:numFmt w:val="bullet"/>
      <w:lvlText w:val="•"/>
      <w:lvlJc w:val="left"/>
      <w:pPr>
        <w:tabs>
          <w:tab w:val="num" w:pos="2160"/>
        </w:tabs>
        <w:ind w:left="2160" w:hanging="360"/>
      </w:pPr>
      <w:rPr>
        <w:rFonts w:ascii="Times New Roman" w:hAnsi="Times New Roman" w:hint="default"/>
      </w:rPr>
    </w:lvl>
    <w:lvl w:ilvl="3" w:tplc="8FFAFF20" w:tentative="1">
      <w:start w:val="1"/>
      <w:numFmt w:val="bullet"/>
      <w:lvlText w:val="•"/>
      <w:lvlJc w:val="left"/>
      <w:pPr>
        <w:tabs>
          <w:tab w:val="num" w:pos="2880"/>
        </w:tabs>
        <w:ind w:left="2880" w:hanging="360"/>
      </w:pPr>
      <w:rPr>
        <w:rFonts w:ascii="Times New Roman" w:hAnsi="Times New Roman" w:hint="default"/>
      </w:rPr>
    </w:lvl>
    <w:lvl w:ilvl="4" w:tplc="253827B6" w:tentative="1">
      <w:start w:val="1"/>
      <w:numFmt w:val="bullet"/>
      <w:lvlText w:val="•"/>
      <w:lvlJc w:val="left"/>
      <w:pPr>
        <w:tabs>
          <w:tab w:val="num" w:pos="3600"/>
        </w:tabs>
        <w:ind w:left="3600" w:hanging="360"/>
      </w:pPr>
      <w:rPr>
        <w:rFonts w:ascii="Times New Roman" w:hAnsi="Times New Roman" w:hint="default"/>
      </w:rPr>
    </w:lvl>
    <w:lvl w:ilvl="5" w:tplc="BCDE4B10" w:tentative="1">
      <w:start w:val="1"/>
      <w:numFmt w:val="bullet"/>
      <w:lvlText w:val="•"/>
      <w:lvlJc w:val="left"/>
      <w:pPr>
        <w:tabs>
          <w:tab w:val="num" w:pos="4320"/>
        </w:tabs>
        <w:ind w:left="4320" w:hanging="360"/>
      </w:pPr>
      <w:rPr>
        <w:rFonts w:ascii="Times New Roman" w:hAnsi="Times New Roman" w:hint="default"/>
      </w:rPr>
    </w:lvl>
    <w:lvl w:ilvl="6" w:tplc="16A06C96" w:tentative="1">
      <w:start w:val="1"/>
      <w:numFmt w:val="bullet"/>
      <w:lvlText w:val="•"/>
      <w:lvlJc w:val="left"/>
      <w:pPr>
        <w:tabs>
          <w:tab w:val="num" w:pos="5040"/>
        </w:tabs>
        <w:ind w:left="5040" w:hanging="360"/>
      </w:pPr>
      <w:rPr>
        <w:rFonts w:ascii="Times New Roman" w:hAnsi="Times New Roman" w:hint="default"/>
      </w:rPr>
    </w:lvl>
    <w:lvl w:ilvl="7" w:tplc="3D5C5A7E" w:tentative="1">
      <w:start w:val="1"/>
      <w:numFmt w:val="bullet"/>
      <w:lvlText w:val="•"/>
      <w:lvlJc w:val="left"/>
      <w:pPr>
        <w:tabs>
          <w:tab w:val="num" w:pos="5760"/>
        </w:tabs>
        <w:ind w:left="5760" w:hanging="360"/>
      </w:pPr>
      <w:rPr>
        <w:rFonts w:ascii="Times New Roman" w:hAnsi="Times New Roman" w:hint="default"/>
      </w:rPr>
    </w:lvl>
    <w:lvl w:ilvl="8" w:tplc="F214A50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83F5009"/>
    <w:multiLevelType w:val="hybridMultilevel"/>
    <w:tmpl w:val="4BB282A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9DB098F"/>
    <w:multiLevelType w:val="hybridMultilevel"/>
    <w:tmpl w:val="196E0AE0"/>
    <w:lvl w:ilvl="0" w:tplc="9D22B278">
      <w:start w:val="1"/>
      <w:numFmt w:val="bullet"/>
      <w:lvlText w:val=""/>
      <w:lvlJc w:val="left"/>
      <w:pPr>
        <w:ind w:left="360" w:hanging="360"/>
      </w:pPr>
      <w:rPr>
        <w:rFonts w:ascii="Symbol" w:hAnsi="Symbol" w:hint="default"/>
        <w:color w:val="00737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11"/>
  </w:num>
  <w:num w:numId="4">
    <w:abstractNumId w:val="1"/>
  </w:num>
  <w:num w:numId="5">
    <w:abstractNumId w:val="2"/>
  </w:num>
  <w:num w:numId="6">
    <w:abstractNumId w:val="8"/>
  </w:num>
  <w:num w:numId="7">
    <w:abstractNumId w:val="7"/>
  </w:num>
  <w:num w:numId="8">
    <w:abstractNumId w:val="0"/>
  </w:num>
  <w:num w:numId="9">
    <w:abstractNumId w:val="21"/>
  </w:num>
  <w:num w:numId="10">
    <w:abstractNumId w:val="5"/>
  </w:num>
  <w:num w:numId="11">
    <w:abstractNumId w:val="3"/>
  </w:num>
  <w:num w:numId="12">
    <w:abstractNumId w:val="9"/>
  </w:num>
  <w:num w:numId="13">
    <w:abstractNumId w:val="6"/>
  </w:num>
  <w:num w:numId="14">
    <w:abstractNumId w:val="15"/>
  </w:num>
  <w:num w:numId="15">
    <w:abstractNumId w:val="18"/>
  </w:num>
  <w:num w:numId="16">
    <w:abstractNumId w:val="19"/>
  </w:num>
  <w:num w:numId="17">
    <w:abstractNumId w:val="22"/>
  </w:num>
  <w:num w:numId="18">
    <w:abstractNumId w:val="25"/>
  </w:num>
  <w:num w:numId="19">
    <w:abstractNumId w:val="24"/>
  </w:num>
  <w:num w:numId="20">
    <w:abstractNumId w:val="14"/>
  </w:num>
  <w:num w:numId="21">
    <w:abstractNumId w:val="14"/>
  </w:num>
  <w:num w:numId="22">
    <w:abstractNumId w:val="12"/>
  </w:num>
  <w:num w:numId="23">
    <w:abstractNumId w:val="20"/>
  </w:num>
  <w:num w:numId="24">
    <w:abstractNumId w:val="16"/>
  </w:num>
  <w:num w:numId="25">
    <w:abstractNumId w:val="14"/>
  </w:num>
  <w:num w:numId="26">
    <w:abstractNumId w:val="14"/>
  </w:num>
  <w:num w:numId="27">
    <w:abstractNumId w:val="13"/>
  </w:num>
  <w:num w:numId="28">
    <w:abstractNumId w:val="23"/>
  </w:num>
  <w:num w:numId="29">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8EE"/>
    <w:rsid w:val="000047E1"/>
    <w:rsid w:val="00014E24"/>
    <w:rsid w:val="00035DB2"/>
    <w:rsid w:val="00036077"/>
    <w:rsid w:val="00043E93"/>
    <w:rsid w:val="000532C7"/>
    <w:rsid w:val="00053549"/>
    <w:rsid w:val="00056B20"/>
    <w:rsid w:val="00060B57"/>
    <w:rsid w:val="0006656C"/>
    <w:rsid w:val="00077186"/>
    <w:rsid w:val="00092C43"/>
    <w:rsid w:val="000B1F15"/>
    <w:rsid w:val="000B2088"/>
    <w:rsid w:val="000C18BA"/>
    <w:rsid w:val="000C5E1C"/>
    <w:rsid w:val="000D0EF4"/>
    <w:rsid w:val="000D43E1"/>
    <w:rsid w:val="000E1449"/>
    <w:rsid w:val="000F03DB"/>
    <w:rsid w:val="000F34AC"/>
    <w:rsid w:val="00106958"/>
    <w:rsid w:val="0011642D"/>
    <w:rsid w:val="001225F5"/>
    <w:rsid w:val="0012353F"/>
    <w:rsid w:val="00127F54"/>
    <w:rsid w:val="00133F44"/>
    <w:rsid w:val="00152D62"/>
    <w:rsid w:val="001530BC"/>
    <w:rsid w:val="00164722"/>
    <w:rsid w:val="00165B50"/>
    <w:rsid w:val="00170016"/>
    <w:rsid w:val="00192315"/>
    <w:rsid w:val="001A3E0E"/>
    <w:rsid w:val="001B04F9"/>
    <w:rsid w:val="001B2963"/>
    <w:rsid w:val="001B47EA"/>
    <w:rsid w:val="001C394C"/>
    <w:rsid w:val="001D565F"/>
    <w:rsid w:val="001D67D2"/>
    <w:rsid w:val="001E2408"/>
    <w:rsid w:val="001F3009"/>
    <w:rsid w:val="001F58F9"/>
    <w:rsid w:val="001F5A6B"/>
    <w:rsid w:val="00214314"/>
    <w:rsid w:val="00215674"/>
    <w:rsid w:val="00216C0F"/>
    <w:rsid w:val="00221F27"/>
    <w:rsid w:val="00222ED0"/>
    <w:rsid w:val="002248A4"/>
    <w:rsid w:val="00224946"/>
    <w:rsid w:val="002367E8"/>
    <w:rsid w:val="00241953"/>
    <w:rsid w:val="0024373D"/>
    <w:rsid w:val="00254816"/>
    <w:rsid w:val="00260D37"/>
    <w:rsid w:val="0026588A"/>
    <w:rsid w:val="00265D0B"/>
    <w:rsid w:val="002674B2"/>
    <w:rsid w:val="00294DC0"/>
    <w:rsid w:val="002B07CD"/>
    <w:rsid w:val="002B0C74"/>
    <w:rsid w:val="002B606A"/>
    <w:rsid w:val="002C1AF0"/>
    <w:rsid w:val="002C7628"/>
    <w:rsid w:val="002D0608"/>
    <w:rsid w:val="002D1B8D"/>
    <w:rsid w:val="002D3F00"/>
    <w:rsid w:val="002D5B47"/>
    <w:rsid w:val="002E5B31"/>
    <w:rsid w:val="002E67EC"/>
    <w:rsid w:val="00303124"/>
    <w:rsid w:val="0030364B"/>
    <w:rsid w:val="00304F82"/>
    <w:rsid w:val="00307CC7"/>
    <w:rsid w:val="003167FB"/>
    <w:rsid w:val="0032229B"/>
    <w:rsid w:val="00324221"/>
    <w:rsid w:val="00326AB3"/>
    <w:rsid w:val="003277C9"/>
    <w:rsid w:val="00337113"/>
    <w:rsid w:val="0034651C"/>
    <w:rsid w:val="00347F95"/>
    <w:rsid w:val="00360558"/>
    <w:rsid w:val="00362B07"/>
    <w:rsid w:val="00365148"/>
    <w:rsid w:val="00372189"/>
    <w:rsid w:val="003738F6"/>
    <w:rsid w:val="00375547"/>
    <w:rsid w:val="00392E06"/>
    <w:rsid w:val="003946B7"/>
    <w:rsid w:val="003A15AC"/>
    <w:rsid w:val="003B3331"/>
    <w:rsid w:val="003B4435"/>
    <w:rsid w:val="003C34E3"/>
    <w:rsid w:val="003C42BE"/>
    <w:rsid w:val="003D50B2"/>
    <w:rsid w:val="003D7D13"/>
    <w:rsid w:val="003E12A5"/>
    <w:rsid w:val="003E5390"/>
    <w:rsid w:val="003E54DE"/>
    <w:rsid w:val="003F6FB1"/>
    <w:rsid w:val="00401B83"/>
    <w:rsid w:val="0041163D"/>
    <w:rsid w:val="00413BCB"/>
    <w:rsid w:val="00422E80"/>
    <w:rsid w:val="00423472"/>
    <w:rsid w:val="00426214"/>
    <w:rsid w:val="004271F5"/>
    <w:rsid w:val="00427232"/>
    <w:rsid w:val="00431CF3"/>
    <w:rsid w:val="004373BC"/>
    <w:rsid w:val="00440C5B"/>
    <w:rsid w:val="00443081"/>
    <w:rsid w:val="004478D6"/>
    <w:rsid w:val="00450DBD"/>
    <w:rsid w:val="00452771"/>
    <w:rsid w:val="00456BAB"/>
    <w:rsid w:val="00466158"/>
    <w:rsid w:val="00466FBD"/>
    <w:rsid w:val="00470999"/>
    <w:rsid w:val="0047506C"/>
    <w:rsid w:val="00476D89"/>
    <w:rsid w:val="004817B7"/>
    <w:rsid w:val="00492756"/>
    <w:rsid w:val="004930E0"/>
    <w:rsid w:val="004A22A0"/>
    <w:rsid w:val="004B13E3"/>
    <w:rsid w:val="004B2149"/>
    <w:rsid w:val="004B3887"/>
    <w:rsid w:val="004B5E96"/>
    <w:rsid w:val="004D47B3"/>
    <w:rsid w:val="004D4A5A"/>
    <w:rsid w:val="004D7D8C"/>
    <w:rsid w:val="004E1300"/>
    <w:rsid w:val="004E25CB"/>
    <w:rsid w:val="004F4137"/>
    <w:rsid w:val="004F47B2"/>
    <w:rsid w:val="00504902"/>
    <w:rsid w:val="00507192"/>
    <w:rsid w:val="00515CED"/>
    <w:rsid w:val="00516CCF"/>
    <w:rsid w:val="00534B17"/>
    <w:rsid w:val="005401EC"/>
    <w:rsid w:val="00541316"/>
    <w:rsid w:val="0054361B"/>
    <w:rsid w:val="00545C49"/>
    <w:rsid w:val="0054793E"/>
    <w:rsid w:val="00550CFC"/>
    <w:rsid w:val="00551CB2"/>
    <w:rsid w:val="00552767"/>
    <w:rsid w:val="005568E2"/>
    <w:rsid w:val="00563BA7"/>
    <w:rsid w:val="00565323"/>
    <w:rsid w:val="00565FBF"/>
    <w:rsid w:val="0057458F"/>
    <w:rsid w:val="00582169"/>
    <w:rsid w:val="00584089"/>
    <w:rsid w:val="005842F8"/>
    <w:rsid w:val="00592D17"/>
    <w:rsid w:val="005934EA"/>
    <w:rsid w:val="00593C93"/>
    <w:rsid w:val="00594ACA"/>
    <w:rsid w:val="005A3387"/>
    <w:rsid w:val="005A355B"/>
    <w:rsid w:val="005A4E41"/>
    <w:rsid w:val="005A7F18"/>
    <w:rsid w:val="005D3F0E"/>
    <w:rsid w:val="005F0A17"/>
    <w:rsid w:val="005F3DCF"/>
    <w:rsid w:val="00603870"/>
    <w:rsid w:val="006052F1"/>
    <w:rsid w:val="006109E7"/>
    <w:rsid w:val="00626AF2"/>
    <w:rsid w:val="00630911"/>
    <w:rsid w:val="00642BB6"/>
    <w:rsid w:val="00656549"/>
    <w:rsid w:val="00660AFD"/>
    <w:rsid w:val="00660DF1"/>
    <w:rsid w:val="006625CC"/>
    <w:rsid w:val="0066722C"/>
    <w:rsid w:val="0067000D"/>
    <w:rsid w:val="0067039A"/>
    <w:rsid w:val="00675009"/>
    <w:rsid w:val="00681273"/>
    <w:rsid w:val="00692533"/>
    <w:rsid w:val="00694CF0"/>
    <w:rsid w:val="006A3B5B"/>
    <w:rsid w:val="006B4AD1"/>
    <w:rsid w:val="006C4095"/>
    <w:rsid w:val="006C44C6"/>
    <w:rsid w:val="006C5BD5"/>
    <w:rsid w:val="006D4CC7"/>
    <w:rsid w:val="006D543B"/>
    <w:rsid w:val="006E1D96"/>
    <w:rsid w:val="006E595B"/>
    <w:rsid w:val="0070048D"/>
    <w:rsid w:val="00700D29"/>
    <w:rsid w:val="0070227C"/>
    <w:rsid w:val="00705A6D"/>
    <w:rsid w:val="00707240"/>
    <w:rsid w:val="00711348"/>
    <w:rsid w:val="00713872"/>
    <w:rsid w:val="00720473"/>
    <w:rsid w:val="007268F2"/>
    <w:rsid w:val="00726B26"/>
    <w:rsid w:val="00730A90"/>
    <w:rsid w:val="00741035"/>
    <w:rsid w:val="00744483"/>
    <w:rsid w:val="007504A1"/>
    <w:rsid w:val="007630D1"/>
    <w:rsid w:val="00766E81"/>
    <w:rsid w:val="007725F4"/>
    <w:rsid w:val="00772C0A"/>
    <w:rsid w:val="007734E4"/>
    <w:rsid w:val="00775FDC"/>
    <w:rsid w:val="00780995"/>
    <w:rsid w:val="00785FD4"/>
    <w:rsid w:val="00786713"/>
    <w:rsid w:val="007873C3"/>
    <w:rsid w:val="00787B7B"/>
    <w:rsid w:val="007911BB"/>
    <w:rsid w:val="00796198"/>
    <w:rsid w:val="007A2917"/>
    <w:rsid w:val="007A2A7F"/>
    <w:rsid w:val="007A58C8"/>
    <w:rsid w:val="007B421F"/>
    <w:rsid w:val="007D2EF9"/>
    <w:rsid w:val="007E7BFE"/>
    <w:rsid w:val="007F2BA5"/>
    <w:rsid w:val="007F5048"/>
    <w:rsid w:val="007F51EB"/>
    <w:rsid w:val="007F7F6C"/>
    <w:rsid w:val="007F7FF4"/>
    <w:rsid w:val="00801981"/>
    <w:rsid w:val="00803860"/>
    <w:rsid w:val="00825E92"/>
    <w:rsid w:val="008342EF"/>
    <w:rsid w:val="0084518B"/>
    <w:rsid w:val="00865D7A"/>
    <w:rsid w:val="00866DFC"/>
    <w:rsid w:val="00872490"/>
    <w:rsid w:val="00872533"/>
    <w:rsid w:val="0087337D"/>
    <w:rsid w:val="00877EC4"/>
    <w:rsid w:val="0088193F"/>
    <w:rsid w:val="00883C1C"/>
    <w:rsid w:val="00884E83"/>
    <w:rsid w:val="00885A33"/>
    <w:rsid w:val="00887874"/>
    <w:rsid w:val="008901FE"/>
    <w:rsid w:val="008A452D"/>
    <w:rsid w:val="008A5522"/>
    <w:rsid w:val="008B21D0"/>
    <w:rsid w:val="008B5045"/>
    <w:rsid w:val="008C2A2C"/>
    <w:rsid w:val="008C3CC5"/>
    <w:rsid w:val="008D1B4D"/>
    <w:rsid w:val="008E2C9F"/>
    <w:rsid w:val="008E3DA9"/>
    <w:rsid w:val="008F12CE"/>
    <w:rsid w:val="008F263B"/>
    <w:rsid w:val="00900F63"/>
    <w:rsid w:val="00901B10"/>
    <w:rsid w:val="00911155"/>
    <w:rsid w:val="00913215"/>
    <w:rsid w:val="00913BB5"/>
    <w:rsid w:val="00915C47"/>
    <w:rsid w:val="00921693"/>
    <w:rsid w:val="00922D88"/>
    <w:rsid w:val="00930DF5"/>
    <w:rsid w:val="00936BBE"/>
    <w:rsid w:val="00940436"/>
    <w:rsid w:val="00942E9C"/>
    <w:rsid w:val="00943013"/>
    <w:rsid w:val="009443A0"/>
    <w:rsid w:val="00950067"/>
    <w:rsid w:val="009504A3"/>
    <w:rsid w:val="00950594"/>
    <w:rsid w:val="00951677"/>
    <w:rsid w:val="009547B1"/>
    <w:rsid w:val="00964F0F"/>
    <w:rsid w:val="0096643B"/>
    <w:rsid w:val="0096661F"/>
    <w:rsid w:val="00970931"/>
    <w:rsid w:val="00974378"/>
    <w:rsid w:val="00977DBE"/>
    <w:rsid w:val="009802BB"/>
    <w:rsid w:val="0099618D"/>
    <w:rsid w:val="009A2A9D"/>
    <w:rsid w:val="009A4B85"/>
    <w:rsid w:val="009C57F3"/>
    <w:rsid w:val="009D0708"/>
    <w:rsid w:val="009D0F17"/>
    <w:rsid w:val="009E22BD"/>
    <w:rsid w:val="009E3E43"/>
    <w:rsid w:val="00A03217"/>
    <w:rsid w:val="00A03A9B"/>
    <w:rsid w:val="00A1089A"/>
    <w:rsid w:val="00A2284F"/>
    <w:rsid w:val="00A24FDA"/>
    <w:rsid w:val="00A2649A"/>
    <w:rsid w:val="00A32826"/>
    <w:rsid w:val="00A34D68"/>
    <w:rsid w:val="00A56EA8"/>
    <w:rsid w:val="00A57B1C"/>
    <w:rsid w:val="00A62A49"/>
    <w:rsid w:val="00A65083"/>
    <w:rsid w:val="00A66B16"/>
    <w:rsid w:val="00A74603"/>
    <w:rsid w:val="00A80EC7"/>
    <w:rsid w:val="00A82ACE"/>
    <w:rsid w:val="00A90A65"/>
    <w:rsid w:val="00A9102B"/>
    <w:rsid w:val="00A92345"/>
    <w:rsid w:val="00AA442E"/>
    <w:rsid w:val="00AA5211"/>
    <w:rsid w:val="00AB1468"/>
    <w:rsid w:val="00AC0232"/>
    <w:rsid w:val="00AC180C"/>
    <w:rsid w:val="00AC63B5"/>
    <w:rsid w:val="00AC7FE5"/>
    <w:rsid w:val="00AF5147"/>
    <w:rsid w:val="00AF6475"/>
    <w:rsid w:val="00B12974"/>
    <w:rsid w:val="00B15F0A"/>
    <w:rsid w:val="00B1654E"/>
    <w:rsid w:val="00B21B25"/>
    <w:rsid w:val="00B42B23"/>
    <w:rsid w:val="00B44B39"/>
    <w:rsid w:val="00B651C0"/>
    <w:rsid w:val="00B661AC"/>
    <w:rsid w:val="00B75CEA"/>
    <w:rsid w:val="00B8097A"/>
    <w:rsid w:val="00B86038"/>
    <w:rsid w:val="00B9475D"/>
    <w:rsid w:val="00B96B57"/>
    <w:rsid w:val="00B97625"/>
    <w:rsid w:val="00BA7BC8"/>
    <w:rsid w:val="00BB4946"/>
    <w:rsid w:val="00BB671F"/>
    <w:rsid w:val="00BB6C66"/>
    <w:rsid w:val="00BB794E"/>
    <w:rsid w:val="00BC7792"/>
    <w:rsid w:val="00BD6B18"/>
    <w:rsid w:val="00BF0AA4"/>
    <w:rsid w:val="00BF15A0"/>
    <w:rsid w:val="00BF297A"/>
    <w:rsid w:val="00BF3731"/>
    <w:rsid w:val="00BF408A"/>
    <w:rsid w:val="00C011B7"/>
    <w:rsid w:val="00C016B9"/>
    <w:rsid w:val="00C03E59"/>
    <w:rsid w:val="00C0678C"/>
    <w:rsid w:val="00C07567"/>
    <w:rsid w:val="00C11D73"/>
    <w:rsid w:val="00C15492"/>
    <w:rsid w:val="00C160FA"/>
    <w:rsid w:val="00C225E8"/>
    <w:rsid w:val="00C27D72"/>
    <w:rsid w:val="00C314D4"/>
    <w:rsid w:val="00C32AC8"/>
    <w:rsid w:val="00C33BDB"/>
    <w:rsid w:val="00C403D0"/>
    <w:rsid w:val="00C4430F"/>
    <w:rsid w:val="00C46362"/>
    <w:rsid w:val="00C51489"/>
    <w:rsid w:val="00C610CD"/>
    <w:rsid w:val="00C62048"/>
    <w:rsid w:val="00C74C99"/>
    <w:rsid w:val="00C75719"/>
    <w:rsid w:val="00C879DF"/>
    <w:rsid w:val="00C87C68"/>
    <w:rsid w:val="00C936BE"/>
    <w:rsid w:val="00C95F0D"/>
    <w:rsid w:val="00CA0B96"/>
    <w:rsid w:val="00CA146E"/>
    <w:rsid w:val="00CC0AB8"/>
    <w:rsid w:val="00CC2914"/>
    <w:rsid w:val="00CC38EE"/>
    <w:rsid w:val="00CC45DC"/>
    <w:rsid w:val="00CC5335"/>
    <w:rsid w:val="00CC5B59"/>
    <w:rsid w:val="00CD7F14"/>
    <w:rsid w:val="00CE35A0"/>
    <w:rsid w:val="00CF4470"/>
    <w:rsid w:val="00CF66FC"/>
    <w:rsid w:val="00D01497"/>
    <w:rsid w:val="00D0488B"/>
    <w:rsid w:val="00D05674"/>
    <w:rsid w:val="00D05DCA"/>
    <w:rsid w:val="00D10E93"/>
    <w:rsid w:val="00D20483"/>
    <w:rsid w:val="00D215FB"/>
    <w:rsid w:val="00D239EC"/>
    <w:rsid w:val="00D37379"/>
    <w:rsid w:val="00D42421"/>
    <w:rsid w:val="00D4305B"/>
    <w:rsid w:val="00D53B4E"/>
    <w:rsid w:val="00D54677"/>
    <w:rsid w:val="00D5643A"/>
    <w:rsid w:val="00D57F13"/>
    <w:rsid w:val="00D65538"/>
    <w:rsid w:val="00D66317"/>
    <w:rsid w:val="00D9434E"/>
    <w:rsid w:val="00D95CC9"/>
    <w:rsid w:val="00D95D1A"/>
    <w:rsid w:val="00DA3BB2"/>
    <w:rsid w:val="00DB3438"/>
    <w:rsid w:val="00DD150D"/>
    <w:rsid w:val="00DD3CB6"/>
    <w:rsid w:val="00DD730B"/>
    <w:rsid w:val="00DE0DCA"/>
    <w:rsid w:val="00DE6319"/>
    <w:rsid w:val="00DE719D"/>
    <w:rsid w:val="00DF1429"/>
    <w:rsid w:val="00E01919"/>
    <w:rsid w:val="00E03F35"/>
    <w:rsid w:val="00E144D1"/>
    <w:rsid w:val="00E14F81"/>
    <w:rsid w:val="00E155F5"/>
    <w:rsid w:val="00E16F75"/>
    <w:rsid w:val="00E216E0"/>
    <w:rsid w:val="00E261D6"/>
    <w:rsid w:val="00E35633"/>
    <w:rsid w:val="00E358D8"/>
    <w:rsid w:val="00E5351B"/>
    <w:rsid w:val="00E57857"/>
    <w:rsid w:val="00E66071"/>
    <w:rsid w:val="00E66CF2"/>
    <w:rsid w:val="00E66E27"/>
    <w:rsid w:val="00E82061"/>
    <w:rsid w:val="00E97245"/>
    <w:rsid w:val="00EA4073"/>
    <w:rsid w:val="00EB18EC"/>
    <w:rsid w:val="00EB29BC"/>
    <w:rsid w:val="00EB6056"/>
    <w:rsid w:val="00EC0955"/>
    <w:rsid w:val="00EC147F"/>
    <w:rsid w:val="00EC50CF"/>
    <w:rsid w:val="00EC71EB"/>
    <w:rsid w:val="00EE6970"/>
    <w:rsid w:val="00EE759B"/>
    <w:rsid w:val="00EF56AE"/>
    <w:rsid w:val="00F110A3"/>
    <w:rsid w:val="00F135DE"/>
    <w:rsid w:val="00F274CE"/>
    <w:rsid w:val="00F3466E"/>
    <w:rsid w:val="00F41DE0"/>
    <w:rsid w:val="00F42C5C"/>
    <w:rsid w:val="00F446E3"/>
    <w:rsid w:val="00F6464F"/>
    <w:rsid w:val="00F666E3"/>
    <w:rsid w:val="00F7041E"/>
    <w:rsid w:val="00F70CB8"/>
    <w:rsid w:val="00F72611"/>
    <w:rsid w:val="00F7327E"/>
    <w:rsid w:val="00F750DA"/>
    <w:rsid w:val="00F81947"/>
    <w:rsid w:val="00F96D87"/>
    <w:rsid w:val="00FA3402"/>
    <w:rsid w:val="00FA3E65"/>
    <w:rsid w:val="00FA7D3A"/>
    <w:rsid w:val="00FB52A3"/>
    <w:rsid w:val="00FB7981"/>
    <w:rsid w:val="00FC2D2C"/>
    <w:rsid w:val="00FD0463"/>
    <w:rsid w:val="00FD0CBD"/>
    <w:rsid w:val="00FE08CB"/>
    <w:rsid w:val="00FE2D56"/>
    <w:rsid w:val="00FE42A7"/>
    <w:rsid w:val="00FE5494"/>
    <w:rsid w:val="00FF1A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09EE933"/>
  <w15:docId w15:val="{A85A6005-8F29-451F-9D5B-A99B1CF8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10E93"/>
    <w:pPr>
      <w:spacing w:before="120" w:line="283" w:lineRule="auto"/>
    </w:pPr>
    <w:rPr>
      <w:rFonts w:ascii="Arial" w:hAnsi="Arial"/>
      <w:sz w:val="20"/>
    </w:rPr>
  </w:style>
  <w:style w:type="paragraph" w:styleId="Heading1">
    <w:name w:val="heading 1"/>
    <w:aliases w:val="(H1)"/>
    <w:basedOn w:val="Normal"/>
    <w:next w:val="Normal"/>
    <w:link w:val="Heading1Char"/>
    <w:uiPriority w:val="9"/>
    <w:qFormat/>
    <w:rsid w:val="003E12A5"/>
    <w:pPr>
      <w:keepNext/>
      <w:keepLines/>
      <w:spacing w:after="1120"/>
      <w:outlineLvl w:val="0"/>
    </w:pPr>
    <w:rPr>
      <w:rFonts w:eastAsiaTheme="majorEastAsia" w:cstheme="majorBidi"/>
      <w:b/>
      <w:bCs/>
      <w:color w:val="007377" w:themeColor="text2"/>
      <w:sz w:val="48"/>
      <w:szCs w:val="52"/>
    </w:rPr>
  </w:style>
  <w:style w:type="paragraph" w:styleId="Heading2">
    <w:name w:val="heading 2"/>
    <w:aliases w:val="(H2)"/>
    <w:basedOn w:val="Normal"/>
    <w:next w:val="Normal"/>
    <w:link w:val="Heading2Char"/>
    <w:uiPriority w:val="9"/>
    <w:unhideWhenUsed/>
    <w:qFormat/>
    <w:rsid w:val="006625CC"/>
    <w:pPr>
      <w:spacing w:before="360" w:after="240"/>
      <w:outlineLvl w:val="1"/>
    </w:pPr>
    <w:rPr>
      <w:rFonts w:cs="Arial"/>
      <w:b/>
      <w:bCs/>
      <w:noProof/>
      <w:color w:val="007377" w:themeColor="text2"/>
      <w:sz w:val="30"/>
      <w:szCs w:val="30"/>
    </w:rPr>
  </w:style>
  <w:style w:type="paragraph" w:styleId="Heading3">
    <w:name w:val="heading 3"/>
    <w:aliases w:val="(H3)"/>
    <w:basedOn w:val="Normal"/>
    <w:next w:val="Normal"/>
    <w:link w:val="Heading3Char"/>
    <w:uiPriority w:val="9"/>
    <w:unhideWhenUsed/>
    <w:rsid w:val="00C75719"/>
    <w:pPr>
      <w:keepNext/>
      <w:keepLines/>
      <w:spacing w:after="120"/>
      <w:outlineLvl w:val="2"/>
    </w:pPr>
    <w:rPr>
      <w:rFonts w:eastAsiaTheme="majorEastAsia" w:cstheme="majorBidi"/>
      <w:b/>
      <w:bCs/>
      <w:color w:val="007377" w:themeColor="text2"/>
      <w:sz w:val="24"/>
      <w:szCs w:val="24"/>
    </w:rPr>
  </w:style>
  <w:style w:type="paragraph" w:styleId="Heading4">
    <w:name w:val="heading 4"/>
    <w:aliases w:val="(H4)"/>
    <w:basedOn w:val="Normal"/>
    <w:next w:val="Normal"/>
    <w:link w:val="Heading4Char"/>
    <w:uiPriority w:val="9"/>
    <w:unhideWhenUsed/>
    <w:qFormat/>
    <w:rsid w:val="00C75719"/>
    <w:pPr>
      <w:keepNext/>
      <w:keepLines/>
      <w:spacing w:before="240" w:after="120"/>
      <w:outlineLvl w:val="3"/>
    </w:pPr>
    <w:rPr>
      <w:rFonts w:eastAsiaTheme="majorEastAsia" w:cstheme="majorBidi"/>
      <w:b/>
      <w:bCs/>
      <w:sz w:val="22"/>
    </w:rPr>
  </w:style>
  <w:style w:type="paragraph" w:styleId="Heading5">
    <w:name w:val="heading 5"/>
    <w:aliases w:val="(H5)"/>
    <w:basedOn w:val="Normal"/>
    <w:next w:val="Normal"/>
    <w:link w:val="Heading5Char"/>
    <w:uiPriority w:val="9"/>
    <w:unhideWhenUsed/>
    <w:qFormat/>
    <w:rsid w:val="00AC180C"/>
    <w:pPr>
      <w:keepNext/>
      <w:keepLines/>
      <w:spacing w:before="240" w:after="120"/>
      <w:ind w:right="227"/>
      <w:outlineLvl w:val="4"/>
    </w:pPr>
    <w:rPr>
      <w:rFonts w:eastAsiaTheme="majorEastAsia" w:cstheme="majorBidi"/>
      <w:b/>
      <w:bCs/>
      <w:color w:val="007377" w:themeColor="text2"/>
      <w:szCs w:val="20"/>
    </w:rPr>
  </w:style>
  <w:style w:type="paragraph" w:styleId="Heading6">
    <w:name w:val="heading 6"/>
    <w:aliases w:val="(H6)"/>
    <w:basedOn w:val="Normal"/>
    <w:next w:val="Normal"/>
    <w:link w:val="Heading6Char"/>
    <w:uiPriority w:val="9"/>
    <w:unhideWhenUsed/>
    <w:qFormat/>
    <w:rsid w:val="003D7D13"/>
    <w:pPr>
      <w:keepNext/>
      <w:keepLines/>
      <w:spacing w:after="360"/>
      <w:outlineLvl w:val="5"/>
    </w:pPr>
    <w:rPr>
      <w:rFonts w:eastAsiaTheme="majorEastAsia" w:cstheme="majorBidi"/>
      <w:b/>
      <w:bCs/>
      <w:color w:val="54585A"/>
      <w:szCs w:val="20"/>
    </w:rPr>
  </w:style>
  <w:style w:type="paragraph" w:styleId="Heading7">
    <w:name w:val="heading 7"/>
    <w:basedOn w:val="Normal"/>
    <w:next w:val="Normal"/>
    <w:link w:val="Heading7Char"/>
    <w:uiPriority w:val="9"/>
    <w:unhideWhenUsed/>
    <w:qFormat/>
    <w:rsid w:val="000B1F15"/>
    <w:pPr>
      <w:keepNext/>
      <w:keepLines/>
      <w:spacing w:before="40" w:after="0"/>
      <w:outlineLvl w:val="6"/>
    </w:pPr>
    <w:rPr>
      <w:rFonts w:asciiTheme="majorHAnsi" w:eastAsiaTheme="majorEastAsia" w:hAnsiTheme="majorHAnsi" w:cstheme="majorBidi"/>
      <w:i/>
      <w:iCs/>
      <w:color w:val="61661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EE"/>
  </w:style>
  <w:style w:type="paragraph" w:styleId="Footer">
    <w:name w:val="footer"/>
    <w:basedOn w:val="Normal"/>
    <w:link w:val="FooterChar"/>
    <w:uiPriority w:val="99"/>
    <w:unhideWhenUsed/>
    <w:rsid w:val="00C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EE"/>
  </w:style>
  <w:style w:type="character" w:customStyle="1" w:styleId="Heading1Char">
    <w:name w:val="Heading 1 Char"/>
    <w:aliases w:val="(H1) Char"/>
    <w:basedOn w:val="DefaultParagraphFont"/>
    <w:link w:val="Heading1"/>
    <w:uiPriority w:val="9"/>
    <w:rsid w:val="003E12A5"/>
    <w:rPr>
      <w:rFonts w:ascii="Arial" w:eastAsiaTheme="majorEastAsia" w:hAnsi="Arial" w:cstheme="majorBidi"/>
      <w:b/>
      <w:bCs/>
      <w:color w:val="007377" w:themeColor="text2"/>
      <w:sz w:val="48"/>
      <w:szCs w:val="52"/>
    </w:rPr>
  </w:style>
  <w:style w:type="paragraph" w:styleId="TOCHeading">
    <w:name w:val="TOC Heading"/>
    <w:basedOn w:val="Heading1"/>
    <w:next w:val="Normal"/>
    <w:uiPriority w:val="39"/>
    <w:unhideWhenUsed/>
    <w:qFormat/>
    <w:rsid w:val="00D20483"/>
    <w:pPr>
      <w:outlineLvl w:val="9"/>
    </w:pPr>
    <w:rPr>
      <w:lang w:val="en-US"/>
    </w:rPr>
  </w:style>
  <w:style w:type="paragraph" w:styleId="ListParagraph">
    <w:name w:val="List Paragraph"/>
    <w:basedOn w:val="Normal"/>
    <w:link w:val="ListParagraphChar"/>
    <w:uiPriority w:val="34"/>
    <w:qFormat/>
    <w:rsid w:val="00772C0A"/>
    <w:pPr>
      <w:numPr>
        <w:numId w:val="10"/>
      </w:numPr>
      <w:ind w:left="357" w:hanging="357"/>
    </w:pPr>
  </w:style>
  <w:style w:type="table" w:styleId="TableGrid">
    <w:name w:val="Table Grid"/>
    <w:basedOn w:val="TableNormal"/>
    <w:uiPriority w:val="39"/>
    <w:rsid w:val="008342EF"/>
    <w:pPr>
      <w:spacing w:after="0" w:line="240" w:lineRule="auto"/>
    </w:pPr>
    <w:rPr>
      <w:rFonts w:ascii="Arial" w:hAnsi="Arial"/>
      <w:sz w:val="16"/>
      <w:szCs w:val="16"/>
    </w:rPr>
    <w:tblPr>
      <w:tblBorders>
        <w:top w:val="single" w:sz="4" w:space="0" w:color="007377" w:themeColor="text2"/>
        <w:left w:val="single" w:sz="4" w:space="0" w:color="007377" w:themeColor="text2"/>
        <w:bottom w:val="single" w:sz="4" w:space="0" w:color="007377" w:themeColor="text2"/>
        <w:right w:val="single" w:sz="4" w:space="0" w:color="007377" w:themeColor="text2"/>
        <w:insideH w:val="single" w:sz="4" w:space="0" w:color="007377" w:themeColor="text2"/>
        <w:insideV w:val="single" w:sz="4" w:space="0" w:color="007377" w:themeColor="text2"/>
      </w:tblBorders>
    </w:tblPr>
  </w:style>
  <w:style w:type="paragraph" w:styleId="ListNumber">
    <w:name w:val="List Number"/>
    <w:basedOn w:val="Normal"/>
    <w:uiPriority w:val="99"/>
    <w:unhideWhenUsed/>
    <w:rsid w:val="00940436"/>
    <w:pPr>
      <w:contextualSpacing/>
    </w:pPr>
  </w:style>
  <w:style w:type="paragraph" w:customStyle="1" w:styleId="Heading10">
    <w:name w:val="Heading1"/>
    <w:basedOn w:val="Normal"/>
    <w:link w:val="Heading1Char0"/>
    <w:locked/>
    <w:rsid w:val="00C07567"/>
    <w:pPr>
      <w:ind w:firstLine="720"/>
    </w:pPr>
    <w:rPr>
      <w:rFonts w:cs="Arial"/>
      <w:b/>
      <w:noProof/>
      <w:color w:val="007377"/>
      <w:sz w:val="64"/>
      <w:szCs w:val="64"/>
    </w:rPr>
  </w:style>
  <w:style w:type="character" w:customStyle="1" w:styleId="Heading1Char0">
    <w:name w:val="Heading1 Char"/>
    <w:basedOn w:val="DefaultParagraphFont"/>
    <w:link w:val="Heading10"/>
    <w:rsid w:val="00C07567"/>
    <w:rPr>
      <w:rFonts w:ascii="Arial" w:hAnsi="Arial" w:cs="Arial"/>
      <w:b/>
      <w:noProof/>
      <w:color w:val="007377"/>
      <w:sz w:val="64"/>
      <w:szCs w:val="64"/>
    </w:rPr>
  </w:style>
  <w:style w:type="paragraph" w:styleId="TOC1">
    <w:name w:val="toc 1"/>
    <w:basedOn w:val="Normal"/>
    <w:next w:val="Normal"/>
    <w:autoRedefine/>
    <w:uiPriority w:val="39"/>
    <w:unhideWhenUsed/>
    <w:qFormat/>
    <w:rsid w:val="00A62A49"/>
    <w:pPr>
      <w:tabs>
        <w:tab w:val="right" w:leader="dot" w:pos="9016"/>
      </w:tabs>
      <w:spacing w:after="100"/>
      <w:ind w:left="66"/>
    </w:pPr>
    <w:rPr>
      <w:b/>
      <w:noProof/>
      <w:color w:val="007377"/>
    </w:rPr>
  </w:style>
  <w:style w:type="character" w:styleId="Hyperlink">
    <w:name w:val="Hyperlink"/>
    <w:basedOn w:val="DefaultParagraphFont"/>
    <w:uiPriority w:val="99"/>
    <w:unhideWhenUsed/>
    <w:rsid w:val="007F5048"/>
    <w:rPr>
      <w:color w:val="007377" w:themeColor="text2"/>
      <w:u w:val="single"/>
    </w:rPr>
  </w:style>
  <w:style w:type="character" w:customStyle="1" w:styleId="Heading2Char">
    <w:name w:val="Heading 2 Char"/>
    <w:aliases w:val="(H2) Char"/>
    <w:basedOn w:val="DefaultParagraphFont"/>
    <w:link w:val="Heading2"/>
    <w:uiPriority w:val="9"/>
    <w:rsid w:val="006625CC"/>
    <w:rPr>
      <w:rFonts w:ascii="Arial" w:hAnsi="Arial" w:cs="Arial"/>
      <w:b/>
      <w:bCs/>
      <w:noProof/>
      <w:color w:val="007377" w:themeColor="text2"/>
      <w:sz w:val="30"/>
      <w:szCs w:val="30"/>
    </w:rPr>
  </w:style>
  <w:style w:type="paragraph" w:customStyle="1" w:styleId="Greybox">
    <w:name w:val="Grey box"/>
    <w:basedOn w:val="ListParagraph"/>
    <w:link w:val="GreyboxChar"/>
    <w:qFormat/>
    <w:rsid w:val="00AB1468"/>
    <w:pPr>
      <w:numPr>
        <w:numId w:val="1"/>
      </w:numPr>
      <w:pBdr>
        <w:top w:val="single" w:sz="48" w:space="1" w:color="DDDDDD"/>
        <w:left w:val="single" w:sz="48" w:space="4" w:color="DDDDDD"/>
        <w:bottom w:val="single" w:sz="48" w:space="1" w:color="DDDDDD"/>
        <w:right w:val="single" w:sz="48" w:space="4" w:color="DDDDDD"/>
      </w:pBdr>
      <w:shd w:val="clear" w:color="auto" w:fill="DDDDDD"/>
      <w:tabs>
        <w:tab w:val="left" w:pos="284"/>
      </w:tabs>
      <w:spacing w:before="80" w:line="240" w:lineRule="auto"/>
      <w:ind w:left="511" w:right="227" w:hanging="284"/>
    </w:pPr>
    <w:rPr>
      <w:rFonts w:cs="Arial"/>
      <w:noProof/>
      <w:szCs w:val="20"/>
    </w:rPr>
  </w:style>
  <w:style w:type="character" w:customStyle="1" w:styleId="ListParagraphChar">
    <w:name w:val="List Paragraph Char"/>
    <w:basedOn w:val="DefaultParagraphFont"/>
    <w:link w:val="ListParagraph"/>
    <w:uiPriority w:val="34"/>
    <w:rsid w:val="00772C0A"/>
    <w:rPr>
      <w:rFonts w:ascii="Arial" w:hAnsi="Arial"/>
      <w:sz w:val="20"/>
    </w:rPr>
  </w:style>
  <w:style w:type="character" w:customStyle="1" w:styleId="GreyboxChar">
    <w:name w:val="Grey box Char"/>
    <w:basedOn w:val="ListParagraphChar"/>
    <w:link w:val="Greybox"/>
    <w:rsid w:val="00AB1468"/>
    <w:rPr>
      <w:rFonts w:ascii="Arial" w:hAnsi="Arial" w:cs="Arial"/>
      <w:noProof/>
      <w:sz w:val="20"/>
      <w:szCs w:val="20"/>
      <w:shd w:val="clear" w:color="auto" w:fill="DDDDDD"/>
    </w:rPr>
  </w:style>
  <w:style w:type="paragraph" w:customStyle="1" w:styleId="BulletLevel1">
    <w:name w:val="Bullet Level 1"/>
    <w:link w:val="BulletLevel1Char"/>
    <w:rsid w:val="00C225E8"/>
    <w:pPr>
      <w:numPr>
        <w:numId w:val="3"/>
      </w:numPr>
      <w:spacing w:before="120" w:after="120" w:line="264" w:lineRule="auto"/>
    </w:pPr>
    <w:rPr>
      <w:rFonts w:ascii="Arial" w:hAnsi="Arial" w:cs="Arial"/>
      <w:color w:val="000000"/>
      <w:sz w:val="20"/>
      <w:szCs w:val="20"/>
    </w:rPr>
  </w:style>
  <w:style w:type="character" w:customStyle="1" w:styleId="BulletLevel1Char">
    <w:name w:val="Bullet Level 1 Char"/>
    <w:basedOn w:val="DefaultParagraphFont"/>
    <w:link w:val="BulletLevel1"/>
    <w:rsid w:val="00C225E8"/>
    <w:rPr>
      <w:rFonts w:ascii="Arial" w:hAnsi="Arial" w:cs="Arial"/>
      <w:color w:val="000000"/>
      <w:sz w:val="20"/>
      <w:szCs w:val="20"/>
    </w:rPr>
  </w:style>
  <w:style w:type="paragraph" w:styleId="EndnoteText">
    <w:name w:val="endnote text"/>
    <w:basedOn w:val="Normal"/>
    <w:link w:val="EndnoteTextChar"/>
    <w:uiPriority w:val="99"/>
    <w:unhideWhenUsed/>
    <w:locked/>
    <w:rsid w:val="00785FD4"/>
    <w:pPr>
      <w:spacing w:before="100" w:after="0" w:line="240" w:lineRule="auto"/>
    </w:pPr>
    <w:rPr>
      <w:sz w:val="18"/>
      <w:szCs w:val="20"/>
    </w:rPr>
  </w:style>
  <w:style w:type="character" w:customStyle="1" w:styleId="EndnoteTextChar">
    <w:name w:val="Endnote Text Char"/>
    <w:basedOn w:val="DefaultParagraphFont"/>
    <w:link w:val="EndnoteText"/>
    <w:uiPriority w:val="99"/>
    <w:rsid w:val="00785FD4"/>
    <w:rPr>
      <w:rFonts w:ascii="Arial" w:hAnsi="Arial"/>
      <w:sz w:val="18"/>
      <w:szCs w:val="20"/>
    </w:rPr>
  </w:style>
  <w:style w:type="character" w:styleId="EndnoteReference">
    <w:name w:val="endnote reference"/>
    <w:basedOn w:val="DefaultParagraphFont"/>
    <w:uiPriority w:val="99"/>
    <w:semiHidden/>
    <w:unhideWhenUsed/>
    <w:locked/>
    <w:rsid w:val="009443A0"/>
    <w:rPr>
      <w:vertAlign w:val="superscript"/>
    </w:rPr>
  </w:style>
  <w:style w:type="paragraph" w:styleId="TOC2">
    <w:name w:val="toc 2"/>
    <w:basedOn w:val="Normal"/>
    <w:next w:val="Normal"/>
    <w:autoRedefine/>
    <w:uiPriority w:val="39"/>
    <w:unhideWhenUsed/>
    <w:qFormat/>
    <w:rsid w:val="00B86038"/>
    <w:pPr>
      <w:numPr>
        <w:ilvl w:val="1"/>
        <w:numId w:val="6"/>
      </w:numPr>
      <w:tabs>
        <w:tab w:val="right" w:leader="dot" w:pos="9016"/>
      </w:tabs>
      <w:spacing w:after="100"/>
      <w:ind w:left="720" w:hanging="227"/>
    </w:pPr>
    <w:rPr>
      <w:noProof/>
    </w:rPr>
  </w:style>
  <w:style w:type="paragraph" w:styleId="BalloonText">
    <w:name w:val="Balloon Text"/>
    <w:basedOn w:val="Normal"/>
    <w:link w:val="BalloonTextChar"/>
    <w:uiPriority w:val="99"/>
    <w:semiHidden/>
    <w:unhideWhenUsed/>
    <w:locked/>
    <w:rsid w:val="00CC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914"/>
    <w:rPr>
      <w:rFonts w:ascii="Tahoma" w:hAnsi="Tahoma" w:cs="Tahoma"/>
      <w:sz w:val="16"/>
      <w:szCs w:val="16"/>
    </w:rPr>
  </w:style>
  <w:style w:type="paragraph" w:styleId="TOC3">
    <w:name w:val="toc 3"/>
    <w:basedOn w:val="Normal"/>
    <w:next w:val="Normal"/>
    <w:autoRedefine/>
    <w:uiPriority w:val="39"/>
    <w:unhideWhenUsed/>
    <w:qFormat/>
    <w:rsid w:val="00CC2914"/>
    <w:pPr>
      <w:spacing w:after="100" w:line="276" w:lineRule="auto"/>
      <w:ind w:left="440"/>
    </w:pPr>
    <w:rPr>
      <w:rFonts w:asciiTheme="minorHAnsi" w:eastAsiaTheme="minorEastAsia" w:hAnsiTheme="minorHAnsi"/>
      <w:sz w:val="22"/>
      <w:lang w:val="en-US" w:eastAsia="ja-JP"/>
    </w:rPr>
  </w:style>
  <w:style w:type="paragraph" w:customStyle="1" w:styleId="FooterPageNumber">
    <w:name w:val="Footer Page Number"/>
    <w:basedOn w:val="Footer"/>
    <w:link w:val="FooterPageNumberChar"/>
    <w:rsid w:val="009802BB"/>
    <w:pPr>
      <w:shd w:val="clear" w:color="auto" w:fill="FFFFFF" w:themeFill="background1"/>
      <w:ind w:hanging="426"/>
    </w:pPr>
    <w:rPr>
      <w:color w:val="007377"/>
      <w:sz w:val="16"/>
    </w:rPr>
  </w:style>
  <w:style w:type="paragraph" w:customStyle="1" w:styleId="FooterText">
    <w:name w:val="Footer Text"/>
    <w:link w:val="FooterTextChar"/>
    <w:rsid w:val="009802BB"/>
    <w:pPr>
      <w:pBdr>
        <w:top w:val="single" w:sz="4" w:space="5" w:color="B5BD00"/>
      </w:pBdr>
      <w:spacing w:after="0"/>
    </w:pPr>
    <w:rPr>
      <w:rFonts w:ascii="Arial" w:hAnsi="Arial"/>
      <w:color w:val="54585A" w:themeColor="text1"/>
      <w:sz w:val="16"/>
    </w:rPr>
  </w:style>
  <w:style w:type="character" w:customStyle="1" w:styleId="FooterPageNumberChar">
    <w:name w:val="Footer Page Number Char"/>
    <w:basedOn w:val="FooterChar"/>
    <w:link w:val="FooterPageNumber"/>
    <w:rsid w:val="009802BB"/>
    <w:rPr>
      <w:rFonts w:ascii="Arial" w:hAnsi="Arial"/>
      <w:color w:val="007377"/>
      <w:sz w:val="16"/>
      <w:shd w:val="clear" w:color="auto" w:fill="FFFFFF" w:themeFill="background1"/>
    </w:rPr>
  </w:style>
  <w:style w:type="paragraph" w:customStyle="1" w:styleId="FooterTextRight">
    <w:name w:val="Footer Text Right"/>
    <w:basedOn w:val="FooterText"/>
    <w:link w:val="FooterTextRightChar"/>
    <w:rsid w:val="009802BB"/>
    <w:pPr>
      <w:jc w:val="right"/>
    </w:pPr>
  </w:style>
  <w:style w:type="character" w:customStyle="1" w:styleId="FooterTextChar">
    <w:name w:val="Footer Text Char"/>
    <w:basedOn w:val="FooterPageNumberChar"/>
    <w:link w:val="FooterText"/>
    <w:rsid w:val="009802BB"/>
    <w:rPr>
      <w:rFonts w:ascii="Arial" w:hAnsi="Arial"/>
      <w:color w:val="54585A" w:themeColor="text1"/>
      <w:sz w:val="16"/>
      <w:shd w:val="clear" w:color="auto" w:fill="FFFFFF" w:themeFill="background1"/>
    </w:rPr>
  </w:style>
  <w:style w:type="character" w:customStyle="1" w:styleId="FooterTextRightChar">
    <w:name w:val="Footer Text Right Char"/>
    <w:basedOn w:val="FooterTextChar"/>
    <w:link w:val="FooterTextRight"/>
    <w:rsid w:val="009802BB"/>
    <w:rPr>
      <w:rFonts w:ascii="Arial" w:hAnsi="Arial"/>
      <w:color w:val="54585A" w:themeColor="text1"/>
      <w:sz w:val="16"/>
      <w:shd w:val="clear" w:color="auto" w:fill="FFFFFF" w:themeFill="background1"/>
    </w:rPr>
  </w:style>
  <w:style w:type="paragraph" w:customStyle="1" w:styleId="Footnote">
    <w:name w:val="Footnote"/>
    <w:basedOn w:val="Normal"/>
    <w:link w:val="FootnoteChar"/>
    <w:qFormat/>
    <w:rsid w:val="00EB18EC"/>
    <w:pPr>
      <w:numPr>
        <w:numId w:val="4"/>
      </w:numPr>
      <w:pBdr>
        <w:top w:val="single" w:sz="8" w:space="4" w:color="B5BD00"/>
      </w:pBdr>
      <w:spacing w:before="80" w:after="80"/>
    </w:pPr>
    <w:rPr>
      <w:rFonts w:cs="Arial"/>
      <w:noProof/>
      <w:sz w:val="18"/>
      <w:szCs w:val="18"/>
    </w:rPr>
  </w:style>
  <w:style w:type="paragraph" w:customStyle="1" w:styleId="Regularreferencing">
    <w:name w:val="Regular referencing"/>
    <w:basedOn w:val="Normal"/>
    <w:link w:val="RegularreferencingChar"/>
    <w:qFormat/>
    <w:rsid w:val="00214314"/>
    <w:pPr>
      <w:pBdr>
        <w:top w:val="single" w:sz="8" w:space="4" w:color="B5BD00"/>
      </w:pBdr>
      <w:spacing w:after="480"/>
      <w:ind w:left="-142" w:right="-227"/>
    </w:pPr>
    <w:rPr>
      <w:sz w:val="18"/>
      <w:szCs w:val="18"/>
    </w:rPr>
  </w:style>
  <w:style w:type="character" w:customStyle="1" w:styleId="FootnoteChar">
    <w:name w:val="Footnote Char"/>
    <w:basedOn w:val="DefaultParagraphFont"/>
    <w:link w:val="Footnote"/>
    <w:rsid w:val="00EB18EC"/>
    <w:rPr>
      <w:rFonts w:ascii="Arial" w:hAnsi="Arial" w:cs="Arial"/>
      <w:noProof/>
      <w:sz w:val="18"/>
      <w:szCs w:val="18"/>
    </w:rPr>
  </w:style>
  <w:style w:type="paragraph" w:customStyle="1" w:styleId="Pulloutquote">
    <w:name w:val="Pull out quote"/>
    <w:basedOn w:val="Normal"/>
    <w:next w:val="Pulloutquoteauthor"/>
    <w:link w:val="PulloutquoteChar"/>
    <w:qFormat/>
    <w:rsid w:val="00E82061"/>
    <w:pPr>
      <w:spacing w:after="200"/>
      <w:ind w:left="142" w:right="227" w:hanging="142"/>
    </w:pPr>
    <w:rPr>
      <w:rFonts w:cs="Arial"/>
      <w:b/>
      <w:noProof/>
      <w:color w:val="B5BD00"/>
      <w:sz w:val="32"/>
      <w:szCs w:val="32"/>
    </w:rPr>
  </w:style>
  <w:style w:type="character" w:customStyle="1" w:styleId="RegularreferencingChar">
    <w:name w:val="Regular referencing Char"/>
    <w:basedOn w:val="DefaultParagraphFont"/>
    <w:link w:val="Regularreferencing"/>
    <w:rsid w:val="00214314"/>
    <w:rPr>
      <w:rFonts w:ascii="Arial" w:hAnsi="Arial"/>
      <w:sz w:val="18"/>
      <w:szCs w:val="18"/>
    </w:rPr>
  </w:style>
  <w:style w:type="paragraph" w:customStyle="1" w:styleId="Pulloutquoteauthor">
    <w:name w:val="Pull out quote author"/>
    <w:basedOn w:val="Normal"/>
    <w:next w:val="Normal"/>
    <w:link w:val="PulloutquoteauthorChar"/>
    <w:qFormat/>
    <w:rsid w:val="00E82061"/>
    <w:pPr>
      <w:spacing w:after="600"/>
      <w:ind w:right="227"/>
    </w:pPr>
    <w:rPr>
      <w:rFonts w:cs="Arial"/>
      <w:b/>
      <w:noProof/>
      <w:color w:val="B5BD00"/>
      <w:szCs w:val="24"/>
      <w:lang w:eastAsia="en-AU"/>
    </w:rPr>
  </w:style>
  <w:style w:type="character" w:customStyle="1" w:styleId="PulloutquoteChar">
    <w:name w:val="Pull out quote Char"/>
    <w:basedOn w:val="DefaultParagraphFont"/>
    <w:link w:val="Pulloutquote"/>
    <w:rsid w:val="00E82061"/>
    <w:rPr>
      <w:rFonts w:ascii="Arial" w:hAnsi="Arial" w:cs="Arial"/>
      <w:b/>
      <w:noProof/>
      <w:color w:val="B5BD00"/>
      <w:sz w:val="32"/>
      <w:szCs w:val="32"/>
    </w:rPr>
  </w:style>
  <w:style w:type="character" w:customStyle="1" w:styleId="PulloutquoteauthorChar">
    <w:name w:val="Pull out quote author Char"/>
    <w:basedOn w:val="DefaultParagraphFont"/>
    <w:link w:val="Pulloutquoteauthor"/>
    <w:rsid w:val="00E82061"/>
    <w:rPr>
      <w:rFonts w:ascii="Arial" w:hAnsi="Arial" w:cs="Arial"/>
      <w:b/>
      <w:noProof/>
      <w:color w:val="B5BD00"/>
      <w:sz w:val="20"/>
      <w:szCs w:val="24"/>
      <w:lang w:eastAsia="en-AU"/>
    </w:rPr>
  </w:style>
  <w:style w:type="paragraph" w:customStyle="1" w:styleId="TitleHeading1">
    <w:name w:val="Title Heading 1"/>
    <w:basedOn w:val="Heading10"/>
    <w:link w:val="TitleHeading1Char"/>
    <w:qFormat/>
    <w:rsid w:val="00656549"/>
    <w:pPr>
      <w:spacing w:after="80"/>
      <w:ind w:firstLine="0"/>
    </w:pPr>
  </w:style>
  <w:style w:type="paragraph" w:customStyle="1" w:styleId="TitleSub-heading">
    <w:name w:val="Title Sub-heading"/>
    <w:basedOn w:val="Normal"/>
    <w:link w:val="TitleSub-headingChar"/>
    <w:qFormat/>
    <w:rsid w:val="00656549"/>
    <w:pPr>
      <w:tabs>
        <w:tab w:val="right" w:pos="6521"/>
      </w:tabs>
      <w:ind w:right="1134"/>
    </w:pPr>
    <w:rPr>
      <w:rFonts w:cs="Arial"/>
      <w:noProof/>
      <w:color w:val="007377"/>
      <w:sz w:val="30"/>
      <w:szCs w:val="30"/>
    </w:rPr>
  </w:style>
  <w:style w:type="character" w:customStyle="1" w:styleId="TitleHeading1Char">
    <w:name w:val="Title Heading 1 Char"/>
    <w:basedOn w:val="Heading1Char0"/>
    <w:link w:val="TitleHeading1"/>
    <w:rsid w:val="00656549"/>
    <w:rPr>
      <w:rFonts w:ascii="Arial" w:hAnsi="Arial" w:cs="Arial"/>
      <w:b/>
      <w:noProof/>
      <w:color w:val="007377"/>
      <w:sz w:val="64"/>
      <w:szCs w:val="64"/>
    </w:rPr>
  </w:style>
  <w:style w:type="paragraph" w:customStyle="1" w:styleId="TitleDate">
    <w:name w:val="Title Date"/>
    <w:basedOn w:val="Normal"/>
    <w:link w:val="TitleDateChar"/>
    <w:qFormat/>
    <w:rsid w:val="00656549"/>
    <w:pPr>
      <w:tabs>
        <w:tab w:val="right" w:pos="6521"/>
      </w:tabs>
      <w:ind w:right="3805"/>
    </w:pPr>
    <w:rPr>
      <w:rFonts w:cs="Arial"/>
      <w:b/>
      <w:noProof/>
      <w:color w:val="007377"/>
      <w:sz w:val="24"/>
      <w:szCs w:val="24"/>
    </w:rPr>
  </w:style>
  <w:style w:type="character" w:customStyle="1" w:styleId="TitleSub-headingChar">
    <w:name w:val="Title Sub-heading Char"/>
    <w:basedOn w:val="DefaultParagraphFont"/>
    <w:link w:val="TitleSub-heading"/>
    <w:rsid w:val="00656549"/>
    <w:rPr>
      <w:rFonts w:ascii="Arial" w:hAnsi="Arial" w:cs="Arial"/>
      <w:noProof/>
      <w:color w:val="007377"/>
      <w:sz w:val="30"/>
      <w:szCs w:val="30"/>
    </w:rPr>
  </w:style>
  <w:style w:type="paragraph" w:customStyle="1" w:styleId="Captions">
    <w:name w:val="Captions"/>
    <w:link w:val="CaptionsChar"/>
    <w:qFormat/>
    <w:rsid w:val="00AB1468"/>
    <w:rPr>
      <w:rFonts w:ascii="Arial" w:hAnsi="Arial" w:cs="Arial"/>
      <w:i/>
      <w:iCs/>
      <w:noProof/>
      <w:color w:val="000000"/>
      <w:sz w:val="20"/>
      <w:szCs w:val="20"/>
    </w:rPr>
  </w:style>
  <w:style w:type="character" w:customStyle="1" w:styleId="TitleDateChar">
    <w:name w:val="Title Date Char"/>
    <w:basedOn w:val="DefaultParagraphFont"/>
    <w:link w:val="TitleDate"/>
    <w:rsid w:val="00656549"/>
    <w:rPr>
      <w:rFonts w:ascii="Arial" w:hAnsi="Arial" w:cs="Arial"/>
      <w:b/>
      <w:noProof/>
      <w:color w:val="007377"/>
      <w:sz w:val="24"/>
      <w:szCs w:val="24"/>
    </w:rPr>
  </w:style>
  <w:style w:type="paragraph" w:customStyle="1" w:styleId="Titlereferencing">
    <w:name w:val="Title referencing"/>
    <w:basedOn w:val="Regularreferencing"/>
    <w:link w:val="TitlereferencingChar"/>
    <w:qFormat/>
    <w:rsid w:val="006C5BD5"/>
    <w:rPr>
      <w:i/>
    </w:rPr>
  </w:style>
  <w:style w:type="character" w:customStyle="1" w:styleId="CaptionsChar">
    <w:name w:val="Captions Char"/>
    <w:basedOn w:val="GreyboxChar"/>
    <w:link w:val="Captions"/>
    <w:rsid w:val="00AB1468"/>
    <w:rPr>
      <w:rFonts w:ascii="Arial" w:hAnsi="Arial" w:cs="Arial"/>
      <w:i/>
      <w:iCs/>
      <w:noProof/>
      <w:color w:val="000000"/>
      <w:sz w:val="20"/>
      <w:szCs w:val="20"/>
      <w:shd w:val="clear" w:color="auto" w:fill="DDDDDD"/>
    </w:rPr>
  </w:style>
  <w:style w:type="character" w:customStyle="1" w:styleId="TitlereferencingChar">
    <w:name w:val="Title referencing Char"/>
    <w:basedOn w:val="RegularreferencingChar"/>
    <w:link w:val="Titlereferencing"/>
    <w:rsid w:val="006C5BD5"/>
    <w:rPr>
      <w:rFonts w:ascii="Arial" w:hAnsi="Arial"/>
      <w:i/>
      <w:sz w:val="18"/>
      <w:szCs w:val="18"/>
    </w:rPr>
  </w:style>
  <w:style w:type="paragraph" w:customStyle="1" w:styleId="BulletLevel2">
    <w:name w:val="Bullet Level 2"/>
    <w:basedOn w:val="BulletLevel1"/>
    <w:link w:val="BulletLevel2Char"/>
    <w:rsid w:val="00C75719"/>
    <w:pPr>
      <w:numPr>
        <w:ilvl w:val="1"/>
      </w:numPr>
      <w:ind w:left="568" w:hanging="284"/>
    </w:pPr>
  </w:style>
  <w:style w:type="paragraph" w:customStyle="1" w:styleId="BulletLevel3">
    <w:name w:val="Bullet Level 3"/>
    <w:basedOn w:val="BulletLevel2"/>
    <w:link w:val="BulletLevel3Char"/>
    <w:rsid w:val="00515CED"/>
    <w:pPr>
      <w:numPr>
        <w:ilvl w:val="2"/>
      </w:numPr>
    </w:pPr>
  </w:style>
  <w:style w:type="character" w:customStyle="1" w:styleId="BulletLevel2Char">
    <w:name w:val="Bullet Level 2 Char"/>
    <w:basedOn w:val="BulletLevel1Char"/>
    <w:link w:val="BulletLevel2"/>
    <w:rsid w:val="00C75719"/>
    <w:rPr>
      <w:rFonts w:ascii="Arial" w:hAnsi="Arial" w:cs="Arial"/>
      <w:color w:val="000000"/>
      <w:sz w:val="20"/>
      <w:szCs w:val="20"/>
    </w:rPr>
  </w:style>
  <w:style w:type="character" w:customStyle="1" w:styleId="BulletLevel3Char">
    <w:name w:val="Bullet Level 3 Char"/>
    <w:basedOn w:val="BulletLevel2Char"/>
    <w:link w:val="BulletLevel3"/>
    <w:rsid w:val="00515CED"/>
    <w:rPr>
      <w:rFonts w:ascii="Arial" w:hAnsi="Arial" w:cs="Arial"/>
      <w:color w:val="000000"/>
      <w:sz w:val="20"/>
      <w:szCs w:val="20"/>
    </w:rPr>
  </w:style>
  <w:style w:type="numbering" w:customStyle="1" w:styleId="BulletList">
    <w:name w:val="Bullet List"/>
    <w:uiPriority w:val="99"/>
    <w:rsid w:val="007F7F6C"/>
    <w:pPr>
      <w:numPr>
        <w:numId w:val="7"/>
      </w:numPr>
    </w:pPr>
  </w:style>
  <w:style w:type="character" w:customStyle="1" w:styleId="Heading3Char">
    <w:name w:val="Heading 3 Char"/>
    <w:aliases w:val="(H3) Char"/>
    <w:basedOn w:val="DefaultParagraphFont"/>
    <w:link w:val="Heading3"/>
    <w:uiPriority w:val="9"/>
    <w:rsid w:val="00C75719"/>
    <w:rPr>
      <w:rFonts w:ascii="Arial" w:eastAsiaTheme="majorEastAsia" w:hAnsi="Arial" w:cstheme="majorBidi"/>
      <w:b/>
      <w:bCs/>
      <w:color w:val="007377" w:themeColor="text2"/>
      <w:sz w:val="24"/>
      <w:szCs w:val="24"/>
    </w:rPr>
  </w:style>
  <w:style w:type="character" w:customStyle="1" w:styleId="Heading4Char">
    <w:name w:val="Heading 4 Char"/>
    <w:aliases w:val="(H4) Char"/>
    <w:basedOn w:val="DefaultParagraphFont"/>
    <w:link w:val="Heading4"/>
    <w:uiPriority w:val="9"/>
    <w:rsid w:val="00C75719"/>
    <w:rPr>
      <w:rFonts w:ascii="Arial" w:eastAsiaTheme="majorEastAsia" w:hAnsi="Arial" w:cstheme="majorBidi"/>
      <w:b/>
      <w:bCs/>
    </w:rPr>
  </w:style>
  <w:style w:type="character" w:customStyle="1" w:styleId="Heading5Char">
    <w:name w:val="Heading 5 Char"/>
    <w:aliases w:val="(H5) Char"/>
    <w:basedOn w:val="DefaultParagraphFont"/>
    <w:link w:val="Heading5"/>
    <w:uiPriority w:val="9"/>
    <w:rsid w:val="00AC180C"/>
    <w:rPr>
      <w:rFonts w:ascii="Arial" w:eastAsiaTheme="majorEastAsia" w:hAnsi="Arial" w:cstheme="majorBidi"/>
      <w:b/>
      <w:bCs/>
      <w:color w:val="007377" w:themeColor="text2"/>
      <w:sz w:val="20"/>
      <w:szCs w:val="20"/>
    </w:rPr>
  </w:style>
  <w:style w:type="character" w:customStyle="1" w:styleId="Heading6Char">
    <w:name w:val="Heading 6 Char"/>
    <w:aliases w:val="(H6) Char"/>
    <w:basedOn w:val="DefaultParagraphFont"/>
    <w:link w:val="Heading6"/>
    <w:uiPriority w:val="9"/>
    <w:rsid w:val="003D7D13"/>
    <w:rPr>
      <w:rFonts w:ascii="Arial" w:eastAsiaTheme="majorEastAsia" w:hAnsi="Arial" w:cstheme="majorBidi"/>
      <w:b/>
      <w:bCs/>
      <w:color w:val="54585A"/>
      <w:sz w:val="20"/>
      <w:szCs w:val="20"/>
    </w:rPr>
  </w:style>
  <w:style w:type="paragraph" w:customStyle="1" w:styleId="Introtext">
    <w:name w:val="Intro text"/>
    <w:basedOn w:val="Normal"/>
    <w:qFormat/>
    <w:rsid w:val="00660DF1"/>
    <w:pPr>
      <w:ind w:right="227"/>
    </w:pPr>
    <w:rPr>
      <w:rFonts w:cs="Arial"/>
      <w:b/>
      <w:noProof/>
      <w:szCs w:val="20"/>
    </w:rPr>
  </w:style>
  <w:style w:type="table" w:styleId="TableGrid1">
    <w:name w:val="Table Grid 1"/>
    <w:basedOn w:val="TableNormal"/>
    <w:uiPriority w:val="99"/>
    <w:unhideWhenUsed/>
    <w:rsid w:val="0024373D"/>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16" w:lineRule="auto"/>
        <w:ind w:leftChars="0" w:left="0" w:rightChars="0" w:right="0" w:firstLineChars="0" w:firstLine="0"/>
        <w:jc w:val="left"/>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rFonts w:asciiTheme="minorHAnsi" w:hAnsiTheme="minorHAnsi"/>
        <w:b/>
        <w:bCs/>
        <w:i w:val="0"/>
        <w:iCs w:val="0"/>
        <w:sz w:val="16"/>
        <w:szCs w:val="16"/>
      </w:rPr>
    </w:tblStylePr>
    <w:tblStylePr w:type="firstCol">
      <w:rPr>
        <w:rFonts w:ascii="Arial" w:hAnsi="Arial"/>
        <w:b/>
        <w:bCs/>
        <w:color w:val="auto"/>
        <w:sz w:val="16"/>
        <w:szCs w:val="16"/>
      </w:rPr>
    </w:tblStylePr>
    <w:tblStylePr w:type="lastCol">
      <w:rPr>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2">
    <w:name w:val="Table Grid 2"/>
    <w:basedOn w:val="TableNormal"/>
    <w:uiPriority w:val="99"/>
    <w:unhideWhenUsed/>
    <w:rsid w:val="007630D1"/>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ind w:leftChars="0" w:left="0" w:rightChars="0" w:right="0" w:firstLineChars="0" w:firstLine="0"/>
        <w:jc w:val="center"/>
      </w:pPr>
      <w:rPr>
        <w:b/>
        <w:bCs/>
        <w:color w:val="FFFFFF" w:themeColor="background1"/>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b/>
        <w:bCs/>
      </w:rPr>
      <w:tblPr/>
      <w:tcPr>
        <w:tcBorders>
          <w:top w:val="single" w:sz="6" w:space="0" w:color="000000"/>
        </w:tcBorders>
      </w:tcPr>
    </w:tblStylePr>
    <w:tblStylePr w:type="firstCol">
      <w:rPr>
        <w:rFonts w:ascii="Arial" w:hAnsi="Arial"/>
        <w:b/>
        <w:bCs/>
        <w:i w:val="0"/>
        <w:iCs w:val="0"/>
        <w:color w:val="auto"/>
        <w:sz w:val="16"/>
        <w:szCs w:val="16"/>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auto" w:fill="F3F3F3"/>
      </w:tc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rPr>
        <w:color w:val="auto"/>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3">
    <w:name w:val="Table Grid 3"/>
    <w:basedOn w:val="TableGrid1"/>
    <w:uiPriority w:val="99"/>
    <w:unhideWhenUsed/>
    <w:rsid w:val="00550CFC"/>
    <w:pPr>
      <w:spacing w:line="240" w:lineRule="auto"/>
    </w:pPr>
    <w:tblPr/>
    <w:tcPr>
      <w:shd w:val="clear" w:color="auto" w:fill="auto"/>
    </w:tcPr>
    <w:tblStylePr w:type="firstRow">
      <w:pPr>
        <w:wordWrap/>
        <w:spacing w:beforeLines="0" w:beforeAutospacing="0" w:afterLines="0" w:afterAutospacing="0" w:line="216" w:lineRule="auto"/>
        <w:ind w:leftChars="0" w:left="0" w:rightChars="0" w:right="0" w:firstLineChars="0" w:firstLine="0"/>
        <w:jc w:val="center"/>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CAD6D8" w:themeColor="accent4" w:fill="006269"/>
      </w:tcPr>
    </w:tblStylePr>
    <w:tblStylePr w:type="lastRow">
      <w:rPr>
        <w:rFonts w:ascii="Arial" w:hAnsi="Arial"/>
        <w:b/>
        <w:bCs/>
        <w:i w:val="0"/>
        <w:iCs w:val="0"/>
        <w:sz w:val="16"/>
        <w:szCs w:val="16"/>
      </w:rPr>
    </w:tblStylePr>
    <w:tblStylePr w:type="firstCol">
      <w:pPr>
        <w:wordWrap/>
        <w:spacing w:line="240" w:lineRule="auto"/>
      </w:pPr>
      <w:rPr>
        <w:rFonts w:ascii="Arial" w:hAnsi="Arial"/>
        <w:b/>
        <w:bCs/>
        <w:i w:val="0"/>
        <w:iCs w:val="0"/>
        <w:color w:val="auto"/>
        <w:sz w:val="16"/>
        <w:szCs w:val="16"/>
      </w:rPr>
    </w:tblStylePr>
    <w:tblStylePr w:type="lastCol">
      <w:rPr>
        <w:b/>
        <w:bCs/>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4">
    <w:name w:val="Table Grid 4"/>
    <w:basedOn w:val="TableNormal"/>
    <w:uiPriority w:val="99"/>
    <w:unhideWhenUsed/>
    <w:rsid w:val="00887874"/>
    <w:pPr>
      <w:spacing w:after="0" w:line="240" w:lineRule="auto"/>
    </w:pPr>
    <w:rPr>
      <w:rFonts w:ascii="Arial" w:hAnsi="Arial"/>
      <w:sz w:val="16"/>
      <w:szCs w:val="16"/>
    </w:rPr>
    <w:tblPr>
      <w:tblStyleRowBandSize w:val="1"/>
      <w:tblStyleColBandSize w:val="1"/>
    </w:tblPr>
    <w:tcPr>
      <w:shd w:val="clear" w:color="auto" w:fill="auto"/>
      <w:tcMar>
        <w:top w:w="284" w:type="dxa"/>
        <w:left w:w="284" w:type="dxa"/>
        <w:bottom w:w="284" w:type="dxa"/>
        <w:right w:w="284" w:type="dxa"/>
      </w:tcMar>
    </w:tcPr>
    <w:tblStylePr w:type="firstRow">
      <w:pPr>
        <w:wordWrap/>
        <w:spacing w:beforeLines="0" w:beforeAutospacing="0" w:afterLines="0" w:afterAutospacing="0" w:line="240" w:lineRule="auto"/>
        <w:ind w:leftChars="0" w:left="0" w:rightChars="0" w:right="0" w:firstLineChars="0" w:firstLine="0"/>
        <w:jc w:val="center"/>
      </w:pPr>
      <w:rPr>
        <w:rFonts w:ascii="Arial" w:hAnsi="Arial"/>
        <w:b/>
        <w:bCs/>
        <w:i w:val="0"/>
        <w:iCs w:val="0"/>
        <w:color w:val="FFFFFF" w:themeColor="background1"/>
        <w:sz w:val="16"/>
        <w:szCs w:val="16"/>
      </w:rPr>
      <w:tblPr/>
      <w:tcPr>
        <w:tcBorders>
          <w:top w:val="single" w:sz="8" w:space="0" w:color="007377" w:themeColor="text2"/>
          <w:left w:val="nil"/>
          <w:bottom w:val="single" w:sz="8" w:space="0" w:color="007377" w:themeColor="text2"/>
          <w:right w:val="nil"/>
          <w:insideH w:val="nil"/>
          <w:insideV w:val="nil"/>
          <w:tl2br w:val="nil"/>
          <w:tr2bl w:val="nil"/>
        </w:tcBorders>
        <w:shd w:val="clear" w:color="FFFF00" w:fill="006269"/>
      </w:tcPr>
    </w:tblStylePr>
    <w:tblStylePr w:type="lastRow">
      <w:rPr>
        <w:rFonts w:ascii="Arial" w:hAnsi="Arial"/>
        <w:b/>
        <w:bCs/>
        <w:i w:val="0"/>
        <w:iCs w:val="0"/>
        <w:color w:val="auto"/>
        <w:sz w:val="16"/>
        <w:szCs w:val="16"/>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FFFF00" w:fill="auto"/>
      </w:tcPr>
    </w:tblStylePr>
    <w:tblStylePr w:type="lastCol">
      <w:rPr>
        <w:b/>
        <w:bCs/>
        <w:color w:val="auto"/>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FFFFF"/>
      </w:tcPr>
    </w:tblStylePr>
  </w:style>
  <w:style w:type="paragraph" w:styleId="BodyText">
    <w:name w:val="Body Text"/>
    <w:basedOn w:val="Normal"/>
    <w:link w:val="BodyTextChar"/>
    <w:uiPriority w:val="99"/>
    <w:semiHidden/>
    <w:unhideWhenUsed/>
    <w:locked/>
    <w:rsid w:val="00786713"/>
    <w:pPr>
      <w:spacing w:after="120"/>
    </w:pPr>
  </w:style>
  <w:style w:type="character" w:customStyle="1" w:styleId="BodyTextChar">
    <w:name w:val="Body Text Char"/>
    <w:basedOn w:val="DefaultParagraphFont"/>
    <w:link w:val="BodyText"/>
    <w:uiPriority w:val="99"/>
    <w:semiHidden/>
    <w:rsid w:val="00786713"/>
    <w:rPr>
      <w:rFonts w:ascii="Arial" w:hAnsi="Arial"/>
      <w:sz w:val="20"/>
    </w:rPr>
  </w:style>
  <w:style w:type="paragraph" w:customStyle="1" w:styleId="Greyboxpara">
    <w:name w:val="Grey box para"/>
    <w:basedOn w:val="Normal"/>
    <w:next w:val="Normal"/>
    <w:qFormat/>
    <w:rsid w:val="004271F5"/>
    <w:pPr>
      <w:pBdr>
        <w:top w:val="single" w:sz="2" w:space="12" w:color="FFFFFF" w:themeColor="background1"/>
        <w:left w:val="single" w:sz="2" w:space="12" w:color="FFFFFF" w:themeColor="background1"/>
        <w:bottom w:val="single" w:sz="2" w:space="10" w:color="FFFFFF" w:themeColor="background1"/>
        <w:right w:val="single" w:sz="2" w:space="12" w:color="FFFFFF" w:themeColor="background1"/>
      </w:pBdr>
      <w:shd w:val="clear" w:color="auto" w:fill="DCDDDE" w:themeFill="text1" w:themeFillTint="33"/>
      <w:ind w:left="284" w:right="284"/>
    </w:pPr>
  </w:style>
  <w:style w:type="table" w:styleId="GridTable2-Accent1">
    <w:name w:val="Grid Table 2 Accent 1"/>
    <w:basedOn w:val="TableNormal"/>
    <w:uiPriority w:val="47"/>
    <w:rsid w:val="008E3DA9"/>
    <w:pPr>
      <w:spacing w:after="0" w:line="240" w:lineRule="auto"/>
    </w:pPr>
    <w:tblPr>
      <w:tblStyleRowBandSize w:val="1"/>
      <w:tblStyleColBandSize w:val="1"/>
      <w:tblBorders>
        <w:top w:val="single" w:sz="2" w:space="0" w:color="E1E773" w:themeColor="accent1" w:themeTint="99"/>
        <w:bottom w:val="single" w:sz="2" w:space="0" w:color="E1E773" w:themeColor="accent1" w:themeTint="99"/>
        <w:insideH w:val="single" w:sz="2" w:space="0" w:color="E1E773" w:themeColor="accent1" w:themeTint="99"/>
        <w:insideV w:val="single" w:sz="2" w:space="0" w:color="E1E773" w:themeColor="accent1" w:themeTint="99"/>
      </w:tblBorders>
    </w:tblPr>
    <w:tblStylePr w:type="firstRow">
      <w:rPr>
        <w:b/>
        <w:bCs/>
      </w:rPr>
      <w:tblPr/>
      <w:tcPr>
        <w:tcBorders>
          <w:top w:val="nil"/>
          <w:bottom w:val="single" w:sz="12" w:space="0" w:color="E1E773" w:themeColor="accent1" w:themeTint="99"/>
          <w:insideH w:val="nil"/>
          <w:insideV w:val="nil"/>
        </w:tcBorders>
        <w:shd w:val="clear" w:color="auto" w:fill="FFFFFF" w:themeFill="background1"/>
      </w:tcPr>
    </w:tblStylePr>
    <w:tblStylePr w:type="lastRow">
      <w:rPr>
        <w:b/>
        <w:bCs/>
      </w:rPr>
      <w:tblPr/>
      <w:tcPr>
        <w:tcBorders>
          <w:top w:val="double" w:sz="2" w:space="0" w:color="E1E7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7D0" w:themeFill="accent1" w:themeFillTint="33"/>
      </w:tcPr>
    </w:tblStylePr>
    <w:tblStylePr w:type="band1Horz">
      <w:tblPr/>
      <w:tcPr>
        <w:shd w:val="clear" w:color="auto" w:fill="F5F7D0" w:themeFill="accent1" w:themeFillTint="33"/>
      </w:tcPr>
    </w:tblStylePr>
  </w:style>
  <w:style w:type="table" w:styleId="PlainTable1">
    <w:name w:val="Plain Table 1"/>
    <w:basedOn w:val="TableNormal"/>
    <w:uiPriority w:val="99"/>
    <w:locked/>
    <w:rsid w:val="00D048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ITSL">
    <w:name w:val="Table AITSL"/>
    <w:basedOn w:val="TableNormal"/>
    <w:uiPriority w:val="99"/>
    <w:rsid w:val="00630911"/>
    <w:pPr>
      <w:spacing w:after="0" w:line="240" w:lineRule="auto"/>
    </w:pPr>
    <w:tblPr/>
  </w:style>
  <w:style w:type="table" w:styleId="ListTable4-Accent6">
    <w:name w:val="List Table 4 Accent 6"/>
    <w:basedOn w:val="TableNormal"/>
    <w:uiPriority w:val="49"/>
    <w:rsid w:val="00582169"/>
    <w:pPr>
      <w:spacing w:after="0" w:line="240" w:lineRule="auto"/>
    </w:pPr>
    <w:tblPr>
      <w:tblStyleRowBandSize w:val="1"/>
      <w:tblStyleColBandSize w:val="1"/>
      <w:tblCellMar>
        <w:left w:w="340" w:type="dxa"/>
        <w:bottom w:w="113" w:type="dxa"/>
        <w:right w:w="340" w:type="dxa"/>
      </w:tblCellMar>
    </w:tblPr>
    <w:tblStylePr w:type="firstRow">
      <w:rPr>
        <w:b/>
        <w:bCs/>
        <w:color w:val="FFFFFF" w:themeColor="background1"/>
      </w:rPr>
      <w:tblPr/>
      <w:tcPr>
        <w:tcBorders>
          <w:top w:val="single" w:sz="4" w:space="0" w:color="5B9094" w:themeColor="accent6"/>
          <w:left w:val="single" w:sz="4" w:space="0" w:color="5B9094" w:themeColor="accent6"/>
          <w:bottom w:val="single" w:sz="4" w:space="0" w:color="5B9094" w:themeColor="accent6"/>
          <w:right w:val="single" w:sz="4" w:space="0" w:color="5B9094" w:themeColor="accent6"/>
          <w:insideH w:val="nil"/>
        </w:tcBorders>
        <w:shd w:val="clear" w:color="auto" w:fill="5B9094" w:themeFill="accent6"/>
      </w:tcPr>
    </w:tblStylePr>
    <w:tblStylePr w:type="lastRow">
      <w:rPr>
        <w:b/>
        <w:bCs/>
      </w:rPr>
      <w:tblPr/>
      <w:tcPr>
        <w:tcBorders>
          <w:top w:val="double" w:sz="4" w:space="0" w:color="9ABEC1" w:themeColor="accent6" w:themeTint="99"/>
        </w:tcBorders>
      </w:tcPr>
    </w:tblStylePr>
    <w:tblStylePr w:type="firstCol">
      <w:rPr>
        <w:b/>
        <w:bCs/>
      </w:rPr>
    </w:tblStylePr>
    <w:tblStylePr w:type="lastCol">
      <w:rPr>
        <w:b/>
        <w:bCs/>
      </w:rPr>
    </w:tblStylePr>
    <w:tblStylePr w:type="band1Vert">
      <w:tblPr/>
      <w:tcPr>
        <w:shd w:val="clear" w:color="auto" w:fill="DDE9EA" w:themeFill="accent6" w:themeFillTint="33"/>
      </w:tcPr>
    </w:tblStylePr>
    <w:tblStylePr w:type="band1Horz">
      <w:tblPr/>
      <w:tcPr>
        <w:shd w:val="clear" w:color="auto" w:fill="DDE9EA" w:themeFill="accent6" w:themeFillTint="33"/>
      </w:tcPr>
    </w:tblStylePr>
  </w:style>
  <w:style w:type="paragraph" w:customStyle="1" w:styleId="Tablecentreh1">
    <w:name w:val="Table centre h1"/>
    <w:basedOn w:val="Normal"/>
    <w:rsid w:val="00D95D1A"/>
    <w:pPr>
      <w:spacing w:after="0" w:line="276" w:lineRule="auto"/>
      <w:jc w:val="center"/>
    </w:pPr>
    <w:rPr>
      <w:rFonts w:eastAsia="Times New Roman" w:cs="Times New Roman"/>
      <w:color w:val="FFFFFF" w:themeColor="background1"/>
      <w:sz w:val="24"/>
      <w:szCs w:val="20"/>
    </w:rPr>
  </w:style>
  <w:style w:type="table" w:styleId="ListTable7Colorful-Accent6">
    <w:name w:val="List Table 7 Colorful Accent 6"/>
    <w:basedOn w:val="TableNormal"/>
    <w:uiPriority w:val="52"/>
    <w:rsid w:val="00D95D1A"/>
    <w:pPr>
      <w:spacing w:after="0" w:line="240" w:lineRule="auto"/>
    </w:pPr>
    <w:rPr>
      <w:color w:val="446B6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09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09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09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094" w:themeColor="accent6"/>
        </w:tcBorders>
        <w:shd w:val="clear" w:color="auto" w:fill="FFFFFF" w:themeFill="background1"/>
      </w:tcPr>
    </w:tblStylePr>
    <w:tblStylePr w:type="band1Vert">
      <w:tblPr/>
      <w:tcPr>
        <w:shd w:val="clear" w:color="auto" w:fill="DDE9EA" w:themeFill="accent6" w:themeFillTint="33"/>
      </w:tcPr>
    </w:tblStylePr>
    <w:tblStylePr w:type="band1Horz">
      <w:tblPr/>
      <w:tcPr>
        <w:shd w:val="clear" w:color="auto" w:fill="DDE9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D95D1A"/>
    <w:pPr>
      <w:spacing w:after="0" w:line="240" w:lineRule="auto"/>
    </w:pPr>
    <w:rPr>
      <w:color w:val="446B6E" w:themeColor="accent6" w:themeShade="BF"/>
    </w:rPr>
    <w:tblPr>
      <w:tblStyleRowBandSize w:val="1"/>
      <w:tblStyleColBandSize w:val="1"/>
      <w:tblBorders>
        <w:top w:val="single" w:sz="4" w:space="0" w:color="9ABEC1" w:themeColor="accent6" w:themeTint="99"/>
        <w:left w:val="single" w:sz="4" w:space="0" w:color="9ABEC1" w:themeColor="accent6" w:themeTint="99"/>
        <w:bottom w:val="single" w:sz="4" w:space="0" w:color="9ABEC1" w:themeColor="accent6" w:themeTint="99"/>
        <w:right w:val="single" w:sz="4" w:space="0" w:color="9ABEC1" w:themeColor="accent6" w:themeTint="99"/>
        <w:insideH w:val="single" w:sz="4" w:space="0" w:color="9ABEC1" w:themeColor="accent6" w:themeTint="99"/>
        <w:insideV w:val="single" w:sz="4" w:space="0" w:color="9ABEC1" w:themeColor="accent6" w:themeTint="99"/>
      </w:tblBorders>
    </w:tblPr>
    <w:tblStylePr w:type="firstRow">
      <w:rPr>
        <w:b/>
        <w:bCs/>
      </w:rPr>
      <w:tblPr/>
      <w:tcPr>
        <w:tcBorders>
          <w:bottom w:val="single" w:sz="12" w:space="0" w:color="9ABEC1" w:themeColor="accent6" w:themeTint="99"/>
        </w:tcBorders>
      </w:tcPr>
    </w:tblStylePr>
    <w:tblStylePr w:type="lastRow">
      <w:rPr>
        <w:b/>
        <w:bCs/>
      </w:rPr>
      <w:tblPr/>
      <w:tcPr>
        <w:tcBorders>
          <w:top w:val="double" w:sz="4" w:space="0" w:color="9ABEC1" w:themeColor="accent6" w:themeTint="99"/>
        </w:tcBorders>
      </w:tcPr>
    </w:tblStylePr>
    <w:tblStylePr w:type="firstCol">
      <w:rPr>
        <w:b/>
        <w:bCs/>
      </w:rPr>
    </w:tblStylePr>
    <w:tblStylePr w:type="lastCol">
      <w:rPr>
        <w:b/>
        <w:bCs/>
      </w:rPr>
    </w:tblStylePr>
    <w:tblStylePr w:type="band1Vert">
      <w:tblPr/>
      <w:tcPr>
        <w:shd w:val="clear" w:color="auto" w:fill="DDE9EA" w:themeFill="accent6" w:themeFillTint="33"/>
      </w:tcPr>
    </w:tblStylePr>
    <w:tblStylePr w:type="band1Horz">
      <w:tblPr/>
      <w:tcPr>
        <w:shd w:val="clear" w:color="auto" w:fill="DDE9EA" w:themeFill="accent6" w:themeFillTint="33"/>
      </w:tcPr>
    </w:tblStylePr>
  </w:style>
  <w:style w:type="table" w:styleId="GridTable7Colorful">
    <w:name w:val="Grid Table 7 Colorful"/>
    <w:basedOn w:val="TableNormal"/>
    <w:uiPriority w:val="52"/>
    <w:rsid w:val="00D95D1A"/>
    <w:pPr>
      <w:spacing w:after="0" w:line="240" w:lineRule="auto"/>
    </w:pPr>
    <w:rPr>
      <w:color w:val="54585A" w:themeColor="text1"/>
    </w:rPr>
    <w:tblPr>
      <w:tblStyleRowBandSize w:val="1"/>
      <w:tblStyleColBandSize w:val="1"/>
      <w:tblBorders>
        <w:top w:val="single" w:sz="4" w:space="0" w:color="969B9D" w:themeColor="text1" w:themeTint="99"/>
        <w:left w:val="single" w:sz="4" w:space="0" w:color="969B9D" w:themeColor="text1" w:themeTint="99"/>
        <w:bottom w:val="single" w:sz="4" w:space="0" w:color="969B9D" w:themeColor="text1" w:themeTint="99"/>
        <w:right w:val="single" w:sz="4" w:space="0" w:color="969B9D" w:themeColor="text1" w:themeTint="99"/>
        <w:insideH w:val="single" w:sz="4" w:space="0" w:color="969B9D" w:themeColor="text1" w:themeTint="99"/>
        <w:insideV w:val="single" w:sz="4" w:space="0" w:color="969B9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DE" w:themeFill="text1" w:themeFillTint="33"/>
      </w:tcPr>
    </w:tblStylePr>
    <w:tblStylePr w:type="band1Horz">
      <w:tblPr/>
      <w:tcPr>
        <w:shd w:val="clear" w:color="auto" w:fill="DCDDDE" w:themeFill="text1" w:themeFillTint="33"/>
      </w:tcPr>
    </w:tblStylePr>
    <w:tblStylePr w:type="neCell">
      <w:tblPr/>
      <w:tcPr>
        <w:tcBorders>
          <w:bottom w:val="single" w:sz="4" w:space="0" w:color="969B9D" w:themeColor="text1" w:themeTint="99"/>
        </w:tcBorders>
      </w:tcPr>
    </w:tblStylePr>
    <w:tblStylePr w:type="nwCell">
      <w:tblPr/>
      <w:tcPr>
        <w:tcBorders>
          <w:bottom w:val="single" w:sz="4" w:space="0" w:color="969B9D" w:themeColor="text1" w:themeTint="99"/>
        </w:tcBorders>
      </w:tcPr>
    </w:tblStylePr>
    <w:tblStylePr w:type="seCell">
      <w:tblPr/>
      <w:tcPr>
        <w:tcBorders>
          <w:top w:val="single" w:sz="4" w:space="0" w:color="969B9D" w:themeColor="text1" w:themeTint="99"/>
        </w:tcBorders>
      </w:tcPr>
    </w:tblStylePr>
    <w:tblStylePr w:type="swCell">
      <w:tblPr/>
      <w:tcPr>
        <w:tcBorders>
          <w:top w:val="single" w:sz="4" w:space="0" w:color="969B9D" w:themeColor="text1" w:themeTint="99"/>
        </w:tcBorders>
      </w:tcPr>
    </w:tblStylePr>
  </w:style>
  <w:style w:type="table" w:styleId="ListTable7Colorful-Accent5">
    <w:name w:val="List Table 7 Colorful Accent 5"/>
    <w:basedOn w:val="TableNormal"/>
    <w:uiPriority w:val="52"/>
    <w:rsid w:val="00D95D1A"/>
    <w:pPr>
      <w:spacing w:after="0" w:line="240" w:lineRule="auto"/>
    </w:pPr>
    <w:rPr>
      <w:color w:val="648B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B0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B0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B0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B0B3" w:themeColor="accent5"/>
        </w:tcBorders>
        <w:shd w:val="clear" w:color="auto" w:fill="FFFFFF" w:themeFill="background1"/>
      </w:tcPr>
    </w:tblStylePr>
    <w:tblStylePr w:type="band1Vert">
      <w:tblPr/>
      <w:tcPr>
        <w:shd w:val="clear" w:color="auto" w:fill="E9EFEF" w:themeFill="accent5" w:themeFillTint="33"/>
      </w:tcPr>
    </w:tblStylePr>
    <w:tblStylePr w:type="band1Horz">
      <w:tblPr/>
      <w:tcPr>
        <w:shd w:val="clear" w:color="auto" w:fill="E9E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95D1A"/>
    <w:pPr>
      <w:spacing w:after="0" w:line="240" w:lineRule="auto"/>
    </w:pPr>
    <w:rPr>
      <w:color w:val="8DA7A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AD6D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AD6D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AD6D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AD6D8" w:themeColor="accent4"/>
        </w:tcBorders>
        <w:shd w:val="clear" w:color="auto" w:fill="FFFFFF" w:themeFill="background1"/>
      </w:tcPr>
    </w:tblStylePr>
    <w:tblStylePr w:type="band1Vert">
      <w:tblPr/>
      <w:tcPr>
        <w:shd w:val="clear" w:color="auto" w:fill="F4F6F7" w:themeFill="accent4" w:themeFillTint="33"/>
      </w:tcPr>
    </w:tblStylePr>
    <w:tblStylePr w:type="band1Horz">
      <w:tblPr/>
      <w:tcPr>
        <w:shd w:val="clear" w:color="auto" w:fill="F4F6F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95D1A"/>
    <w:pPr>
      <w:spacing w:after="0" w:line="240" w:lineRule="auto"/>
    </w:pPr>
    <w:rPr>
      <w:color w:val="CCD05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E5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E5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E5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E5A0" w:themeColor="accent3"/>
        </w:tcBorders>
        <w:shd w:val="clear" w:color="auto" w:fill="FFFFFF" w:themeFill="background1"/>
      </w:tcPr>
    </w:tblStylePr>
    <w:tblStylePr w:type="band1Vert">
      <w:tblPr/>
      <w:tcPr>
        <w:shd w:val="clear" w:color="auto" w:fill="F9F9EB" w:themeFill="accent3" w:themeFillTint="33"/>
      </w:tcPr>
    </w:tblStylePr>
    <w:tblStylePr w:type="band1Horz">
      <w:tblPr/>
      <w:tcPr>
        <w:shd w:val="clear" w:color="auto" w:fill="F9F9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95D1A"/>
    <w:pPr>
      <w:spacing w:after="0" w:line="240" w:lineRule="auto"/>
    </w:pPr>
    <w:rPr>
      <w:color w:val="D5D87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F2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F2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F2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F2D2" w:themeColor="accent2"/>
        </w:tcBorders>
        <w:shd w:val="clear" w:color="auto" w:fill="FFFFFF" w:themeFill="background1"/>
      </w:tcPr>
    </w:tblStylePr>
    <w:tblStylePr w:type="band1Vert">
      <w:tblPr/>
      <w:tcPr>
        <w:shd w:val="clear" w:color="auto" w:fill="FCFCF5" w:themeFill="accent2" w:themeFillTint="33"/>
      </w:tcPr>
    </w:tblStylePr>
    <w:tblStylePr w:type="band1Horz">
      <w:tblPr/>
      <w:tcPr>
        <w:shd w:val="clear" w:color="auto" w:fill="FCFC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3">
    <w:name w:val="List Table 5 Dark Accent 3"/>
    <w:basedOn w:val="TableNormal"/>
    <w:uiPriority w:val="50"/>
    <w:rsid w:val="00D95D1A"/>
    <w:pPr>
      <w:spacing w:after="0" w:line="240" w:lineRule="auto"/>
    </w:pPr>
    <w:rPr>
      <w:color w:val="FFFFFF" w:themeColor="background1"/>
    </w:rPr>
    <w:tblPr>
      <w:tblStyleRowBandSize w:val="1"/>
      <w:tblStyleColBandSize w:val="1"/>
      <w:tblBorders>
        <w:top w:val="single" w:sz="24" w:space="0" w:color="E3E5A0" w:themeColor="accent3"/>
        <w:left w:val="single" w:sz="24" w:space="0" w:color="E3E5A0" w:themeColor="accent3"/>
        <w:bottom w:val="single" w:sz="24" w:space="0" w:color="E3E5A0" w:themeColor="accent3"/>
        <w:right w:val="single" w:sz="24" w:space="0" w:color="E3E5A0" w:themeColor="accent3"/>
      </w:tblBorders>
    </w:tblPr>
    <w:tcPr>
      <w:shd w:val="clear" w:color="auto" w:fill="E3E5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ITSLTable2">
    <w:name w:val="AITSL Table 2"/>
    <w:basedOn w:val="TableGrid"/>
    <w:uiPriority w:val="99"/>
    <w:rsid w:val="00452771"/>
    <w:tblPr>
      <w:tblStyleColBandSize w:val="2"/>
      <w:tblBorders>
        <w:top w:val="single" w:sz="4" w:space="0" w:color="929919" w:themeColor="accent1" w:themeShade="BF"/>
        <w:left w:val="single" w:sz="4" w:space="0" w:color="929919" w:themeColor="accent1" w:themeShade="BF"/>
        <w:bottom w:val="single" w:sz="4" w:space="0" w:color="929919" w:themeColor="accent1" w:themeShade="BF"/>
        <w:right w:val="single" w:sz="4" w:space="0" w:color="929919" w:themeColor="accent1" w:themeShade="BF"/>
        <w:insideH w:val="single" w:sz="4" w:space="0" w:color="929919" w:themeColor="accent1" w:themeShade="BF"/>
        <w:insideV w:val="single" w:sz="4" w:space="0" w:color="929919" w:themeColor="accent1" w:themeShade="BF"/>
      </w:tblBorders>
    </w:tblPr>
    <w:tcPr>
      <w:shd w:val="clear" w:color="auto" w:fill="EAE9EA" w:themeFill="background2"/>
    </w:tcPr>
  </w:style>
  <w:style w:type="paragraph" w:customStyle="1" w:styleId="Listtick">
    <w:name w:val="List tick"/>
    <w:basedOn w:val="ListParagraph"/>
    <w:rsid w:val="00077186"/>
    <w:pPr>
      <w:numPr>
        <w:numId w:val="20"/>
      </w:numPr>
      <w:spacing w:after="120" w:line="276" w:lineRule="auto"/>
    </w:pPr>
    <w:rPr>
      <w:rFonts w:eastAsia="Times New Roman" w:cs="Times New Roman"/>
      <w:szCs w:val="20"/>
    </w:rPr>
  </w:style>
  <w:style w:type="table" w:styleId="GridTable5Dark-Accent2">
    <w:name w:val="Grid Table 5 Dark Accent 2"/>
    <w:basedOn w:val="TableNormal"/>
    <w:uiPriority w:val="50"/>
    <w:rsid w:val="00C33B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C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F2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F2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F2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F2D2" w:themeFill="accent2"/>
      </w:tcPr>
    </w:tblStylePr>
    <w:tblStylePr w:type="band1Vert">
      <w:tblPr/>
      <w:tcPr>
        <w:shd w:val="clear" w:color="auto" w:fill="F9F9EC" w:themeFill="accent2" w:themeFillTint="66"/>
      </w:tcPr>
    </w:tblStylePr>
    <w:tblStylePr w:type="band1Horz">
      <w:tblPr/>
      <w:tcPr>
        <w:shd w:val="clear" w:color="auto" w:fill="F9F9EC" w:themeFill="accent2" w:themeFillTint="66"/>
      </w:tcPr>
    </w:tblStylePr>
  </w:style>
  <w:style w:type="character" w:customStyle="1" w:styleId="Heading7Char">
    <w:name w:val="Heading 7 Char"/>
    <w:basedOn w:val="DefaultParagraphFont"/>
    <w:link w:val="Heading7"/>
    <w:uiPriority w:val="9"/>
    <w:rsid w:val="000B1F15"/>
    <w:rPr>
      <w:rFonts w:asciiTheme="majorHAnsi" w:eastAsiaTheme="majorEastAsia" w:hAnsiTheme="majorHAnsi" w:cstheme="majorBidi"/>
      <w:i/>
      <w:iCs/>
      <w:color w:val="616611" w:themeColor="accent1" w:themeShade="7F"/>
      <w:sz w:val="20"/>
    </w:rPr>
  </w:style>
  <w:style w:type="paragraph" w:customStyle="1" w:styleId="STAGE">
    <w:name w:val="STAGE"/>
    <w:basedOn w:val="Normal"/>
    <w:next w:val="Heading1"/>
    <w:qFormat/>
    <w:rsid w:val="003E12A5"/>
    <w:pPr>
      <w:pBdr>
        <w:top w:val="single" w:sz="24" w:space="1" w:color="007377" w:themeColor="text2"/>
        <w:bottom w:val="single" w:sz="24" w:space="1" w:color="007377" w:themeColor="text2"/>
        <w:right w:val="single" w:sz="24" w:space="4" w:color="007377" w:themeColor="text2"/>
      </w:pBdr>
      <w:shd w:val="clear" w:color="auto" w:fill="007377" w:themeFill="text2"/>
      <w:spacing w:before="0" w:after="0" w:line="240" w:lineRule="auto"/>
    </w:pPr>
    <w:rPr>
      <w:b/>
      <w:color w:val="FFFFFF" w:themeColor="background1"/>
      <w:sz w:val="28"/>
    </w:rPr>
  </w:style>
  <w:style w:type="paragraph" w:styleId="CommentText">
    <w:name w:val="annotation text"/>
    <w:basedOn w:val="Normal"/>
    <w:link w:val="CommentTextChar"/>
    <w:uiPriority w:val="99"/>
    <w:unhideWhenUsed/>
    <w:locked/>
    <w:rsid w:val="007A2A7F"/>
    <w:pPr>
      <w:spacing w:before="0"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7A2A7F"/>
    <w:rPr>
      <w:sz w:val="20"/>
      <w:szCs w:val="20"/>
    </w:rPr>
  </w:style>
  <w:style w:type="character" w:styleId="CommentReference">
    <w:name w:val="annotation reference"/>
    <w:basedOn w:val="DefaultParagraphFont"/>
    <w:uiPriority w:val="99"/>
    <w:semiHidden/>
    <w:unhideWhenUsed/>
    <w:locked/>
    <w:rsid w:val="003B3331"/>
    <w:rPr>
      <w:sz w:val="16"/>
      <w:szCs w:val="16"/>
    </w:rPr>
  </w:style>
  <w:style w:type="paragraph" w:styleId="CommentSubject">
    <w:name w:val="annotation subject"/>
    <w:basedOn w:val="CommentText"/>
    <w:next w:val="CommentText"/>
    <w:link w:val="CommentSubjectChar"/>
    <w:uiPriority w:val="99"/>
    <w:semiHidden/>
    <w:unhideWhenUsed/>
    <w:locked/>
    <w:rsid w:val="00CE35A0"/>
    <w:pPr>
      <w:spacing w:before="120"/>
    </w:pPr>
    <w:rPr>
      <w:rFonts w:ascii="Arial" w:hAnsi="Arial"/>
      <w:b/>
      <w:bCs/>
    </w:rPr>
  </w:style>
  <w:style w:type="character" w:customStyle="1" w:styleId="CommentSubjectChar">
    <w:name w:val="Comment Subject Char"/>
    <w:basedOn w:val="CommentTextChar"/>
    <w:link w:val="CommentSubject"/>
    <w:uiPriority w:val="99"/>
    <w:semiHidden/>
    <w:rsid w:val="00CE35A0"/>
    <w:rPr>
      <w:rFonts w:ascii="Arial" w:hAnsi="Arial"/>
      <w:b/>
      <w:bCs/>
      <w:sz w:val="20"/>
      <w:szCs w:val="20"/>
    </w:rPr>
  </w:style>
  <w:style w:type="character" w:customStyle="1" w:styleId="UnresolvedMention">
    <w:name w:val="Unresolved Mention"/>
    <w:basedOn w:val="DefaultParagraphFont"/>
    <w:uiPriority w:val="99"/>
    <w:semiHidden/>
    <w:unhideWhenUsed/>
    <w:rsid w:val="00CC0AB8"/>
    <w:rPr>
      <w:color w:val="605E5C"/>
      <w:shd w:val="clear" w:color="auto" w:fill="E1DFDD"/>
    </w:rPr>
  </w:style>
  <w:style w:type="paragraph" w:styleId="FootnoteText">
    <w:name w:val="footnote text"/>
    <w:basedOn w:val="Normal"/>
    <w:link w:val="FootnoteTextChar"/>
    <w:uiPriority w:val="99"/>
    <w:semiHidden/>
    <w:unhideWhenUsed/>
    <w:rsid w:val="00C403D0"/>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403D0"/>
    <w:rPr>
      <w:rFonts w:ascii="Arial" w:hAnsi="Arial"/>
      <w:sz w:val="20"/>
      <w:szCs w:val="20"/>
    </w:rPr>
  </w:style>
  <w:style w:type="character" w:styleId="FootnoteReference">
    <w:name w:val="footnote reference"/>
    <w:basedOn w:val="DefaultParagraphFont"/>
    <w:uiPriority w:val="99"/>
    <w:semiHidden/>
    <w:unhideWhenUsed/>
    <w:rsid w:val="00C403D0"/>
    <w:rPr>
      <w:vertAlign w:val="superscript"/>
    </w:rPr>
  </w:style>
  <w:style w:type="paragraph" w:styleId="Revision">
    <w:name w:val="Revision"/>
    <w:hidden/>
    <w:uiPriority w:val="99"/>
    <w:semiHidden/>
    <w:rsid w:val="00BF0AA4"/>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910968">
      <w:bodyDiv w:val="1"/>
      <w:marLeft w:val="0"/>
      <w:marRight w:val="0"/>
      <w:marTop w:val="0"/>
      <w:marBottom w:val="0"/>
      <w:divBdr>
        <w:top w:val="none" w:sz="0" w:space="0" w:color="auto"/>
        <w:left w:val="none" w:sz="0" w:space="0" w:color="auto"/>
        <w:bottom w:val="none" w:sz="0" w:space="0" w:color="auto"/>
        <w:right w:val="none" w:sz="0" w:space="0" w:color="auto"/>
      </w:divBdr>
      <w:divsChild>
        <w:div w:id="1392388897">
          <w:marLeft w:val="547"/>
          <w:marRight w:val="0"/>
          <w:marTop w:val="0"/>
          <w:marBottom w:val="0"/>
          <w:divBdr>
            <w:top w:val="none" w:sz="0" w:space="0" w:color="auto"/>
            <w:left w:val="none" w:sz="0" w:space="0" w:color="auto"/>
            <w:bottom w:val="none" w:sz="0" w:space="0" w:color="auto"/>
            <w:right w:val="none" w:sz="0" w:space="0" w:color="auto"/>
          </w:divBdr>
        </w:div>
        <w:div w:id="61185974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itsl.edu.au/docs/default-source/default-document-library/australian_teacher_performance_and_development_framework_august_2012.pdf?sfvrsn=e7c2ec3c_0" TargetMode="External"/><Relationship Id="rId18" Type="http://schemas.openxmlformats.org/officeDocument/2006/relationships/diagramLayout" Target="diagrams/layout1.xml"/><Relationship Id="rId26" Type="http://schemas.openxmlformats.org/officeDocument/2006/relationships/hyperlink" Target="http://learningforward.org/docs/jsd-october-2012/killion335.pdf"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www.aitsl.edu.au/docs/default-source/default-document-library/australian_charter_for_the_professional_learning_of_teachers_and_school_leaders.pdf?sfvrsn=53c3ec3c_0" TargetMode="External"/><Relationship Id="rId17" Type="http://schemas.openxmlformats.org/officeDocument/2006/relationships/diagramData" Target="diagrams/data1.xml"/><Relationship Id="rId25" Type="http://schemas.openxmlformats.org/officeDocument/2006/relationships/hyperlink" Target="https://learningforward.org/docs/pdf/nsdcstudy2009.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e8G8taHw1QU" TargetMode="External"/><Relationship Id="rId20" Type="http://schemas.openxmlformats.org/officeDocument/2006/relationships/diagramColors" Target="diagrams/colors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youtu.be/Q3PJuGz0Nj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PBMODJAa4EM" TargetMode="External"/><Relationship Id="rId23" Type="http://schemas.openxmlformats.org/officeDocument/2006/relationships/hyperlink" Target="https://youtu.be/Q3PJuGz0Njs" TargetMode="External"/><Relationship Id="rId28"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itsl.edu.au/docs/default-source/teach-documents/australian-professional-standards-for-teachers.pdf" TargetMode="External"/><Relationship Id="rId22" Type="http://schemas.openxmlformats.org/officeDocument/2006/relationships/hyperlink" Target="https://www.aitsl.edu.au/lead-develop/develop-others/classroom-observation/classroom-observation-strategies" TargetMode="External"/><Relationship Id="rId27" Type="http://schemas.openxmlformats.org/officeDocument/2006/relationships/hyperlink" Target="http://ies.ed.gov/ncee/edlabs/regions/southwest/pdf/rel_2007033.pdf" TargetMode="External"/><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F5438E-7996-48F2-A0E9-651D5428455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2A41ED24-2C6B-421E-9FCD-F6EFDBF9A33E}">
      <dgm:prSet phldrT="[Text]" custT="1">
        <dgm:style>
          <a:lnRef idx="2">
            <a:schemeClr val="accent1"/>
          </a:lnRef>
          <a:fillRef idx="1">
            <a:schemeClr val="lt1"/>
          </a:fillRef>
          <a:effectRef idx="0">
            <a:schemeClr val="accent1"/>
          </a:effectRef>
          <a:fontRef idx="minor">
            <a:schemeClr val="dk1"/>
          </a:fontRef>
        </dgm:style>
      </dgm:prSet>
      <dgm:spPr/>
      <dgm:t>
        <a:bodyPr/>
        <a:lstStyle/>
        <a:p>
          <a:pPr algn="ctr">
            <a:lnSpc>
              <a:spcPct val="90000"/>
            </a:lnSpc>
            <a:spcBef>
              <a:spcPct val="0"/>
            </a:spcBef>
            <a:spcAft>
              <a:spcPct val="35000"/>
            </a:spcAft>
          </a:pPr>
          <a:endParaRPr lang="en-AU" sz="1000" b="1">
            <a:solidFill>
              <a:schemeClr val="tx2"/>
            </a:solidFill>
          </a:endParaRPr>
        </a:p>
        <a:p>
          <a:pPr marL="108000" algn="l">
            <a:lnSpc>
              <a:spcPct val="100000"/>
            </a:lnSpc>
            <a:spcBef>
              <a:spcPts val="800"/>
            </a:spcBef>
            <a:spcAft>
              <a:spcPts val="800"/>
            </a:spcAft>
          </a:pPr>
          <a:r>
            <a:rPr lang="en-AU" sz="1000" b="1">
              <a:solidFill>
                <a:schemeClr val="tx2"/>
              </a:solidFill>
            </a:rPr>
            <a:t>Classroom-based teaching</a:t>
          </a:r>
        </a:p>
        <a:p>
          <a:pPr marL="108000" algn="l">
            <a:lnSpc>
              <a:spcPct val="100000"/>
            </a:lnSpc>
            <a:spcBef>
              <a:spcPts val="800"/>
            </a:spcBef>
            <a:spcAft>
              <a:spcPts val="800"/>
            </a:spcAft>
          </a:pPr>
          <a:r>
            <a:rPr lang="en-AU" sz="1000" b="0">
              <a:solidFill>
                <a:sysClr val="windowText" lastClr="000000"/>
              </a:solidFill>
            </a:rPr>
            <a:t>Observation of practice and feedback</a:t>
          </a:r>
        </a:p>
        <a:p>
          <a:pPr marL="108000" algn="l">
            <a:lnSpc>
              <a:spcPct val="100000"/>
            </a:lnSpc>
            <a:spcBef>
              <a:spcPts val="800"/>
            </a:spcBef>
            <a:spcAft>
              <a:spcPts val="800"/>
            </a:spcAft>
          </a:pPr>
          <a:r>
            <a:rPr lang="en-AU" sz="1000" b="0">
              <a:solidFill>
                <a:sysClr val="windowText" lastClr="000000"/>
              </a:solidFill>
            </a:rPr>
            <a:t>Coaching and mentoring</a:t>
          </a:r>
        </a:p>
        <a:p>
          <a:pPr>
            <a:lnSpc>
              <a:spcPct val="90000"/>
            </a:lnSpc>
            <a:spcBef>
              <a:spcPct val="0"/>
            </a:spcBef>
            <a:spcAft>
              <a:spcPct val="35000"/>
            </a:spcAft>
          </a:pPr>
          <a:endParaRPr lang="en-AU" sz="1000" b="0">
            <a:solidFill>
              <a:sysClr val="windowText" lastClr="000000"/>
            </a:solidFill>
          </a:endParaRPr>
        </a:p>
        <a:p>
          <a:pPr algn="ctr">
            <a:lnSpc>
              <a:spcPct val="90000"/>
            </a:lnSpc>
            <a:spcBef>
              <a:spcPct val="0"/>
            </a:spcBef>
            <a:spcAft>
              <a:spcPct val="35000"/>
            </a:spcAft>
          </a:pPr>
          <a:endParaRPr lang="en-AU" sz="1000" b="1">
            <a:solidFill>
              <a:schemeClr val="tx2"/>
            </a:solidFill>
          </a:endParaRPr>
        </a:p>
      </dgm:t>
    </dgm:pt>
    <dgm:pt modelId="{543651B7-D30F-497A-80D9-69335607A597}" type="parTrans" cxnId="{E58D7624-EC94-42F8-8DFC-76F579733220}">
      <dgm:prSet/>
      <dgm:spPr/>
      <dgm:t>
        <a:bodyPr/>
        <a:lstStyle/>
        <a:p>
          <a:endParaRPr lang="en-AU" sz="1000"/>
        </a:p>
      </dgm:t>
    </dgm:pt>
    <dgm:pt modelId="{866A8C64-EEF0-415C-BB52-D7526995314F}" type="sibTrans" cxnId="{E58D7624-EC94-42F8-8DFC-76F579733220}">
      <dgm:prSet/>
      <dgm:spPr/>
      <dgm:t>
        <a:bodyPr/>
        <a:lstStyle/>
        <a:p>
          <a:endParaRPr lang="en-AU" sz="1000"/>
        </a:p>
      </dgm:t>
    </dgm:pt>
    <dgm:pt modelId="{59896589-776F-4F4A-A445-D175E32B0303}">
      <dgm:prSet phldrT="[Text]" custT="1">
        <dgm:style>
          <a:lnRef idx="2">
            <a:schemeClr val="accent1"/>
          </a:lnRef>
          <a:fillRef idx="1">
            <a:schemeClr val="lt1"/>
          </a:fillRef>
          <a:effectRef idx="0">
            <a:schemeClr val="accent1"/>
          </a:effectRef>
          <a:fontRef idx="minor">
            <a:schemeClr val="dk1"/>
          </a:fontRef>
        </dgm:style>
      </dgm:prSet>
      <dgm:spPr/>
      <dgm:t>
        <a:bodyPr/>
        <a:lstStyle/>
        <a:p>
          <a:pPr algn="ctr">
            <a:lnSpc>
              <a:spcPct val="90000"/>
            </a:lnSpc>
            <a:spcBef>
              <a:spcPct val="0"/>
            </a:spcBef>
            <a:spcAft>
              <a:spcPct val="35000"/>
            </a:spcAft>
          </a:pPr>
          <a:r>
            <a:rPr lang="en-AU" sz="1000" b="1">
              <a:solidFill>
                <a:schemeClr val="tx2"/>
              </a:solidFill>
            </a:rPr>
            <a:t/>
          </a:r>
          <a:br>
            <a:rPr lang="en-AU" sz="1000" b="1">
              <a:solidFill>
                <a:schemeClr val="tx2"/>
              </a:solidFill>
            </a:rPr>
          </a:br>
          <a:r>
            <a:rPr lang="en-AU" sz="1000" b="1">
              <a:solidFill>
                <a:schemeClr val="tx2"/>
              </a:solidFill>
            </a:rPr>
            <a:t>Research</a:t>
          </a:r>
        </a:p>
        <a:p>
          <a:pPr marL="144000" algn="l">
            <a:lnSpc>
              <a:spcPct val="100000"/>
            </a:lnSpc>
            <a:spcBef>
              <a:spcPts val="800"/>
            </a:spcBef>
            <a:spcAft>
              <a:spcPts val="800"/>
            </a:spcAft>
          </a:pPr>
          <a:r>
            <a:rPr lang="en-AU" sz="1000">
              <a:solidFill>
                <a:sysClr val="windowText" lastClr="000000"/>
              </a:solidFill>
            </a:rPr>
            <a:t>Professional reading </a:t>
          </a:r>
        </a:p>
        <a:p>
          <a:pPr marL="144000" algn="l">
            <a:lnSpc>
              <a:spcPct val="100000"/>
            </a:lnSpc>
            <a:spcBef>
              <a:spcPts val="800"/>
            </a:spcBef>
            <a:spcAft>
              <a:spcPts val="800"/>
            </a:spcAft>
          </a:pPr>
          <a:r>
            <a:rPr lang="en-AU" sz="1000">
              <a:solidFill>
                <a:sysClr val="windowText" lastClr="000000"/>
              </a:solidFill>
            </a:rPr>
            <a:t>Inquiry/action research</a:t>
          </a:r>
        </a:p>
        <a:p>
          <a:pPr algn="l">
            <a:lnSpc>
              <a:spcPct val="90000"/>
            </a:lnSpc>
            <a:spcBef>
              <a:spcPct val="0"/>
            </a:spcBef>
            <a:spcAft>
              <a:spcPct val="35000"/>
            </a:spcAft>
          </a:pPr>
          <a:endParaRPr lang="en-AU" sz="1000">
            <a:solidFill>
              <a:sysClr val="windowText" lastClr="000000"/>
            </a:solidFill>
          </a:endParaRPr>
        </a:p>
        <a:p>
          <a:pPr algn="l">
            <a:lnSpc>
              <a:spcPct val="90000"/>
            </a:lnSpc>
            <a:spcBef>
              <a:spcPct val="0"/>
            </a:spcBef>
            <a:spcAft>
              <a:spcPct val="35000"/>
            </a:spcAft>
          </a:pPr>
          <a:endParaRPr lang="en-AU" sz="1000">
            <a:solidFill>
              <a:sysClr val="windowText" lastClr="000000"/>
            </a:solidFill>
          </a:endParaRPr>
        </a:p>
        <a:p>
          <a:pPr algn="l">
            <a:lnSpc>
              <a:spcPct val="90000"/>
            </a:lnSpc>
            <a:spcBef>
              <a:spcPct val="0"/>
            </a:spcBef>
            <a:spcAft>
              <a:spcPct val="35000"/>
            </a:spcAft>
          </a:pPr>
          <a:endParaRPr lang="en-AU" sz="1000"/>
        </a:p>
      </dgm:t>
    </dgm:pt>
    <dgm:pt modelId="{A9DD9799-CBC7-4078-9BF1-80CA5AC90CBB}" type="parTrans" cxnId="{68FD800D-60E4-49AA-80F0-1DAEA992CD09}">
      <dgm:prSet/>
      <dgm:spPr/>
      <dgm:t>
        <a:bodyPr/>
        <a:lstStyle/>
        <a:p>
          <a:endParaRPr lang="en-AU" sz="1000"/>
        </a:p>
      </dgm:t>
    </dgm:pt>
    <dgm:pt modelId="{23128864-9FB9-4CC6-A239-65DFC7CFDACC}" type="sibTrans" cxnId="{68FD800D-60E4-49AA-80F0-1DAEA992CD09}">
      <dgm:prSet/>
      <dgm:spPr/>
      <dgm:t>
        <a:bodyPr/>
        <a:lstStyle/>
        <a:p>
          <a:endParaRPr lang="en-AU" sz="1000"/>
        </a:p>
      </dgm:t>
    </dgm:pt>
    <dgm:pt modelId="{5B9943F3-AF51-4357-BE90-BF0D4217D6CD}">
      <dgm:prSet phldrT="[Text]" custT="1">
        <dgm:style>
          <a:lnRef idx="2">
            <a:schemeClr val="accent1"/>
          </a:lnRef>
          <a:fillRef idx="1">
            <a:schemeClr val="lt1"/>
          </a:fillRef>
          <a:effectRef idx="0">
            <a:schemeClr val="accent1"/>
          </a:effectRef>
          <a:fontRef idx="minor">
            <a:schemeClr val="dk1"/>
          </a:fontRef>
        </dgm:style>
      </dgm:prSet>
      <dgm:spPr/>
      <dgm:t>
        <a:bodyPr/>
        <a:lstStyle/>
        <a:p>
          <a:pPr algn="ctr">
            <a:spcBef>
              <a:spcPct val="0"/>
            </a:spcBef>
            <a:spcAft>
              <a:spcPct val="35000"/>
            </a:spcAft>
          </a:pPr>
          <a:r>
            <a:rPr lang="en-AU" sz="1000" b="1">
              <a:solidFill>
                <a:schemeClr val="tx2"/>
              </a:solidFill>
            </a:rPr>
            <a:t>Communities of practice</a:t>
          </a:r>
        </a:p>
        <a:p>
          <a:pPr marL="108000" algn="l">
            <a:spcBef>
              <a:spcPts val="800"/>
            </a:spcBef>
            <a:spcAft>
              <a:spcPts val="800"/>
            </a:spcAft>
          </a:pPr>
          <a:r>
            <a:rPr lang="en-AU" sz="1000" b="0">
              <a:solidFill>
                <a:sysClr val="windowText" lastClr="000000"/>
              </a:solidFill>
            </a:rPr>
            <a:t>Professional Learning Communities</a:t>
          </a:r>
          <a:endParaRPr lang="en-AU" sz="1000">
            <a:solidFill>
              <a:sysClr val="windowText" lastClr="000000"/>
            </a:solidFill>
          </a:endParaRPr>
        </a:p>
        <a:p>
          <a:pPr marL="108000" algn="l">
            <a:spcBef>
              <a:spcPts val="800"/>
            </a:spcBef>
            <a:spcAft>
              <a:spcPts val="800"/>
            </a:spcAft>
          </a:pPr>
          <a:r>
            <a:rPr lang="en-AU" sz="1000">
              <a:solidFill>
                <a:sysClr val="windowText" lastClr="000000"/>
              </a:solidFill>
            </a:rPr>
            <a:t>Networks</a:t>
          </a:r>
        </a:p>
        <a:p>
          <a:pPr marL="108000" algn="l">
            <a:spcBef>
              <a:spcPts val="800"/>
            </a:spcBef>
            <a:spcAft>
              <a:spcPts val="800"/>
            </a:spcAft>
          </a:pPr>
          <a:r>
            <a:rPr lang="en-AU" sz="1000">
              <a:solidFill>
                <a:sysClr val="windowText" lastClr="000000"/>
              </a:solidFill>
            </a:rPr>
            <a:t>Collboration based on student work samples</a:t>
          </a:r>
        </a:p>
      </dgm:t>
    </dgm:pt>
    <dgm:pt modelId="{9C7EF9B7-CCD3-4AC9-97B9-A53907B5BDB3}" type="parTrans" cxnId="{1F246192-87DD-4CCE-8F87-2A103E1F42FB}">
      <dgm:prSet/>
      <dgm:spPr/>
      <dgm:t>
        <a:bodyPr/>
        <a:lstStyle/>
        <a:p>
          <a:endParaRPr lang="en-AU" sz="1000"/>
        </a:p>
      </dgm:t>
    </dgm:pt>
    <dgm:pt modelId="{03CA636E-CE81-4934-8F91-1A30B27FEF52}" type="sibTrans" cxnId="{1F246192-87DD-4CCE-8F87-2A103E1F42FB}">
      <dgm:prSet/>
      <dgm:spPr/>
      <dgm:t>
        <a:bodyPr/>
        <a:lstStyle/>
        <a:p>
          <a:endParaRPr lang="en-AU" sz="1000"/>
        </a:p>
      </dgm:t>
    </dgm:pt>
    <dgm:pt modelId="{2AB5F471-4D09-41EA-9250-896CFF508C6A}">
      <dgm:prSet phldrT="[Text]" custT="1">
        <dgm:style>
          <a:lnRef idx="2">
            <a:schemeClr val="accent1"/>
          </a:lnRef>
          <a:fillRef idx="1">
            <a:schemeClr val="lt1"/>
          </a:fillRef>
          <a:effectRef idx="0">
            <a:schemeClr val="accent1"/>
          </a:effectRef>
          <a:fontRef idx="minor">
            <a:schemeClr val="dk1"/>
          </a:fontRef>
        </dgm:style>
      </dgm:prSet>
      <dgm:spPr/>
      <dgm:t>
        <a:bodyPr/>
        <a:lstStyle/>
        <a:p>
          <a:pPr algn="ctr">
            <a:spcBef>
              <a:spcPts val="1200"/>
            </a:spcBef>
            <a:spcAft>
              <a:spcPct val="35000"/>
            </a:spcAft>
          </a:pPr>
          <a:r>
            <a:rPr lang="en-AU" sz="1000" b="1">
              <a:solidFill>
                <a:schemeClr val="tx2"/>
              </a:solidFill>
            </a:rPr>
            <a:t/>
          </a:r>
          <a:br>
            <a:rPr lang="en-AU" sz="1000" b="1">
              <a:solidFill>
                <a:schemeClr val="tx2"/>
              </a:solidFill>
            </a:rPr>
          </a:br>
          <a:r>
            <a:rPr lang="en-AU" sz="1000" b="1">
              <a:solidFill>
                <a:schemeClr val="tx2"/>
              </a:solidFill>
            </a:rPr>
            <a:t/>
          </a:r>
          <a:br>
            <a:rPr lang="en-AU" sz="1000" b="1">
              <a:solidFill>
                <a:schemeClr val="tx2"/>
              </a:solidFill>
            </a:rPr>
          </a:br>
          <a:r>
            <a:rPr lang="en-AU" sz="1000" b="1">
              <a:solidFill>
                <a:schemeClr val="tx2"/>
              </a:solidFill>
            </a:rPr>
            <a:t>Face-to-face learning </a:t>
          </a:r>
          <a:br>
            <a:rPr lang="en-AU" sz="1000" b="1">
              <a:solidFill>
                <a:schemeClr val="tx2"/>
              </a:solidFill>
            </a:rPr>
          </a:br>
          <a:endParaRPr lang="en-AU" sz="1000" b="1">
            <a:solidFill>
              <a:schemeClr val="tx2"/>
            </a:solidFill>
          </a:endParaRPr>
        </a:p>
        <a:p>
          <a:pPr marL="108000" algn="l">
            <a:spcBef>
              <a:spcPts val="800"/>
            </a:spcBef>
            <a:spcAft>
              <a:spcPts val="800"/>
            </a:spcAft>
          </a:pPr>
          <a:r>
            <a:rPr lang="en-AU" sz="1000">
              <a:solidFill>
                <a:sysClr val="windowText" lastClr="000000"/>
              </a:solidFill>
            </a:rPr>
            <a:t>Conferences </a:t>
          </a:r>
        </a:p>
        <a:p>
          <a:pPr marL="108000" algn="l">
            <a:spcBef>
              <a:spcPts val="800"/>
            </a:spcBef>
            <a:spcAft>
              <a:spcPts val="800"/>
            </a:spcAft>
          </a:pPr>
          <a:r>
            <a:rPr lang="en-AU" sz="1000">
              <a:solidFill>
                <a:sysClr val="windowText" lastClr="000000"/>
              </a:solidFill>
            </a:rPr>
            <a:t>School-based learning events</a:t>
          </a:r>
        </a:p>
        <a:p>
          <a:pPr marL="108000" algn="l">
            <a:spcBef>
              <a:spcPts val="800"/>
            </a:spcBef>
            <a:spcAft>
              <a:spcPts val="800"/>
            </a:spcAft>
          </a:pPr>
          <a:r>
            <a:rPr lang="en-AU" sz="1000">
              <a:solidFill>
                <a:sysClr val="windowText" lastClr="000000"/>
              </a:solidFill>
            </a:rPr>
            <a:t>Training courses and workshops</a:t>
          </a:r>
        </a:p>
        <a:p>
          <a:pPr algn="l">
            <a:spcBef>
              <a:spcPct val="0"/>
            </a:spcBef>
            <a:spcAft>
              <a:spcPct val="35000"/>
            </a:spcAft>
          </a:pPr>
          <a:endParaRPr lang="en-AU" sz="1000">
            <a:solidFill>
              <a:sysClr val="windowText" lastClr="000000"/>
            </a:solidFill>
          </a:endParaRPr>
        </a:p>
        <a:p>
          <a:pPr algn="l">
            <a:spcBef>
              <a:spcPct val="0"/>
            </a:spcBef>
            <a:spcAft>
              <a:spcPct val="35000"/>
            </a:spcAft>
          </a:pPr>
          <a:endParaRPr lang="en-AU" sz="1000">
            <a:solidFill>
              <a:sysClr val="windowText" lastClr="000000"/>
            </a:solidFill>
          </a:endParaRPr>
        </a:p>
      </dgm:t>
    </dgm:pt>
    <dgm:pt modelId="{7A7995D4-86F2-411D-9973-714D3EB4721B}" type="parTrans" cxnId="{88FEBED3-D6B1-47F3-BB7A-89864EC18204}">
      <dgm:prSet/>
      <dgm:spPr/>
      <dgm:t>
        <a:bodyPr/>
        <a:lstStyle/>
        <a:p>
          <a:endParaRPr lang="en-AU" sz="1000"/>
        </a:p>
      </dgm:t>
    </dgm:pt>
    <dgm:pt modelId="{D98220E6-42C9-4988-B5D5-F6D500B3245C}" type="sibTrans" cxnId="{88FEBED3-D6B1-47F3-BB7A-89864EC18204}">
      <dgm:prSet/>
      <dgm:spPr/>
      <dgm:t>
        <a:bodyPr/>
        <a:lstStyle/>
        <a:p>
          <a:endParaRPr lang="en-AU" sz="1000"/>
        </a:p>
      </dgm:t>
    </dgm:pt>
    <dgm:pt modelId="{25B326BC-D7BB-4F5F-814B-03A7F9B6CF71}">
      <dgm:prSet phldrT="[Text]" custT="1">
        <dgm:style>
          <a:lnRef idx="2">
            <a:schemeClr val="accent1"/>
          </a:lnRef>
          <a:fillRef idx="1">
            <a:schemeClr val="lt1"/>
          </a:fillRef>
          <a:effectRef idx="0">
            <a:schemeClr val="accent1"/>
          </a:effectRef>
          <a:fontRef idx="minor">
            <a:schemeClr val="dk1"/>
          </a:fontRef>
        </dgm:style>
      </dgm:prSet>
      <dgm:spPr/>
      <dgm:t>
        <a:bodyPr/>
        <a:lstStyle/>
        <a:p>
          <a:pPr algn="ctr">
            <a:spcBef>
              <a:spcPct val="0"/>
            </a:spcBef>
            <a:spcAft>
              <a:spcPct val="35000"/>
            </a:spcAft>
          </a:pPr>
          <a:r>
            <a:rPr lang="en-AU" sz="1000" b="1">
              <a:solidFill>
                <a:schemeClr val="tx2"/>
              </a:solidFill>
            </a:rPr>
            <a:t/>
          </a:r>
          <a:br>
            <a:rPr lang="en-AU" sz="1000" b="1">
              <a:solidFill>
                <a:schemeClr val="tx2"/>
              </a:solidFill>
            </a:rPr>
          </a:br>
          <a:r>
            <a:rPr lang="en-AU" sz="1000" b="1">
              <a:solidFill>
                <a:schemeClr val="tx2"/>
              </a:solidFill>
            </a:rPr>
            <a:t/>
          </a:r>
          <a:br>
            <a:rPr lang="en-AU" sz="1000" b="1">
              <a:solidFill>
                <a:schemeClr val="tx2"/>
              </a:solidFill>
            </a:rPr>
          </a:br>
          <a:r>
            <a:rPr lang="en-AU" sz="1000" b="1">
              <a:solidFill>
                <a:schemeClr val="tx2"/>
              </a:solidFill>
            </a:rPr>
            <a:t>Online Learning</a:t>
          </a:r>
          <a:br>
            <a:rPr lang="en-AU" sz="1000" b="1">
              <a:solidFill>
                <a:schemeClr val="tx2"/>
              </a:solidFill>
            </a:rPr>
          </a:br>
          <a:endParaRPr lang="en-AU" sz="1000" b="1">
            <a:solidFill>
              <a:schemeClr val="tx2"/>
            </a:solidFill>
          </a:endParaRPr>
        </a:p>
        <a:p>
          <a:pPr marL="108000" algn="l">
            <a:spcBef>
              <a:spcPts val="800"/>
            </a:spcBef>
            <a:spcAft>
              <a:spcPts val="800"/>
            </a:spcAft>
          </a:pPr>
          <a:r>
            <a:rPr lang="en-AU" sz="1000">
              <a:solidFill>
                <a:sysClr val="windowText" lastClr="000000"/>
              </a:solidFill>
            </a:rPr>
            <a:t>Modules and courses</a:t>
          </a:r>
        </a:p>
        <a:p>
          <a:pPr marL="108000" algn="l">
            <a:spcBef>
              <a:spcPts val="800"/>
            </a:spcBef>
            <a:spcAft>
              <a:spcPts val="800"/>
            </a:spcAft>
          </a:pPr>
          <a:r>
            <a:rPr lang="en-AU" sz="1000">
              <a:solidFill>
                <a:sysClr val="windowText" lastClr="000000"/>
              </a:solidFill>
            </a:rPr>
            <a:t>Webinars</a:t>
          </a:r>
        </a:p>
        <a:p>
          <a:pPr marL="108000" algn="l">
            <a:spcBef>
              <a:spcPts val="800"/>
            </a:spcBef>
            <a:spcAft>
              <a:spcPts val="800"/>
            </a:spcAft>
          </a:pPr>
          <a:r>
            <a:rPr lang="en-AU" sz="1000">
              <a:solidFill>
                <a:sysClr val="windowText" lastClr="000000"/>
              </a:solidFill>
            </a:rPr>
            <a:t>Online forums</a:t>
          </a:r>
        </a:p>
        <a:p>
          <a:pPr algn="l">
            <a:spcBef>
              <a:spcPct val="0"/>
            </a:spcBef>
            <a:spcAft>
              <a:spcPct val="35000"/>
            </a:spcAft>
          </a:pPr>
          <a:endParaRPr lang="en-AU" sz="1000">
            <a:solidFill>
              <a:sysClr val="windowText" lastClr="000000"/>
            </a:solidFill>
          </a:endParaRPr>
        </a:p>
        <a:p>
          <a:pPr algn="l">
            <a:spcBef>
              <a:spcPct val="0"/>
            </a:spcBef>
            <a:spcAft>
              <a:spcPct val="35000"/>
            </a:spcAft>
          </a:pPr>
          <a:endParaRPr lang="en-AU" sz="1000">
            <a:solidFill>
              <a:sysClr val="windowText" lastClr="000000"/>
            </a:solidFill>
          </a:endParaRPr>
        </a:p>
      </dgm:t>
    </dgm:pt>
    <dgm:pt modelId="{5A4DAE5F-F044-4DE8-8DAF-8C84014C09CC}" type="parTrans" cxnId="{8497EAF2-428C-4564-A18D-D217E2AA4C05}">
      <dgm:prSet/>
      <dgm:spPr/>
      <dgm:t>
        <a:bodyPr/>
        <a:lstStyle/>
        <a:p>
          <a:endParaRPr lang="en-AU" sz="1000"/>
        </a:p>
      </dgm:t>
    </dgm:pt>
    <dgm:pt modelId="{AFA41154-421C-43D5-AF01-9A906E09B755}" type="sibTrans" cxnId="{8497EAF2-428C-4564-A18D-D217E2AA4C05}">
      <dgm:prSet/>
      <dgm:spPr/>
      <dgm:t>
        <a:bodyPr/>
        <a:lstStyle/>
        <a:p>
          <a:endParaRPr lang="en-AU" sz="1000"/>
        </a:p>
      </dgm:t>
    </dgm:pt>
    <dgm:pt modelId="{9C8A9009-DAF7-4134-BB74-99DF75656DC0}">
      <dgm:prSet phldrT="[Text]" custT="1">
        <dgm:style>
          <a:lnRef idx="2">
            <a:schemeClr val="accent1"/>
          </a:lnRef>
          <a:fillRef idx="1">
            <a:schemeClr val="lt1"/>
          </a:fillRef>
          <a:effectRef idx="0">
            <a:schemeClr val="accent1"/>
          </a:effectRef>
          <a:fontRef idx="minor">
            <a:schemeClr val="dk1"/>
          </a:fontRef>
        </dgm:style>
      </dgm:prSet>
      <dgm:spPr/>
      <dgm:t>
        <a:bodyPr/>
        <a:lstStyle/>
        <a:p>
          <a:pPr algn="ctr">
            <a:lnSpc>
              <a:spcPct val="90000"/>
            </a:lnSpc>
            <a:spcBef>
              <a:spcPct val="0"/>
            </a:spcBef>
            <a:spcAft>
              <a:spcPct val="35000"/>
            </a:spcAft>
          </a:pPr>
          <a:endParaRPr lang="en-AU" sz="1000" b="1">
            <a:solidFill>
              <a:schemeClr val="tx2"/>
            </a:solidFill>
          </a:endParaRPr>
        </a:p>
        <a:p>
          <a:pPr algn="ctr">
            <a:lnSpc>
              <a:spcPct val="90000"/>
            </a:lnSpc>
            <a:spcBef>
              <a:spcPct val="0"/>
            </a:spcBef>
            <a:spcAft>
              <a:spcPct val="35000"/>
            </a:spcAft>
          </a:pPr>
          <a:r>
            <a:rPr lang="en-AU" sz="1000" b="1">
              <a:solidFill>
                <a:schemeClr val="tx2"/>
              </a:solidFill>
            </a:rPr>
            <a:t/>
          </a:r>
          <a:br>
            <a:rPr lang="en-AU" sz="1000" b="1">
              <a:solidFill>
                <a:schemeClr val="tx2"/>
              </a:solidFill>
            </a:rPr>
          </a:br>
          <a:r>
            <a:rPr lang="en-AU" sz="1000" b="1">
              <a:solidFill>
                <a:schemeClr val="tx2"/>
              </a:solidFill>
            </a:rPr>
            <a:t>Others</a:t>
          </a:r>
          <a:br>
            <a:rPr lang="en-AU" sz="1000" b="1">
              <a:solidFill>
                <a:schemeClr val="tx2"/>
              </a:solidFill>
            </a:rPr>
          </a:br>
          <a:endParaRPr lang="en-AU" sz="500" b="1">
            <a:solidFill>
              <a:schemeClr val="tx2"/>
            </a:solidFill>
          </a:endParaRPr>
        </a:p>
        <a:p>
          <a:pPr marL="108000" algn="l">
            <a:lnSpc>
              <a:spcPct val="100000"/>
            </a:lnSpc>
            <a:spcBef>
              <a:spcPts val="800"/>
            </a:spcBef>
            <a:spcAft>
              <a:spcPts val="800"/>
            </a:spcAft>
          </a:pPr>
          <a:r>
            <a:rPr lang="en-AU" sz="1000">
              <a:solidFill>
                <a:sysClr val="windowText" lastClr="000000"/>
              </a:solidFill>
            </a:rPr>
            <a:t>Learning Journeys</a:t>
          </a:r>
        </a:p>
        <a:p>
          <a:pPr marL="108000" algn="l">
            <a:lnSpc>
              <a:spcPct val="100000"/>
            </a:lnSpc>
            <a:spcBef>
              <a:spcPts val="800"/>
            </a:spcBef>
            <a:spcAft>
              <a:spcPts val="800"/>
            </a:spcAft>
          </a:pPr>
          <a:r>
            <a:rPr lang="en-AU" sz="1000" b="0">
              <a:solidFill>
                <a:sysClr val="windowText" lastClr="000000"/>
              </a:solidFill>
            </a:rPr>
            <a:t>Ad-hoc professional conversations</a:t>
          </a:r>
        </a:p>
        <a:p>
          <a:pPr algn="l">
            <a:lnSpc>
              <a:spcPct val="90000"/>
            </a:lnSpc>
            <a:spcBef>
              <a:spcPct val="0"/>
            </a:spcBef>
            <a:spcAft>
              <a:spcPct val="35000"/>
            </a:spcAft>
          </a:pPr>
          <a:endParaRPr lang="en-AU" sz="1000" b="0">
            <a:solidFill>
              <a:sysClr val="windowText" lastClr="000000"/>
            </a:solidFill>
          </a:endParaRPr>
        </a:p>
        <a:p>
          <a:pPr algn="l">
            <a:lnSpc>
              <a:spcPct val="90000"/>
            </a:lnSpc>
            <a:spcBef>
              <a:spcPct val="0"/>
            </a:spcBef>
            <a:spcAft>
              <a:spcPct val="35000"/>
            </a:spcAft>
          </a:pPr>
          <a:endParaRPr lang="en-AU" sz="1000" b="0">
            <a:solidFill>
              <a:sysClr val="windowText" lastClr="000000"/>
            </a:solidFill>
          </a:endParaRPr>
        </a:p>
        <a:p>
          <a:pPr algn="l">
            <a:lnSpc>
              <a:spcPct val="90000"/>
            </a:lnSpc>
            <a:spcBef>
              <a:spcPct val="0"/>
            </a:spcBef>
            <a:spcAft>
              <a:spcPct val="35000"/>
            </a:spcAft>
          </a:pPr>
          <a:endParaRPr lang="en-AU" sz="1000"/>
        </a:p>
      </dgm:t>
    </dgm:pt>
    <dgm:pt modelId="{D0A8EF27-36F7-4203-ACA9-BEEC7D47D0DD}" type="parTrans" cxnId="{EF2A714E-F55A-443F-AE27-A7AE4F3DFDE6}">
      <dgm:prSet/>
      <dgm:spPr/>
      <dgm:t>
        <a:bodyPr/>
        <a:lstStyle/>
        <a:p>
          <a:endParaRPr lang="en-AU"/>
        </a:p>
      </dgm:t>
    </dgm:pt>
    <dgm:pt modelId="{179D2583-C6CA-4F38-BD18-165589969775}" type="sibTrans" cxnId="{EF2A714E-F55A-443F-AE27-A7AE4F3DFDE6}">
      <dgm:prSet/>
      <dgm:spPr/>
      <dgm:t>
        <a:bodyPr/>
        <a:lstStyle/>
        <a:p>
          <a:endParaRPr lang="en-AU"/>
        </a:p>
      </dgm:t>
    </dgm:pt>
    <dgm:pt modelId="{C7CC5542-781C-47FA-A653-B8222CC87599}" type="pres">
      <dgm:prSet presAssocID="{E4F5438E-7996-48F2-A0E9-651D5428455D}" presName="diagram" presStyleCnt="0">
        <dgm:presLayoutVars>
          <dgm:dir/>
          <dgm:resizeHandles val="exact"/>
        </dgm:presLayoutVars>
      </dgm:prSet>
      <dgm:spPr/>
      <dgm:t>
        <a:bodyPr/>
        <a:lstStyle/>
        <a:p>
          <a:endParaRPr lang="en-AU"/>
        </a:p>
      </dgm:t>
    </dgm:pt>
    <dgm:pt modelId="{23348F26-E4DE-4B5A-8C98-9561D1768C83}" type="pres">
      <dgm:prSet presAssocID="{2A41ED24-2C6B-421E-9FCD-F6EFDBF9A33E}" presName="node" presStyleLbl="node1" presStyleIdx="0" presStyleCnt="6">
        <dgm:presLayoutVars>
          <dgm:bulletEnabled val="1"/>
        </dgm:presLayoutVars>
      </dgm:prSet>
      <dgm:spPr/>
      <dgm:t>
        <a:bodyPr/>
        <a:lstStyle/>
        <a:p>
          <a:endParaRPr lang="en-AU"/>
        </a:p>
      </dgm:t>
    </dgm:pt>
    <dgm:pt modelId="{C5E0BE2A-D246-4788-BAA0-DE39F3824F1C}" type="pres">
      <dgm:prSet presAssocID="{866A8C64-EEF0-415C-BB52-D7526995314F}" presName="sibTrans" presStyleCnt="0"/>
      <dgm:spPr/>
    </dgm:pt>
    <dgm:pt modelId="{AAE8E469-EA1E-4821-A8E2-B1E126499B14}" type="pres">
      <dgm:prSet presAssocID="{59896589-776F-4F4A-A445-D175E32B0303}" presName="node" presStyleLbl="node1" presStyleIdx="1" presStyleCnt="6">
        <dgm:presLayoutVars>
          <dgm:bulletEnabled val="1"/>
        </dgm:presLayoutVars>
      </dgm:prSet>
      <dgm:spPr/>
      <dgm:t>
        <a:bodyPr/>
        <a:lstStyle/>
        <a:p>
          <a:endParaRPr lang="en-AU"/>
        </a:p>
      </dgm:t>
    </dgm:pt>
    <dgm:pt modelId="{8A502D7B-6030-4F1E-B66D-73F8323E29A7}" type="pres">
      <dgm:prSet presAssocID="{23128864-9FB9-4CC6-A239-65DFC7CFDACC}" presName="sibTrans" presStyleCnt="0"/>
      <dgm:spPr/>
    </dgm:pt>
    <dgm:pt modelId="{78924720-AD04-484A-94F7-DB139BF59377}" type="pres">
      <dgm:prSet presAssocID="{5B9943F3-AF51-4357-BE90-BF0D4217D6CD}" presName="node" presStyleLbl="node1" presStyleIdx="2" presStyleCnt="6">
        <dgm:presLayoutVars>
          <dgm:bulletEnabled val="1"/>
        </dgm:presLayoutVars>
      </dgm:prSet>
      <dgm:spPr/>
      <dgm:t>
        <a:bodyPr/>
        <a:lstStyle/>
        <a:p>
          <a:endParaRPr lang="en-AU"/>
        </a:p>
      </dgm:t>
    </dgm:pt>
    <dgm:pt modelId="{4C6AD98D-7190-43B2-911E-30C3D96CF425}" type="pres">
      <dgm:prSet presAssocID="{03CA636E-CE81-4934-8F91-1A30B27FEF52}" presName="sibTrans" presStyleCnt="0"/>
      <dgm:spPr/>
    </dgm:pt>
    <dgm:pt modelId="{C7BA0E10-4DD4-4D88-81FB-ED630AC90F99}" type="pres">
      <dgm:prSet presAssocID="{2AB5F471-4D09-41EA-9250-896CFF508C6A}" presName="node" presStyleLbl="node1" presStyleIdx="3" presStyleCnt="6">
        <dgm:presLayoutVars>
          <dgm:bulletEnabled val="1"/>
        </dgm:presLayoutVars>
      </dgm:prSet>
      <dgm:spPr/>
      <dgm:t>
        <a:bodyPr/>
        <a:lstStyle/>
        <a:p>
          <a:endParaRPr lang="en-AU"/>
        </a:p>
      </dgm:t>
    </dgm:pt>
    <dgm:pt modelId="{C8454548-DAC8-46DE-B619-08D62397A9FD}" type="pres">
      <dgm:prSet presAssocID="{D98220E6-42C9-4988-B5D5-F6D500B3245C}" presName="sibTrans" presStyleCnt="0"/>
      <dgm:spPr/>
    </dgm:pt>
    <dgm:pt modelId="{25A6B5A5-AE8B-44DD-BBA4-71EF464B3BF4}" type="pres">
      <dgm:prSet presAssocID="{25B326BC-D7BB-4F5F-814B-03A7F9B6CF71}" presName="node" presStyleLbl="node1" presStyleIdx="4" presStyleCnt="6">
        <dgm:presLayoutVars>
          <dgm:bulletEnabled val="1"/>
        </dgm:presLayoutVars>
      </dgm:prSet>
      <dgm:spPr/>
      <dgm:t>
        <a:bodyPr/>
        <a:lstStyle/>
        <a:p>
          <a:endParaRPr lang="en-AU"/>
        </a:p>
      </dgm:t>
    </dgm:pt>
    <dgm:pt modelId="{D9B1157B-848E-425B-9799-2D1D23897EB5}" type="pres">
      <dgm:prSet presAssocID="{AFA41154-421C-43D5-AF01-9A906E09B755}" presName="sibTrans" presStyleCnt="0"/>
      <dgm:spPr/>
    </dgm:pt>
    <dgm:pt modelId="{E6771BF2-2CC2-4750-8F1F-7B0A51EA3363}" type="pres">
      <dgm:prSet presAssocID="{9C8A9009-DAF7-4134-BB74-99DF75656DC0}" presName="node" presStyleLbl="node1" presStyleIdx="5" presStyleCnt="6">
        <dgm:presLayoutVars>
          <dgm:bulletEnabled val="1"/>
        </dgm:presLayoutVars>
      </dgm:prSet>
      <dgm:spPr/>
      <dgm:t>
        <a:bodyPr/>
        <a:lstStyle/>
        <a:p>
          <a:endParaRPr lang="en-AU"/>
        </a:p>
      </dgm:t>
    </dgm:pt>
  </dgm:ptLst>
  <dgm:cxnLst>
    <dgm:cxn modelId="{EF2A714E-F55A-443F-AE27-A7AE4F3DFDE6}" srcId="{E4F5438E-7996-48F2-A0E9-651D5428455D}" destId="{9C8A9009-DAF7-4134-BB74-99DF75656DC0}" srcOrd="5" destOrd="0" parTransId="{D0A8EF27-36F7-4203-ACA9-BEEC7D47D0DD}" sibTransId="{179D2583-C6CA-4F38-BD18-165589969775}"/>
    <dgm:cxn modelId="{3CCDC795-B546-4C0A-9E4E-CCD495E398CC}" type="presOf" srcId="{25B326BC-D7BB-4F5F-814B-03A7F9B6CF71}" destId="{25A6B5A5-AE8B-44DD-BBA4-71EF464B3BF4}" srcOrd="0" destOrd="0" presId="urn:microsoft.com/office/officeart/2005/8/layout/default"/>
    <dgm:cxn modelId="{2A00F0DD-F474-41D5-833C-3B6410F92A82}" type="presOf" srcId="{5B9943F3-AF51-4357-BE90-BF0D4217D6CD}" destId="{78924720-AD04-484A-94F7-DB139BF59377}" srcOrd="0" destOrd="0" presId="urn:microsoft.com/office/officeart/2005/8/layout/default"/>
    <dgm:cxn modelId="{57153C0B-28A3-46AA-9F2E-3DED50172AD5}" type="presOf" srcId="{E4F5438E-7996-48F2-A0E9-651D5428455D}" destId="{C7CC5542-781C-47FA-A653-B8222CC87599}" srcOrd="0" destOrd="0" presId="urn:microsoft.com/office/officeart/2005/8/layout/default"/>
    <dgm:cxn modelId="{8497EAF2-428C-4564-A18D-D217E2AA4C05}" srcId="{E4F5438E-7996-48F2-A0E9-651D5428455D}" destId="{25B326BC-D7BB-4F5F-814B-03A7F9B6CF71}" srcOrd="4" destOrd="0" parTransId="{5A4DAE5F-F044-4DE8-8DAF-8C84014C09CC}" sibTransId="{AFA41154-421C-43D5-AF01-9A906E09B755}"/>
    <dgm:cxn modelId="{88FEBED3-D6B1-47F3-BB7A-89864EC18204}" srcId="{E4F5438E-7996-48F2-A0E9-651D5428455D}" destId="{2AB5F471-4D09-41EA-9250-896CFF508C6A}" srcOrd="3" destOrd="0" parTransId="{7A7995D4-86F2-411D-9973-714D3EB4721B}" sibTransId="{D98220E6-42C9-4988-B5D5-F6D500B3245C}"/>
    <dgm:cxn modelId="{1F246192-87DD-4CCE-8F87-2A103E1F42FB}" srcId="{E4F5438E-7996-48F2-A0E9-651D5428455D}" destId="{5B9943F3-AF51-4357-BE90-BF0D4217D6CD}" srcOrd="2" destOrd="0" parTransId="{9C7EF9B7-CCD3-4AC9-97B9-A53907B5BDB3}" sibTransId="{03CA636E-CE81-4934-8F91-1A30B27FEF52}"/>
    <dgm:cxn modelId="{68FD800D-60E4-49AA-80F0-1DAEA992CD09}" srcId="{E4F5438E-7996-48F2-A0E9-651D5428455D}" destId="{59896589-776F-4F4A-A445-D175E32B0303}" srcOrd="1" destOrd="0" parTransId="{A9DD9799-CBC7-4078-9BF1-80CA5AC90CBB}" sibTransId="{23128864-9FB9-4CC6-A239-65DFC7CFDACC}"/>
    <dgm:cxn modelId="{CF252FA6-5AF1-46D9-B3DB-FCB8E736D6F0}" type="presOf" srcId="{2AB5F471-4D09-41EA-9250-896CFF508C6A}" destId="{C7BA0E10-4DD4-4D88-81FB-ED630AC90F99}" srcOrd="0" destOrd="0" presId="urn:microsoft.com/office/officeart/2005/8/layout/default"/>
    <dgm:cxn modelId="{1BE45C20-7D12-430C-A272-3FF4D141C03A}" type="presOf" srcId="{2A41ED24-2C6B-421E-9FCD-F6EFDBF9A33E}" destId="{23348F26-E4DE-4B5A-8C98-9561D1768C83}" srcOrd="0" destOrd="0" presId="urn:microsoft.com/office/officeart/2005/8/layout/default"/>
    <dgm:cxn modelId="{1AF294FF-A033-4EE3-AA09-BA4360E301C4}" type="presOf" srcId="{59896589-776F-4F4A-A445-D175E32B0303}" destId="{AAE8E469-EA1E-4821-A8E2-B1E126499B14}" srcOrd="0" destOrd="0" presId="urn:microsoft.com/office/officeart/2005/8/layout/default"/>
    <dgm:cxn modelId="{4FB55213-F6D7-42AF-8029-DA3862290943}" type="presOf" srcId="{9C8A9009-DAF7-4134-BB74-99DF75656DC0}" destId="{E6771BF2-2CC2-4750-8F1F-7B0A51EA3363}" srcOrd="0" destOrd="0" presId="urn:microsoft.com/office/officeart/2005/8/layout/default"/>
    <dgm:cxn modelId="{E58D7624-EC94-42F8-8DFC-76F579733220}" srcId="{E4F5438E-7996-48F2-A0E9-651D5428455D}" destId="{2A41ED24-2C6B-421E-9FCD-F6EFDBF9A33E}" srcOrd="0" destOrd="0" parTransId="{543651B7-D30F-497A-80D9-69335607A597}" sibTransId="{866A8C64-EEF0-415C-BB52-D7526995314F}"/>
    <dgm:cxn modelId="{80B3DCA3-4490-4D26-8AB7-4E43CC56730A}" type="presParOf" srcId="{C7CC5542-781C-47FA-A653-B8222CC87599}" destId="{23348F26-E4DE-4B5A-8C98-9561D1768C83}" srcOrd="0" destOrd="0" presId="urn:microsoft.com/office/officeart/2005/8/layout/default"/>
    <dgm:cxn modelId="{C8398724-03FB-440F-A7E7-15A5D5060F10}" type="presParOf" srcId="{C7CC5542-781C-47FA-A653-B8222CC87599}" destId="{C5E0BE2A-D246-4788-BAA0-DE39F3824F1C}" srcOrd="1" destOrd="0" presId="urn:microsoft.com/office/officeart/2005/8/layout/default"/>
    <dgm:cxn modelId="{68FB5B8F-E95D-41AB-9449-AEC4CE568688}" type="presParOf" srcId="{C7CC5542-781C-47FA-A653-B8222CC87599}" destId="{AAE8E469-EA1E-4821-A8E2-B1E126499B14}" srcOrd="2" destOrd="0" presId="urn:microsoft.com/office/officeart/2005/8/layout/default"/>
    <dgm:cxn modelId="{BE980AF8-8F5E-47ED-B742-828EAC86EF8C}" type="presParOf" srcId="{C7CC5542-781C-47FA-A653-B8222CC87599}" destId="{8A502D7B-6030-4F1E-B66D-73F8323E29A7}" srcOrd="3" destOrd="0" presId="urn:microsoft.com/office/officeart/2005/8/layout/default"/>
    <dgm:cxn modelId="{94A6443E-3AB2-491D-AC6D-90259BD74A3C}" type="presParOf" srcId="{C7CC5542-781C-47FA-A653-B8222CC87599}" destId="{78924720-AD04-484A-94F7-DB139BF59377}" srcOrd="4" destOrd="0" presId="urn:microsoft.com/office/officeart/2005/8/layout/default"/>
    <dgm:cxn modelId="{01356D97-192E-4F48-94FA-7C3786C494C4}" type="presParOf" srcId="{C7CC5542-781C-47FA-A653-B8222CC87599}" destId="{4C6AD98D-7190-43B2-911E-30C3D96CF425}" srcOrd="5" destOrd="0" presId="urn:microsoft.com/office/officeart/2005/8/layout/default"/>
    <dgm:cxn modelId="{C67DAC70-C145-41FE-B685-84CA0447CA4A}" type="presParOf" srcId="{C7CC5542-781C-47FA-A653-B8222CC87599}" destId="{C7BA0E10-4DD4-4D88-81FB-ED630AC90F99}" srcOrd="6" destOrd="0" presId="urn:microsoft.com/office/officeart/2005/8/layout/default"/>
    <dgm:cxn modelId="{5FF3800F-C7FD-4345-B046-3171F1EEAAF8}" type="presParOf" srcId="{C7CC5542-781C-47FA-A653-B8222CC87599}" destId="{C8454548-DAC8-46DE-B619-08D62397A9FD}" srcOrd="7" destOrd="0" presId="urn:microsoft.com/office/officeart/2005/8/layout/default"/>
    <dgm:cxn modelId="{67E64CCC-E0E6-4538-8137-085BC6ACAF75}" type="presParOf" srcId="{C7CC5542-781C-47FA-A653-B8222CC87599}" destId="{25A6B5A5-AE8B-44DD-BBA4-71EF464B3BF4}" srcOrd="8" destOrd="0" presId="urn:microsoft.com/office/officeart/2005/8/layout/default"/>
    <dgm:cxn modelId="{B5220270-D1C8-47CA-B767-B1DE67B1B973}" type="presParOf" srcId="{C7CC5542-781C-47FA-A653-B8222CC87599}" destId="{D9B1157B-848E-425B-9799-2D1D23897EB5}" srcOrd="9" destOrd="0" presId="urn:microsoft.com/office/officeart/2005/8/layout/default"/>
    <dgm:cxn modelId="{C6C95448-A709-4E52-A8B6-91010E59AAC0}" type="presParOf" srcId="{C7CC5542-781C-47FA-A653-B8222CC87599}" destId="{E6771BF2-2CC2-4750-8F1F-7B0A51EA3363}" srcOrd="10"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348F26-E4DE-4B5A-8C98-9561D1768C83}">
      <dsp:nvSpPr>
        <dsp:cNvPr id="0" name=""/>
        <dsp:cNvSpPr/>
      </dsp:nvSpPr>
      <dsp:spPr>
        <a:xfrm>
          <a:off x="0" y="704105"/>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AU" sz="1000" b="1" kern="1200">
            <a:solidFill>
              <a:schemeClr val="tx2"/>
            </a:solidFill>
          </a:endParaRPr>
        </a:p>
        <a:p>
          <a:pPr marL="108000" lvl="0" algn="l" defTabSz="444500">
            <a:lnSpc>
              <a:spcPct val="100000"/>
            </a:lnSpc>
            <a:spcBef>
              <a:spcPct val="0"/>
            </a:spcBef>
            <a:spcAft>
              <a:spcPts val="800"/>
            </a:spcAft>
          </a:pPr>
          <a:r>
            <a:rPr lang="en-AU" sz="1000" b="1" kern="1200">
              <a:solidFill>
                <a:schemeClr val="tx2"/>
              </a:solidFill>
            </a:rPr>
            <a:t>Classroom-based teaching</a:t>
          </a:r>
        </a:p>
        <a:p>
          <a:pPr marL="108000" lvl="0" algn="l" defTabSz="444500">
            <a:lnSpc>
              <a:spcPct val="100000"/>
            </a:lnSpc>
            <a:spcBef>
              <a:spcPct val="0"/>
            </a:spcBef>
            <a:spcAft>
              <a:spcPts val="800"/>
            </a:spcAft>
          </a:pPr>
          <a:r>
            <a:rPr lang="en-AU" sz="1000" b="0" kern="1200">
              <a:solidFill>
                <a:sysClr val="windowText" lastClr="000000"/>
              </a:solidFill>
            </a:rPr>
            <a:t>Observation of practice and feedback</a:t>
          </a:r>
        </a:p>
        <a:p>
          <a:pPr marL="108000" lvl="0" algn="l" defTabSz="444500">
            <a:lnSpc>
              <a:spcPct val="100000"/>
            </a:lnSpc>
            <a:spcBef>
              <a:spcPct val="0"/>
            </a:spcBef>
            <a:spcAft>
              <a:spcPts val="800"/>
            </a:spcAft>
          </a:pPr>
          <a:r>
            <a:rPr lang="en-AU" sz="1000" b="0" kern="1200">
              <a:solidFill>
                <a:sysClr val="windowText" lastClr="000000"/>
              </a:solidFill>
            </a:rPr>
            <a:t>Coaching and mentoring</a:t>
          </a:r>
        </a:p>
        <a:p>
          <a:pPr lvl="0" defTabSz="444500">
            <a:lnSpc>
              <a:spcPct val="90000"/>
            </a:lnSpc>
            <a:spcBef>
              <a:spcPct val="0"/>
            </a:spcBef>
            <a:spcAft>
              <a:spcPct val="35000"/>
            </a:spcAft>
          </a:pPr>
          <a:endParaRPr lang="en-AU" sz="1000" b="0" kern="1200">
            <a:solidFill>
              <a:sysClr val="windowText" lastClr="000000"/>
            </a:solidFill>
          </a:endParaRPr>
        </a:p>
        <a:p>
          <a:pPr lvl="0" algn="ctr" defTabSz="444500">
            <a:lnSpc>
              <a:spcPct val="90000"/>
            </a:lnSpc>
            <a:spcBef>
              <a:spcPct val="0"/>
            </a:spcBef>
            <a:spcAft>
              <a:spcPct val="35000"/>
            </a:spcAft>
          </a:pPr>
          <a:endParaRPr lang="en-AU" sz="1000" b="1" kern="1200">
            <a:solidFill>
              <a:schemeClr val="tx2"/>
            </a:solidFill>
          </a:endParaRPr>
        </a:p>
      </dsp:txBody>
      <dsp:txXfrm>
        <a:off x="0" y="704105"/>
        <a:ext cx="2074664" cy="1244798"/>
      </dsp:txXfrm>
    </dsp:sp>
    <dsp:sp modelId="{AAE8E469-EA1E-4821-A8E2-B1E126499B14}">
      <dsp:nvSpPr>
        <dsp:cNvPr id="0" name=""/>
        <dsp:cNvSpPr/>
      </dsp:nvSpPr>
      <dsp:spPr>
        <a:xfrm>
          <a:off x="2282130" y="704105"/>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solidFill>
                <a:schemeClr val="tx2"/>
              </a:solidFill>
            </a:rPr>
            <a:t/>
          </a:r>
          <a:br>
            <a:rPr lang="en-AU" sz="1000" b="1" kern="1200">
              <a:solidFill>
                <a:schemeClr val="tx2"/>
              </a:solidFill>
            </a:rPr>
          </a:br>
          <a:r>
            <a:rPr lang="en-AU" sz="1000" b="1" kern="1200">
              <a:solidFill>
                <a:schemeClr val="tx2"/>
              </a:solidFill>
            </a:rPr>
            <a:t>Research</a:t>
          </a:r>
        </a:p>
        <a:p>
          <a:pPr marL="144000" lvl="0" algn="l" defTabSz="444500">
            <a:lnSpc>
              <a:spcPct val="100000"/>
            </a:lnSpc>
            <a:spcBef>
              <a:spcPct val="0"/>
            </a:spcBef>
            <a:spcAft>
              <a:spcPts val="800"/>
            </a:spcAft>
          </a:pPr>
          <a:r>
            <a:rPr lang="en-AU" sz="1000" kern="1200">
              <a:solidFill>
                <a:sysClr val="windowText" lastClr="000000"/>
              </a:solidFill>
            </a:rPr>
            <a:t>Professional reading </a:t>
          </a:r>
        </a:p>
        <a:p>
          <a:pPr marL="144000" lvl="0" algn="l" defTabSz="444500">
            <a:lnSpc>
              <a:spcPct val="100000"/>
            </a:lnSpc>
            <a:spcBef>
              <a:spcPct val="0"/>
            </a:spcBef>
            <a:spcAft>
              <a:spcPts val="800"/>
            </a:spcAft>
          </a:pPr>
          <a:r>
            <a:rPr lang="en-AU" sz="1000" kern="1200">
              <a:solidFill>
                <a:sysClr val="windowText" lastClr="000000"/>
              </a:solidFill>
            </a:rPr>
            <a:t>Inquiry/action research</a:t>
          </a:r>
        </a:p>
        <a:p>
          <a:pPr lvl="0" algn="l" defTabSz="444500">
            <a:lnSpc>
              <a:spcPct val="90000"/>
            </a:lnSpc>
            <a:spcBef>
              <a:spcPct val="0"/>
            </a:spcBef>
            <a:spcAft>
              <a:spcPct val="35000"/>
            </a:spcAft>
          </a:pPr>
          <a:endParaRPr lang="en-AU" sz="1000" kern="1200">
            <a:solidFill>
              <a:sysClr val="windowText" lastClr="000000"/>
            </a:solidFill>
          </a:endParaRPr>
        </a:p>
        <a:p>
          <a:pPr lvl="0" algn="l" defTabSz="444500">
            <a:lnSpc>
              <a:spcPct val="90000"/>
            </a:lnSpc>
            <a:spcBef>
              <a:spcPct val="0"/>
            </a:spcBef>
            <a:spcAft>
              <a:spcPct val="35000"/>
            </a:spcAft>
          </a:pPr>
          <a:endParaRPr lang="en-AU" sz="1000" kern="1200">
            <a:solidFill>
              <a:sysClr val="windowText" lastClr="000000"/>
            </a:solidFill>
          </a:endParaRPr>
        </a:p>
        <a:p>
          <a:pPr lvl="0" algn="l" defTabSz="444500">
            <a:lnSpc>
              <a:spcPct val="90000"/>
            </a:lnSpc>
            <a:spcBef>
              <a:spcPct val="0"/>
            </a:spcBef>
            <a:spcAft>
              <a:spcPct val="35000"/>
            </a:spcAft>
          </a:pPr>
          <a:endParaRPr lang="en-AU" sz="1000" kern="1200"/>
        </a:p>
      </dsp:txBody>
      <dsp:txXfrm>
        <a:off x="2282130" y="704105"/>
        <a:ext cx="2074664" cy="1244798"/>
      </dsp:txXfrm>
    </dsp:sp>
    <dsp:sp modelId="{78924720-AD04-484A-94F7-DB139BF59377}">
      <dsp:nvSpPr>
        <dsp:cNvPr id="0" name=""/>
        <dsp:cNvSpPr/>
      </dsp:nvSpPr>
      <dsp:spPr>
        <a:xfrm>
          <a:off x="4564260" y="704105"/>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solidFill>
                <a:schemeClr val="tx2"/>
              </a:solidFill>
            </a:rPr>
            <a:t>Communities of practice</a:t>
          </a:r>
        </a:p>
        <a:p>
          <a:pPr marL="108000" lvl="0" algn="l" defTabSz="444500">
            <a:lnSpc>
              <a:spcPct val="90000"/>
            </a:lnSpc>
            <a:spcBef>
              <a:spcPct val="0"/>
            </a:spcBef>
            <a:spcAft>
              <a:spcPts val="800"/>
            </a:spcAft>
          </a:pPr>
          <a:r>
            <a:rPr lang="en-AU" sz="1000" b="0" kern="1200">
              <a:solidFill>
                <a:sysClr val="windowText" lastClr="000000"/>
              </a:solidFill>
            </a:rPr>
            <a:t>Professional Learning Communities</a:t>
          </a:r>
          <a:endParaRPr lang="en-AU" sz="1000" kern="1200">
            <a:solidFill>
              <a:sysClr val="windowText" lastClr="000000"/>
            </a:solidFill>
          </a:endParaRPr>
        </a:p>
        <a:p>
          <a:pPr marL="108000" lvl="0" algn="l" defTabSz="444500">
            <a:lnSpc>
              <a:spcPct val="90000"/>
            </a:lnSpc>
            <a:spcBef>
              <a:spcPct val="0"/>
            </a:spcBef>
            <a:spcAft>
              <a:spcPts val="800"/>
            </a:spcAft>
          </a:pPr>
          <a:r>
            <a:rPr lang="en-AU" sz="1000" kern="1200">
              <a:solidFill>
                <a:sysClr val="windowText" lastClr="000000"/>
              </a:solidFill>
            </a:rPr>
            <a:t>Networks</a:t>
          </a:r>
        </a:p>
        <a:p>
          <a:pPr marL="108000" lvl="0" algn="l" defTabSz="444500">
            <a:lnSpc>
              <a:spcPct val="90000"/>
            </a:lnSpc>
            <a:spcBef>
              <a:spcPct val="0"/>
            </a:spcBef>
            <a:spcAft>
              <a:spcPts val="800"/>
            </a:spcAft>
          </a:pPr>
          <a:r>
            <a:rPr lang="en-AU" sz="1000" kern="1200">
              <a:solidFill>
                <a:sysClr val="windowText" lastClr="000000"/>
              </a:solidFill>
            </a:rPr>
            <a:t>Collboration based on student work samples</a:t>
          </a:r>
        </a:p>
      </dsp:txBody>
      <dsp:txXfrm>
        <a:off x="4564260" y="704105"/>
        <a:ext cx="2074664" cy="1244798"/>
      </dsp:txXfrm>
    </dsp:sp>
    <dsp:sp modelId="{C7BA0E10-4DD4-4D88-81FB-ED630AC90F99}">
      <dsp:nvSpPr>
        <dsp:cNvPr id="0" name=""/>
        <dsp:cNvSpPr/>
      </dsp:nvSpPr>
      <dsp:spPr>
        <a:xfrm>
          <a:off x="0" y="2156370"/>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solidFill>
                <a:schemeClr val="tx2"/>
              </a:solidFill>
            </a:rPr>
            <a:t/>
          </a:r>
          <a:br>
            <a:rPr lang="en-AU" sz="1000" b="1" kern="1200">
              <a:solidFill>
                <a:schemeClr val="tx2"/>
              </a:solidFill>
            </a:rPr>
          </a:br>
          <a:r>
            <a:rPr lang="en-AU" sz="1000" b="1" kern="1200">
              <a:solidFill>
                <a:schemeClr val="tx2"/>
              </a:solidFill>
            </a:rPr>
            <a:t/>
          </a:r>
          <a:br>
            <a:rPr lang="en-AU" sz="1000" b="1" kern="1200">
              <a:solidFill>
                <a:schemeClr val="tx2"/>
              </a:solidFill>
            </a:rPr>
          </a:br>
          <a:r>
            <a:rPr lang="en-AU" sz="1000" b="1" kern="1200">
              <a:solidFill>
                <a:schemeClr val="tx2"/>
              </a:solidFill>
            </a:rPr>
            <a:t>Face-to-face learning </a:t>
          </a:r>
          <a:br>
            <a:rPr lang="en-AU" sz="1000" b="1" kern="1200">
              <a:solidFill>
                <a:schemeClr val="tx2"/>
              </a:solidFill>
            </a:rPr>
          </a:br>
          <a:endParaRPr lang="en-AU" sz="1000" b="1" kern="1200">
            <a:solidFill>
              <a:schemeClr val="tx2"/>
            </a:solidFill>
          </a:endParaRPr>
        </a:p>
        <a:p>
          <a:pPr marL="108000" lvl="0" algn="l" defTabSz="444500">
            <a:lnSpc>
              <a:spcPct val="90000"/>
            </a:lnSpc>
            <a:spcBef>
              <a:spcPct val="0"/>
            </a:spcBef>
            <a:spcAft>
              <a:spcPts val="800"/>
            </a:spcAft>
          </a:pPr>
          <a:r>
            <a:rPr lang="en-AU" sz="1000" kern="1200">
              <a:solidFill>
                <a:sysClr val="windowText" lastClr="000000"/>
              </a:solidFill>
            </a:rPr>
            <a:t>Conferences </a:t>
          </a:r>
        </a:p>
        <a:p>
          <a:pPr marL="108000" lvl="0" algn="l" defTabSz="444500">
            <a:lnSpc>
              <a:spcPct val="90000"/>
            </a:lnSpc>
            <a:spcBef>
              <a:spcPct val="0"/>
            </a:spcBef>
            <a:spcAft>
              <a:spcPts val="800"/>
            </a:spcAft>
          </a:pPr>
          <a:r>
            <a:rPr lang="en-AU" sz="1000" kern="1200">
              <a:solidFill>
                <a:sysClr val="windowText" lastClr="000000"/>
              </a:solidFill>
            </a:rPr>
            <a:t>School-based learning events</a:t>
          </a:r>
        </a:p>
        <a:p>
          <a:pPr marL="108000" lvl="0" algn="l" defTabSz="444500">
            <a:lnSpc>
              <a:spcPct val="90000"/>
            </a:lnSpc>
            <a:spcBef>
              <a:spcPct val="0"/>
            </a:spcBef>
            <a:spcAft>
              <a:spcPts val="800"/>
            </a:spcAft>
          </a:pPr>
          <a:r>
            <a:rPr lang="en-AU" sz="1000" kern="1200">
              <a:solidFill>
                <a:sysClr val="windowText" lastClr="000000"/>
              </a:solidFill>
            </a:rPr>
            <a:t>Training courses and workshops</a:t>
          </a:r>
        </a:p>
        <a:p>
          <a:pPr lvl="0" algn="l" defTabSz="444500">
            <a:lnSpc>
              <a:spcPct val="90000"/>
            </a:lnSpc>
            <a:spcBef>
              <a:spcPct val="0"/>
            </a:spcBef>
            <a:spcAft>
              <a:spcPct val="35000"/>
            </a:spcAft>
          </a:pPr>
          <a:endParaRPr lang="en-AU" sz="1000" kern="1200">
            <a:solidFill>
              <a:sysClr val="windowText" lastClr="000000"/>
            </a:solidFill>
          </a:endParaRPr>
        </a:p>
        <a:p>
          <a:pPr lvl="0" algn="l" defTabSz="444500">
            <a:lnSpc>
              <a:spcPct val="90000"/>
            </a:lnSpc>
            <a:spcBef>
              <a:spcPct val="0"/>
            </a:spcBef>
            <a:spcAft>
              <a:spcPct val="35000"/>
            </a:spcAft>
          </a:pPr>
          <a:endParaRPr lang="en-AU" sz="1000" kern="1200">
            <a:solidFill>
              <a:sysClr val="windowText" lastClr="000000"/>
            </a:solidFill>
          </a:endParaRPr>
        </a:p>
      </dsp:txBody>
      <dsp:txXfrm>
        <a:off x="0" y="2156370"/>
        <a:ext cx="2074664" cy="1244798"/>
      </dsp:txXfrm>
    </dsp:sp>
    <dsp:sp modelId="{25A6B5A5-AE8B-44DD-BBA4-71EF464B3BF4}">
      <dsp:nvSpPr>
        <dsp:cNvPr id="0" name=""/>
        <dsp:cNvSpPr/>
      </dsp:nvSpPr>
      <dsp:spPr>
        <a:xfrm>
          <a:off x="2282130" y="2156370"/>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b="1" kern="1200">
              <a:solidFill>
                <a:schemeClr val="tx2"/>
              </a:solidFill>
            </a:rPr>
            <a:t/>
          </a:r>
          <a:br>
            <a:rPr lang="en-AU" sz="1000" b="1" kern="1200">
              <a:solidFill>
                <a:schemeClr val="tx2"/>
              </a:solidFill>
            </a:rPr>
          </a:br>
          <a:r>
            <a:rPr lang="en-AU" sz="1000" b="1" kern="1200">
              <a:solidFill>
                <a:schemeClr val="tx2"/>
              </a:solidFill>
            </a:rPr>
            <a:t/>
          </a:r>
          <a:br>
            <a:rPr lang="en-AU" sz="1000" b="1" kern="1200">
              <a:solidFill>
                <a:schemeClr val="tx2"/>
              </a:solidFill>
            </a:rPr>
          </a:br>
          <a:r>
            <a:rPr lang="en-AU" sz="1000" b="1" kern="1200">
              <a:solidFill>
                <a:schemeClr val="tx2"/>
              </a:solidFill>
            </a:rPr>
            <a:t>Online Learning</a:t>
          </a:r>
          <a:br>
            <a:rPr lang="en-AU" sz="1000" b="1" kern="1200">
              <a:solidFill>
                <a:schemeClr val="tx2"/>
              </a:solidFill>
            </a:rPr>
          </a:br>
          <a:endParaRPr lang="en-AU" sz="1000" b="1" kern="1200">
            <a:solidFill>
              <a:schemeClr val="tx2"/>
            </a:solidFill>
          </a:endParaRPr>
        </a:p>
        <a:p>
          <a:pPr marL="108000" lvl="0" algn="l" defTabSz="444500">
            <a:lnSpc>
              <a:spcPct val="90000"/>
            </a:lnSpc>
            <a:spcBef>
              <a:spcPct val="0"/>
            </a:spcBef>
            <a:spcAft>
              <a:spcPts val="800"/>
            </a:spcAft>
          </a:pPr>
          <a:r>
            <a:rPr lang="en-AU" sz="1000" kern="1200">
              <a:solidFill>
                <a:sysClr val="windowText" lastClr="000000"/>
              </a:solidFill>
            </a:rPr>
            <a:t>Modules and courses</a:t>
          </a:r>
        </a:p>
        <a:p>
          <a:pPr marL="108000" lvl="0" algn="l" defTabSz="444500">
            <a:lnSpc>
              <a:spcPct val="90000"/>
            </a:lnSpc>
            <a:spcBef>
              <a:spcPct val="0"/>
            </a:spcBef>
            <a:spcAft>
              <a:spcPts val="800"/>
            </a:spcAft>
          </a:pPr>
          <a:r>
            <a:rPr lang="en-AU" sz="1000" kern="1200">
              <a:solidFill>
                <a:sysClr val="windowText" lastClr="000000"/>
              </a:solidFill>
            </a:rPr>
            <a:t>Webinars</a:t>
          </a:r>
        </a:p>
        <a:p>
          <a:pPr marL="108000" lvl="0" algn="l" defTabSz="444500">
            <a:lnSpc>
              <a:spcPct val="90000"/>
            </a:lnSpc>
            <a:spcBef>
              <a:spcPct val="0"/>
            </a:spcBef>
            <a:spcAft>
              <a:spcPts val="800"/>
            </a:spcAft>
          </a:pPr>
          <a:r>
            <a:rPr lang="en-AU" sz="1000" kern="1200">
              <a:solidFill>
                <a:sysClr val="windowText" lastClr="000000"/>
              </a:solidFill>
            </a:rPr>
            <a:t>Online forums</a:t>
          </a:r>
        </a:p>
        <a:p>
          <a:pPr lvl="0" algn="l" defTabSz="444500">
            <a:lnSpc>
              <a:spcPct val="90000"/>
            </a:lnSpc>
            <a:spcBef>
              <a:spcPct val="0"/>
            </a:spcBef>
            <a:spcAft>
              <a:spcPct val="35000"/>
            </a:spcAft>
          </a:pPr>
          <a:endParaRPr lang="en-AU" sz="1000" kern="1200">
            <a:solidFill>
              <a:sysClr val="windowText" lastClr="000000"/>
            </a:solidFill>
          </a:endParaRPr>
        </a:p>
        <a:p>
          <a:pPr lvl="0" algn="l" defTabSz="444500">
            <a:lnSpc>
              <a:spcPct val="90000"/>
            </a:lnSpc>
            <a:spcBef>
              <a:spcPct val="0"/>
            </a:spcBef>
            <a:spcAft>
              <a:spcPct val="35000"/>
            </a:spcAft>
          </a:pPr>
          <a:endParaRPr lang="en-AU" sz="1000" kern="1200">
            <a:solidFill>
              <a:sysClr val="windowText" lastClr="000000"/>
            </a:solidFill>
          </a:endParaRPr>
        </a:p>
      </dsp:txBody>
      <dsp:txXfrm>
        <a:off x="2282130" y="2156370"/>
        <a:ext cx="2074664" cy="1244798"/>
      </dsp:txXfrm>
    </dsp:sp>
    <dsp:sp modelId="{E6771BF2-2CC2-4750-8F1F-7B0A51EA3363}">
      <dsp:nvSpPr>
        <dsp:cNvPr id="0" name=""/>
        <dsp:cNvSpPr/>
      </dsp:nvSpPr>
      <dsp:spPr>
        <a:xfrm>
          <a:off x="4564260" y="2156370"/>
          <a:ext cx="2074664" cy="124479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AU" sz="1000" b="1" kern="1200">
            <a:solidFill>
              <a:schemeClr val="tx2"/>
            </a:solidFill>
          </a:endParaRPr>
        </a:p>
        <a:p>
          <a:pPr lvl="0" algn="ctr" defTabSz="444500">
            <a:lnSpc>
              <a:spcPct val="90000"/>
            </a:lnSpc>
            <a:spcBef>
              <a:spcPct val="0"/>
            </a:spcBef>
            <a:spcAft>
              <a:spcPct val="35000"/>
            </a:spcAft>
          </a:pPr>
          <a:r>
            <a:rPr lang="en-AU" sz="1000" b="1" kern="1200">
              <a:solidFill>
                <a:schemeClr val="tx2"/>
              </a:solidFill>
            </a:rPr>
            <a:t/>
          </a:r>
          <a:br>
            <a:rPr lang="en-AU" sz="1000" b="1" kern="1200">
              <a:solidFill>
                <a:schemeClr val="tx2"/>
              </a:solidFill>
            </a:rPr>
          </a:br>
          <a:r>
            <a:rPr lang="en-AU" sz="1000" b="1" kern="1200">
              <a:solidFill>
                <a:schemeClr val="tx2"/>
              </a:solidFill>
            </a:rPr>
            <a:t>Others</a:t>
          </a:r>
          <a:br>
            <a:rPr lang="en-AU" sz="1000" b="1" kern="1200">
              <a:solidFill>
                <a:schemeClr val="tx2"/>
              </a:solidFill>
            </a:rPr>
          </a:br>
          <a:endParaRPr lang="en-AU" sz="500" b="1" kern="1200">
            <a:solidFill>
              <a:schemeClr val="tx2"/>
            </a:solidFill>
          </a:endParaRPr>
        </a:p>
        <a:p>
          <a:pPr marL="108000" lvl="0" algn="l" defTabSz="444500">
            <a:lnSpc>
              <a:spcPct val="100000"/>
            </a:lnSpc>
            <a:spcBef>
              <a:spcPct val="0"/>
            </a:spcBef>
            <a:spcAft>
              <a:spcPts val="800"/>
            </a:spcAft>
          </a:pPr>
          <a:r>
            <a:rPr lang="en-AU" sz="1000" kern="1200">
              <a:solidFill>
                <a:sysClr val="windowText" lastClr="000000"/>
              </a:solidFill>
            </a:rPr>
            <a:t>Learning Journeys</a:t>
          </a:r>
        </a:p>
        <a:p>
          <a:pPr marL="108000" lvl="0" algn="l" defTabSz="444500">
            <a:lnSpc>
              <a:spcPct val="100000"/>
            </a:lnSpc>
            <a:spcBef>
              <a:spcPct val="0"/>
            </a:spcBef>
            <a:spcAft>
              <a:spcPts val="800"/>
            </a:spcAft>
          </a:pPr>
          <a:r>
            <a:rPr lang="en-AU" sz="1000" b="0" kern="1200">
              <a:solidFill>
                <a:sysClr val="windowText" lastClr="000000"/>
              </a:solidFill>
            </a:rPr>
            <a:t>Ad-hoc professional conversations</a:t>
          </a:r>
        </a:p>
        <a:p>
          <a:pPr lvl="0" algn="l" defTabSz="444500">
            <a:lnSpc>
              <a:spcPct val="90000"/>
            </a:lnSpc>
            <a:spcBef>
              <a:spcPct val="0"/>
            </a:spcBef>
            <a:spcAft>
              <a:spcPct val="35000"/>
            </a:spcAft>
          </a:pPr>
          <a:endParaRPr lang="en-AU" sz="1000" b="0" kern="1200">
            <a:solidFill>
              <a:sysClr val="windowText" lastClr="000000"/>
            </a:solidFill>
          </a:endParaRPr>
        </a:p>
        <a:p>
          <a:pPr lvl="0" algn="l" defTabSz="444500">
            <a:lnSpc>
              <a:spcPct val="90000"/>
            </a:lnSpc>
            <a:spcBef>
              <a:spcPct val="0"/>
            </a:spcBef>
            <a:spcAft>
              <a:spcPct val="35000"/>
            </a:spcAft>
          </a:pPr>
          <a:endParaRPr lang="en-AU" sz="1000" b="0" kern="1200">
            <a:solidFill>
              <a:sysClr val="windowText" lastClr="000000"/>
            </a:solidFill>
          </a:endParaRPr>
        </a:p>
        <a:p>
          <a:pPr lvl="0" algn="l" defTabSz="444500">
            <a:lnSpc>
              <a:spcPct val="90000"/>
            </a:lnSpc>
            <a:spcBef>
              <a:spcPct val="0"/>
            </a:spcBef>
            <a:spcAft>
              <a:spcPct val="35000"/>
            </a:spcAft>
          </a:pPr>
          <a:endParaRPr lang="en-AU" sz="1000" kern="1200"/>
        </a:p>
      </dsp:txBody>
      <dsp:txXfrm>
        <a:off x="4564260" y="2156370"/>
        <a:ext cx="2074664" cy="124479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IT-THEME">
  <a:themeElements>
    <a:clrScheme name="AITSL theme">
      <a:dk1>
        <a:srgbClr val="54585A"/>
      </a:dk1>
      <a:lt1>
        <a:sysClr val="window" lastClr="FFFFFF"/>
      </a:lt1>
      <a:dk2>
        <a:srgbClr val="007377"/>
      </a:dk2>
      <a:lt2>
        <a:srgbClr val="EAE9EA"/>
      </a:lt2>
      <a:accent1>
        <a:srgbClr val="C4CD22"/>
      </a:accent1>
      <a:accent2>
        <a:srgbClr val="F1F2D2"/>
      </a:accent2>
      <a:accent3>
        <a:srgbClr val="E3E5A0"/>
      </a:accent3>
      <a:accent4>
        <a:srgbClr val="CAD6D8"/>
      </a:accent4>
      <a:accent5>
        <a:srgbClr val="93B0B3"/>
      </a:accent5>
      <a:accent6>
        <a:srgbClr val="5B9094"/>
      </a:accent6>
      <a:hlink>
        <a:srgbClr val="C4CD22"/>
      </a:hlink>
      <a:folHlink>
        <a:srgbClr val="A19F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AD20C-B9BC-4F3D-BE33-F36A84947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14</Pages>
  <Words>2461</Words>
  <Characters>14032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AITSL</Company>
  <LinksUpToDate>false</LinksUpToDate>
  <CharactersWithSpaces>16461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Caleo</dc:creator>
  <cp:keywords>v1.5</cp:keywords>
  <cp:lastModifiedBy>Justin Caleo</cp:lastModifiedBy>
  <cp:revision>187</cp:revision>
  <cp:lastPrinted>2019-04-23T01:28:00Z</cp:lastPrinted>
  <dcterms:created xsi:type="dcterms:W3CDTF">2019-03-19T03:15:00Z</dcterms:created>
  <dcterms:modified xsi:type="dcterms:W3CDTF">2019-05-10T03:02:00Z</dcterms:modified>
</cp:coreProperties>
</file>