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before="145"/>
        <w:ind w:left="1133" w:right="0" w:firstLine="0"/>
        <w:jc w:val="left"/>
        <w:rPr>
          <w:rFonts w:ascii="Swis721 Lt BT" w:hAnsi="Swis721 Lt BT" w:cs="Swis721 Lt BT" w:eastAsia="Swis721 Lt BT"/>
          <w:sz w:val="60"/>
          <w:szCs w:val="60"/>
        </w:rPr>
      </w:pPr>
      <w:r>
        <w:rPr/>
        <w:pict>
          <v:group style="position:absolute;margin-left:0pt;margin-top:-552.628784pt;width:498.9pt;height:467.15pt;mso-position-horizontal-relative:page;mso-position-vertical-relative:paragraph;z-index:0" coordorigin="0,-11053" coordsize="9978,9343">
            <v:shape style="position:absolute;left:0;top:-11053;width:9978;height:7460" type="#_x0000_t75" stroked="false">
              <v:imagedata r:id="rId5" o:title=""/>
            </v:shape>
            <v:group style="position:absolute;left:0;top:-3592;width:6653;height:1882" coordorigin="0,-3592" coordsize="6653,1882">
              <v:shape style="position:absolute;left:0;top:-3592;width:6653;height:1882" coordorigin="0,-3592" coordsize="6653,1882" path="m6653,-3592l0,-3592,0,-1711,6653,-3592xe" filled="true" fillcolor="#00757a" stroked="false">
                <v:path arrowok="t"/>
                <v:fill type="solid"/>
              </v:shape>
            </v:group>
            <v:group style="position:absolute;left:6653;top:-4533;width:3326;height:941" coordorigin="6653,-4533" coordsize="3326,941">
              <v:shape style="position:absolute;left:6653;top:-4533;width:3326;height:941" coordorigin="6653,-4533" coordsize="3326,941" path="m9978,-4533l6653,-3592,9978,-3592,9978,-4533e" filled="true" fillcolor="#bfd22b" stroked="false">
                <v:path arrowok="t"/>
                <v:fill type="solid"/>
              </v:shape>
              <v:shape style="position:absolute;left:7587;top:-2908;width:371;height:494" type="#_x0000_t75" stroked="false">
                <v:imagedata r:id="rId6" o:title=""/>
              </v:shape>
              <v:shape style="position:absolute;left:7993;top:-3184;width:202;height:763" type="#_x0000_t75" stroked="false">
                <v:imagedata r:id="rId7" o:title=""/>
              </v:shape>
              <v:shape style="position:absolute;left:7163;top:-3110;width:113;height:114" type="#_x0000_t75" stroked="false">
                <v:imagedata r:id="rId8" o:title=""/>
              </v:shape>
              <v:shape style="position:absolute;left:6653;top:-3102;width:938;height:688" type="#_x0000_t75" stroked="false">
                <v:imagedata r:id="rId9" o:title=""/>
              </v:shape>
              <v:shape style="position:absolute;left:8255;top:-2981;width:1061;height:562" type="#_x0000_t75" stroked="false">
                <v:imagedata r:id="rId10" o:title=""/>
              </v:shape>
            </v:group>
            <w10:wrap type="none"/>
          </v:group>
        </w:pict>
      </w:r>
      <w:r>
        <w:rPr>
          <w:rFonts w:ascii="Swis721 Hv BT" w:hAnsi="Swis721 Hv BT" w:cs="Swis721 Hv BT" w:eastAsia="Swis721 Hv BT"/>
          <w:b/>
          <w:bCs/>
          <w:color w:val="00757A"/>
          <w:sz w:val="60"/>
          <w:szCs w:val="60"/>
        </w:rPr>
        <w:t>Annual</w:t>
      </w:r>
      <w:r>
        <w:rPr>
          <w:rFonts w:ascii="Swis721 Hv BT" w:hAnsi="Swis721 Hv BT" w:cs="Swis721 Hv BT" w:eastAsia="Swis721 Hv BT"/>
          <w:b/>
          <w:bCs/>
          <w:color w:val="00757A"/>
          <w:spacing w:val="-11"/>
          <w:sz w:val="60"/>
          <w:szCs w:val="60"/>
        </w:rPr>
        <w:t> </w:t>
      </w:r>
      <w:r>
        <w:rPr>
          <w:rFonts w:ascii="Swis721 Hv BT" w:hAnsi="Swis721 Hv BT" w:cs="Swis721 Hv BT" w:eastAsia="Swis721 Hv BT"/>
          <w:b/>
          <w:bCs/>
          <w:color w:val="00757A"/>
          <w:sz w:val="60"/>
          <w:szCs w:val="60"/>
        </w:rPr>
        <w:t>Report</w:t>
      </w:r>
      <w:r>
        <w:rPr>
          <w:rFonts w:ascii="Swis721 Hv BT" w:hAnsi="Swis721 Hv BT" w:cs="Swis721 Hv BT" w:eastAsia="Swis721 Hv BT"/>
          <w:b/>
          <w:bCs/>
          <w:color w:val="00757A"/>
          <w:spacing w:val="-10"/>
          <w:sz w:val="60"/>
          <w:szCs w:val="60"/>
        </w:rPr>
        <w:t> </w:t>
      </w:r>
      <w:r>
        <w:rPr>
          <w:rFonts w:ascii="Swis721 Lt BT" w:hAnsi="Swis721 Lt BT" w:cs="Swis721 Lt BT" w:eastAsia="Swis721 Lt BT"/>
          <w:color w:val="00757A"/>
          <w:sz w:val="60"/>
          <w:szCs w:val="60"/>
        </w:rPr>
        <w:t>2018–19</w:t>
      </w:r>
      <w:r>
        <w:rPr>
          <w:rFonts w:ascii="Swis721 Lt BT" w:hAnsi="Swis721 Lt BT" w:cs="Swis721 Lt BT" w:eastAsia="Swis721 Lt BT"/>
          <w:sz w:val="60"/>
          <w:szCs w:val="60"/>
        </w:rPr>
      </w:r>
    </w:p>
    <w:p>
      <w:pPr>
        <w:pStyle w:val="Heading9"/>
        <w:spacing w:line="240" w:lineRule="auto" w:before="109"/>
        <w:ind w:left="1133" w:right="0"/>
        <w:jc w:val="left"/>
        <w:rPr>
          <w:b w:val="0"/>
          <w:bCs w:val="0"/>
        </w:rPr>
      </w:pPr>
      <w:r>
        <w:rPr>
          <w:color w:val="005E63"/>
          <w:spacing w:val="-1"/>
        </w:rPr>
        <w:t>AUSTRALIAN</w:t>
      </w:r>
      <w:r>
        <w:rPr>
          <w:color w:val="005E63"/>
        </w:rPr>
        <w:t> INSTITUTE FOR TEACHING AND SCHOOL LEADERSHIP</w:t>
      </w:r>
      <w:r>
        <w:rPr>
          <w:b w:val="0"/>
        </w:rPr>
      </w: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pStyle w:val="BodyText"/>
        <w:spacing w:line="240" w:lineRule="auto" w:before="155"/>
        <w:ind w:left="1133" w:right="0"/>
        <w:jc w:val="left"/>
        <w:rPr>
          <w:rFonts w:ascii="Swis721 Lt BT" w:hAnsi="Swis721 Lt BT" w:cs="Swis721 Lt BT" w:eastAsia="Swis721 Lt BT"/>
        </w:rPr>
      </w:pPr>
      <w:r>
        <w:rPr>
          <w:rFonts w:ascii="Swis721 Lt BT"/>
          <w:color w:val="303B41"/>
        </w:rPr>
        <w:t>AITSL is funded by the Australian Government</w:t>
      </w:r>
      <w:r>
        <w:rPr>
          <w:rFonts w:ascii="Swis721 Lt BT"/>
        </w:rPr>
      </w:r>
    </w:p>
    <w:p>
      <w:pPr>
        <w:spacing w:after="0" w:line="240" w:lineRule="auto"/>
        <w:jc w:val="left"/>
        <w:rPr>
          <w:rFonts w:ascii="Swis721 Lt BT" w:hAnsi="Swis721 Lt BT" w:cs="Swis721 Lt BT" w:eastAsia="Swis721 Lt BT"/>
        </w:rPr>
        <w:sectPr>
          <w:type w:val="continuous"/>
          <w:pgSz w:w="9980" w:h="14180"/>
          <w:pgMar w:top="0" w:bottom="280" w:left="0" w:right="0"/>
        </w:sectPr>
      </w:pPr>
    </w:p>
    <w:p>
      <w:pPr>
        <w:spacing w:line="240" w:lineRule="auto" w:before="4"/>
        <w:rPr>
          <w:rFonts w:ascii="Swis721 Lt BT" w:hAnsi="Swis721 Lt BT" w:cs="Swis721 Lt BT" w:eastAsia="Swis721 Lt BT"/>
          <w:sz w:val="22"/>
          <w:szCs w:val="22"/>
        </w:rPr>
      </w:pPr>
    </w:p>
    <w:p>
      <w:pPr>
        <w:pStyle w:val="BodyText"/>
        <w:spacing w:line="240" w:lineRule="auto" w:before="69"/>
        <w:ind w:left="113" w:right="4062"/>
        <w:jc w:val="left"/>
        <w:rPr>
          <w:rFonts w:ascii="Swis721 Lt BT" w:hAnsi="Swis721 Lt BT" w:cs="Swis721 Lt BT" w:eastAsia="Swis721 Lt BT"/>
        </w:rPr>
      </w:pPr>
      <w:r>
        <w:rPr>
          <w:rFonts w:ascii="Swis721 Lt BT" w:hAnsi="Swis721 Lt BT"/>
          <w:color w:val="231F20"/>
        </w:rPr>
        <w:t>© The Australian Institute for </w:t>
      </w:r>
      <w:r>
        <w:rPr>
          <w:rFonts w:ascii="Swis721 Lt BT" w:hAnsi="Swis721 Lt BT"/>
          <w:color w:val="231F20"/>
          <w:spacing w:val="-26"/>
        </w:rPr>
        <w:t>T</w:t>
      </w:r>
      <w:r>
        <w:rPr>
          <w:rFonts w:ascii="Swis721 Lt BT" w:hAnsi="Swis721 Lt BT"/>
          <w:color w:val="231F20"/>
        </w:rPr>
        <w:t>eaching</w:t>
      </w:r>
      <w:r>
        <w:rPr>
          <w:rFonts w:ascii="Swis721 Lt BT" w:hAnsi="Swis721 Lt BT"/>
          <w:color w:val="231F20"/>
        </w:rPr>
        <w:t> and School Leadership (AITSL)</w:t>
      </w:r>
      <w:r>
        <w:rPr>
          <w:rFonts w:ascii="Swis721 Lt BT" w:hAnsi="Swis721 Lt BT"/>
        </w:rPr>
      </w:r>
    </w:p>
    <w:p>
      <w:pPr>
        <w:pStyle w:val="BodyText"/>
        <w:spacing w:line="240" w:lineRule="auto"/>
        <w:ind w:left="113" w:right="3903"/>
        <w:jc w:val="left"/>
        <w:rPr>
          <w:rFonts w:ascii="Swis721 Lt BT" w:hAnsi="Swis721 Lt BT" w:cs="Swis721 Lt BT" w:eastAsia="Swis721 Lt BT"/>
        </w:rPr>
      </w:pPr>
      <w:r>
        <w:rPr>
          <w:rFonts w:ascii="Swis721 Lt BT"/>
          <w:color w:val="231F20"/>
        </w:rPr>
        <w:t>This publication is subject to copyright. Except as permitted under the </w:t>
      </w:r>
      <w:r>
        <w:rPr>
          <w:rFonts w:ascii="Swis721 Lt BT"/>
          <w:i/>
          <w:color w:val="231F20"/>
        </w:rPr>
        <w:t>Copyright</w:t>
      </w:r>
      <w:r>
        <w:rPr>
          <w:rFonts w:ascii="Swis721 Lt BT"/>
          <w:i/>
          <w:color w:val="231F20"/>
        </w:rPr>
        <w:t> Act 1968</w:t>
      </w:r>
      <w:r>
        <w:rPr>
          <w:rFonts w:ascii="Swis721 Lt BT"/>
          <w:color w:val="231F20"/>
        </w:rPr>
        <w:t>, no part of the publication may be</w:t>
      </w:r>
      <w:r>
        <w:rPr>
          <w:rFonts w:ascii="Swis721 Lt BT"/>
          <w:color w:val="231F20"/>
        </w:rPr>
        <w:t> reproduced by any process without written permission. Enquiries should be addressed to the Australian Institute for </w:t>
      </w:r>
      <w:r>
        <w:rPr>
          <w:rFonts w:ascii="Swis721 Lt BT"/>
          <w:color w:val="231F20"/>
          <w:spacing w:val="-26"/>
        </w:rPr>
        <w:t>T</w:t>
      </w:r>
      <w:r>
        <w:rPr>
          <w:rFonts w:ascii="Swis721 Lt BT"/>
          <w:color w:val="231F20"/>
        </w:rPr>
        <w:t>eaching and</w:t>
      </w:r>
      <w:r>
        <w:rPr>
          <w:rFonts w:ascii="Swis721 Lt BT"/>
          <w:color w:val="231F20"/>
        </w:rPr>
        <w:t> School Leadership Limited.</w:t>
      </w:r>
      <w:r>
        <w:rPr>
          <w:rFonts w:ascii="Swis721 Lt BT"/>
        </w:rPr>
      </w:r>
    </w:p>
    <w:p>
      <w:pPr>
        <w:pStyle w:val="BodyText"/>
        <w:spacing w:line="240" w:lineRule="auto"/>
        <w:ind w:left="113" w:right="0"/>
        <w:jc w:val="left"/>
        <w:rPr>
          <w:rFonts w:ascii="Swis721 Lt BT" w:hAnsi="Swis721 Lt BT" w:cs="Swis721 Lt BT" w:eastAsia="Swis721 Lt BT"/>
        </w:rPr>
      </w:pPr>
      <w:r>
        <w:rPr>
          <w:rFonts w:ascii="Swis721 Lt BT"/>
          <w:color w:val="231F20"/>
          <w:spacing w:val="-1"/>
        </w:rPr>
        <w:t>ABN:</w:t>
      </w:r>
      <w:r>
        <w:rPr>
          <w:rFonts w:ascii="Swis721 Lt BT"/>
          <w:color w:val="231F20"/>
        </w:rPr>
        <w:t> 17 117 362 740</w:t>
      </w:r>
      <w:r>
        <w:rPr>
          <w:rFonts w:ascii="Swis721 Lt BT"/>
        </w:rPr>
      </w:r>
    </w:p>
    <w:p>
      <w:pPr>
        <w:pStyle w:val="BodyText"/>
        <w:spacing w:line="240" w:lineRule="auto"/>
        <w:ind w:left="113" w:right="0"/>
        <w:jc w:val="left"/>
        <w:rPr>
          <w:rFonts w:ascii="Swis721 Lt BT" w:hAnsi="Swis721 Lt BT" w:cs="Swis721 Lt BT" w:eastAsia="Swis721 Lt BT"/>
        </w:rPr>
      </w:pPr>
      <w:r>
        <w:rPr>
          <w:rFonts w:ascii="Swis721 Lt BT"/>
          <w:color w:val="231F20"/>
        </w:rPr>
        <w:t>Published: October 2019</w:t>
      </w:r>
      <w:r>
        <w:rPr>
          <w:rFonts w:ascii="Swis721 Lt BT"/>
        </w:rPr>
      </w:r>
    </w:p>
    <w:p>
      <w:pPr>
        <w:spacing w:line="240" w:lineRule="auto" w:before="0"/>
        <w:rPr>
          <w:rFonts w:ascii="Swis721 Lt BT" w:hAnsi="Swis721 Lt BT" w:cs="Swis721 Lt BT" w:eastAsia="Swis721 Lt BT"/>
          <w:sz w:val="18"/>
          <w:szCs w:val="18"/>
        </w:rPr>
      </w:pPr>
    </w:p>
    <w:p>
      <w:pPr>
        <w:pStyle w:val="Heading8"/>
        <w:spacing w:line="240" w:lineRule="auto"/>
        <w:ind w:left="113" w:right="0"/>
        <w:jc w:val="left"/>
        <w:rPr>
          <w:rFonts w:ascii="Swis721 Md BT" w:hAnsi="Swis721 Md BT" w:cs="Swis721 Md BT" w:eastAsia="Swis721 Md BT"/>
        </w:rPr>
      </w:pPr>
      <w:r>
        <w:rPr>
          <w:rFonts w:ascii="Swis721 Md BT"/>
          <w:color w:val="00757A"/>
        </w:rPr>
        <w:t>Melbourne</w:t>
      </w:r>
      <w:r>
        <w:rPr>
          <w:rFonts w:ascii="Swis721 Md BT"/>
          <w:color w:val="00757A"/>
          <w:spacing w:val="-5"/>
        </w:rPr>
        <w:t> </w:t>
      </w:r>
      <w:r>
        <w:rPr>
          <w:rFonts w:ascii="Swis721 Md BT"/>
          <w:color w:val="00757A"/>
        </w:rPr>
        <w:t>office</w:t>
      </w:r>
      <w:r>
        <w:rPr>
          <w:rFonts w:ascii="Swis721 Md BT"/>
        </w:rPr>
      </w:r>
    </w:p>
    <w:p>
      <w:pPr>
        <w:pStyle w:val="BodyText"/>
        <w:spacing w:line="240" w:lineRule="auto" w:before="106"/>
        <w:ind w:left="113" w:right="3903"/>
        <w:jc w:val="left"/>
        <w:rPr>
          <w:rFonts w:ascii="Swis721 Lt BT" w:hAnsi="Swis721 Lt BT" w:cs="Swis721 Lt BT" w:eastAsia="Swis721 Lt BT"/>
        </w:rPr>
      </w:pPr>
      <w:r>
        <w:rPr>
          <w:rFonts w:ascii="Swis721 Lt BT"/>
          <w:color w:val="231F20"/>
        </w:rPr>
        <w:t>Australian Institute for </w:t>
      </w:r>
      <w:r>
        <w:rPr>
          <w:rFonts w:ascii="Swis721 Lt BT"/>
          <w:color w:val="231F20"/>
          <w:spacing w:val="-26"/>
        </w:rPr>
        <w:t>T</w:t>
      </w:r>
      <w:r>
        <w:rPr>
          <w:rFonts w:ascii="Swis721 Lt BT"/>
          <w:color w:val="231F20"/>
        </w:rPr>
        <w:t>eaching and School</w:t>
      </w:r>
      <w:r>
        <w:rPr>
          <w:rFonts w:ascii="Swis721 Lt BT"/>
          <w:color w:val="231F20"/>
        </w:rPr>
        <w:t> Leadership (AITSL)</w:t>
      </w:r>
      <w:r>
        <w:rPr>
          <w:rFonts w:ascii="Swis721 Lt BT"/>
        </w:rPr>
      </w:r>
    </w:p>
    <w:p>
      <w:pPr>
        <w:pStyle w:val="BodyText"/>
        <w:spacing w:line="240" w:lineRule="auto"/>
        <w:ind w:left="113" w:right="0"/>
        <w:jc w:val="left"/>
        <w:rPr>
          <w:rFonts w:ascii="Swis721 Lt BT" w:hAnsi="Swis721 Lt BT" w:cs="Swis721 Lt BT" w:eastAsia="Swis721 Lt BT"/>
        </w:rPr>
      </w:pPr>
      <w:r>
        <w:rPr>
          <w:rFonts w:ascii="Swis721 Lt BT"/>
          <w:color w:val="231F20"/>
        </w:rPr>
        <w:t>PO Box 299</w:t>
      </w:r>
      <w:r>
        <w:rPr>
          <w:rFonts w:ascii="Swis721 Lt BT"/>
        </w:rPr>
      </w:r>
    </w:p>
    <w:p>
      <w:pPr>
        <w:pStyle w:val="BodyText"/>
        <w:spacing w:line="240" w:lineRule="auto" w:before="0"/>
        <w:ind w:left="113" w:right="4452"/>
        <w:jc w:val="left"/>
        <w:rPr>
          <w:rFonts w:ascii="Swis721 Lt BT" w:hAnsi="Swis721 Lt BT" w:cs="Swis721 Lt BT" w:eastAsia="Swis721 Lt BT"/>
        </w:rPr>
      </w:pPr>
      <w:r>
        <w:rPr>
          <w:rFonts w:ascii="Swis721 Lt BT"/>
          <w:color w:val="231F20"/>
        </w:rPr>
        <w:t>Collins Street </w:t>
      </w:r>
      <w:r>
        <w:rPr>
          <w:rFonts w:ascii="Swis721 Lt BT"/>
          <w:color w:val="231F20"/>
          <w:spacing w:val="-1"/>
        </w:rPr>
        <w:t>West</w:t>
      </w:r>
      <w:r>
        <w:rPr>
          <w:rFonts w:ascii="Swis721 Lt BT"/>
          <w:color w:val="231F20"/>
        </w:rPr>
        <w:t> VIC 8007</w:t>
      </w:r>
      <w:r>
        <w:rPr>
          <w:rFonts w:ascii="Swis721 Lt BT"/>
          <w:color w:val="231F20"/>
          <w:spacing w:val="20"/>
        </w:rPr>
        <w:t> </w:t>
      </w:r>
      <w:r>
        <w:rPr>
          <w:rFonts w:ascii="Swis721 Lt BT"/>
          <w:color w:val="231F20"/>
        </w:rPr>
        <w:t>Australia</w:t>
      </w:r>
      <w:r>
        <w:rPr>
          <w:rFonts w:ascii="Swis721 Lt BT"/>
        </w:rPr>
      </w:r>
    </w:p>
    <w:p>
      <w:pPr>
        <w:spacing w:line="240" w:lineRule="auto" w:before="0"/>
        <w:rPr>
          <w:rFonts w:ascii="Swis721 Lt BT" w:hAnsi="Swis721 Lt BT" w:cs="Swis721 Lt BT" w:eastAsia="Swis721 Lt BT"/>
          <w:sz w:val="18"/>
          <w:szCs w:val="18"/>
        </w:rPr>
      </w:pPr>
    </w:p>
    <w:p>
      <w:pPr>
        <w:spacing w:line="240" w:lineRule="auto" w:before="12"/>
        <w:rPr>
          <w:rFonts w:ascii="Swis721 Lt BT" w:hAnsi="Swis721 Lt BT" w:cs="Swis721 Lt BT" w:eastAsia="Swis721 Lt BT"/>
          <w:sz w:val="19"/>
          <w:szCs w:val="19"/>
        </w:rPr>
      </w:pPr>
    </w:p>
    <w:p>
      <w:pPr>
        <w:pStyle w:val="BodyText"/>
        <w:spacing w:line="359" w:lineRule="auto" w:before="0"/>
        <w:ind w:left="113" w:right="5650"/>
        <w:jc w:val="left"/>
        <w:rPr>
          <w:rFonts w:ascii="Swis721 Lt BT" w:hAnsi="Swis721 Lt BT" w:cs="Swis721 Lt BT" w:eastAsia="Swis721 Lt BT"/>
        </w:rPr>
      </w:pPr>
      <w:hyperlink r:id="rId11">
        <w:r>
          <w:rPr>
            <w:rFonts w:ascii="Swis721 Lt BT"/>
            <w:color w:val="231F20"/>
            <w:spacing w:val="-1"/>
          </w:rPr>
          <w:t>www.aitsl.edu.au</w:t>
        </w:r>
      </w:hyperlink>
      <w:r>
        <w:rPr>
          <w:rFonts w:ascii="Swis721 Lt BT"/>
          <w:color w:val="231F20"/>
          <w:spacing w:val="23"/>
        </w:rPr>
        <w:t> </w:t>
      </w:r>
      <w:r>
        <w:rPr>
          <w:rFonts w:ascii="Swis721 Lt BT"/>
          <w:color w:val="231F20"/>
          <w:spacing w:val="-1"/>
        </w:rPr>
        <w:t>ISSN:</w:t>
      </w:r>
      <w:r>
        <w:rPr>
          <w:rFonts w:ascii="Swis721 Lt BT"/>
          <w:color w:val="231F20"/>
        </w:rPr>
        <w:t> 1839-3829</w:t>
      </w:r>
      <w:r>
        <w:rPr>
          <w:rFonts w:ascii="Swis721 Lt BT"/>
        </w:rPr>
      </w:r>
    </w:p>
    <w:p>
      <w:pPr>
        <w:spacing w:after="0" w:line="359" w:lineRule="auto"/>
        <w:jc w:val="left"/>
        <w:rPr>
          <w:rFonts w:ascii="Swis721 Lt BT" w:hAnsi="Swis721 Lt BT" w:cs="Swis721 Lt BT" w:eastAsia="Swis721 Lt BT"/>
        </w:rPr>
        <w:sectPr>
          <w:pgSz w:w="9980" w:h="14180"/>
          <w:pgMar w:top="1320" w:bottom="280" w:left="1020" w:right="1380"/>
        </w:sect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
        <w:rPr>
          <w:rFonts w:ascii="Swis721 Lt BT" w:hAnsi="Swis721 Lt BT" w:cs="Swis721 Lt BT" w:eastAsia="Swis721 Lt BT"/>
          <w:sz w:val="20"/>
          <w:szCs w:val="20"/>
        </w:rPr>
      </w:pPr>
    </w:p>
    <w:p>
      <w:pPr>
        <w:spacing w:line="240" w:lineRule="auto" w:before="8"/>
        <w:rPr>
          <w:rFonts w:ascii="Swis721 Lt BT" w:hAnsi="Swis721 Lt BT" w:cs="Swis721 Lt BT" w:eastAsia="Swis721 Lt BT"/>
          <w:sz w:val="7"/>
          <w:szCs w:val="7"/>
        </w:rPr>
      </w:pPr>
    </w:p>
    <w:p>
      <w:pPr>
        <w:spacing w:before="0"/>
        <w:ind w:left="0" w:right="1001" w:firstLine="0"/>
        <w:jc w:val="right"/>
        <w:rPr>
          <w:rFonts w:ascii="Arial" w:hAnsi="Arial" w:cs="Arial" w:eastAsia="Arial"/>
          <w:sz w:val="10"/>
          <w:szCs w:val="10"/>
        </w:rPr>
      </w:pPr>
      <w:r>
        <w:rPr>
          <w:rFonts w:ascii="Arial"/>
          <w:color w:val="727C80"/>
          <w:w w:val="105"/>
          <w:sz w:val="10"/>
        </w:rPr>
        <w:t>ABN</w:t>
      </w:r>
      <w:r>
        <w:rPr>
          <w:rFonts w:ascii="Arial"/>
          <w:color w:val="727C80"/>
          <w:spacing w:val="1"/>
          <w:w w:val="105"/>
          <w:sz w:val="10"/>
        </w:rPr>
        <w:t> 17</w:t>
      </w:r>
      <w:r>
        <w:rPr>
          <w:rFonts w:ascii="Arial"/>
          <w:color w:val="727C80"/>
          <w:spacing w:val="4"/>
          <w:w w:val="105"/>
          <w:sz w:val="10"/>
        </w:rPr>
        <w:t> </w:t>
      </w:r>
      <w:r>
        <w:rPr>
          <w:rFonts w:ascii="Arial"/>
          <w:color w:val="727C80"/>
          <w:w w:val="105"/>
          <w:sz w:val="10"/>
        </w:rPr>
        <w:t>117</w:t>
      </w:r>
      <w:r>
        <w:rPr>
          <w:rFonts w:ascii="Arial"/>
          <w:color w:val="727C80"/>
          <w:spacing w:val="4"/>
          <w:w w:val="105"/>
          <w:sz w:val="10"/>
        </w:rPr>
        <w:t> </w:t>
      </w:r>
      <w:r>
        <w:rPr>
          <w:rFonts w:ascii="Arial"/>
          <w:color w:val="727C80"/>
          <w:w w:val="105"/>
          <w:sz w:val="10"/>
        </w:rPr>
        <w:t>362 </w:t>
      </w:r>
      <w:r>
        <w:rPr>
          <w:rFonts w:ascii="Arial"/>
          <w:color w:val="727C80"/>
          <w:spacing w:val="-1"/>
          <w:w w:val="105"/>
          <w:sz w:val="10"/>
        </w:rPr>
        <w:t>740</w:t>
      </w:r>
      <w:r>
        <w:rPr>
          <w:rFonts w:ascii="Arial"/>
          <w:sz w:val="10"/>
        </w:rPr>
      </w:r>
    </w:p>
    <w:p>
      <w:pPr>
        <w:spacing w:line="240" w:lineRule="auto" w:before="3"/>
        <w:rPr>
          <w:rFonts w:ascii="Arial" w:hAnsi="Arial" w:cs="Arial" w:eastAsia="Arial"/>
          <w:sz w:val="18"/>
          <w:szCs w:val="18"/>
        </w:rPr>
      </w:pPr>
    </w:p>
    <w:p>
      <w:pPr>
        <w:spacing w:before="87"/>
        <w:ind w:left="875" w:right="0" w:firstLine="0"/>
        <w:jc w:val="left"/>
        <w:rPr>
          <w:rFonts w:ascii="Arial" w:hAnsi="Arial" w:cs="Arial" w:eastAsia="Arial"/>
          <w:sz w:val="14"/>
          <w:szCs w:val="14"/>
        </w:rPr>
      </w:pPr>
      <w:r>
        <w:rPr>
          <w:rFonts w:ascii="Arial"/>
          <w:color w:val="231F20"/>
          <w:w w:val="105"/>
          <w:sz w:val="14"/>
        </w:rPr>
        <w:t>8</w:t>
      </w:r>
      <w:r>
        <w:rPr>
          <w:rFonts w:ascii="Arial"/>
          <w:color w:val="231F20"/>
          <w:spacing w:val="2"/>
          <w:w w:val="105"/>
          <w:sz w:val="14"/>
        </w:rPr>
        <w:t> </w:t>
      </w:r>
      <w:r>
        <w:rPr>
          <w:rFonts w:ascii="Arial"/>
          <w:color w:val="21272A"/>
          <w:spacing w:val="-1"/>
          <w:w w:val="105"/>
          <w:sz w:val="14"/>
        </w:rPr>
        <w:t>October</w:t>
      </w:r>
      <w:r>
        <w:rPr>
          <w:rFonts w:ascii="Arial"/>
          <w:color w:val="21272A"/>
          <w:spacing w:val="-4"/>
          <w:w w:val="105"/>
          <w:sz w:val="14"/>
        </w:rPr>
        <w:t> </w:t>
      </w:r>
      <w:r>
        <w:rPr>
          <w:rFonts w:ascii="Arial"/>
          <w:color w:val="21272A"/>
          <w:w w:val="105"/>
          <w:sz w:val="14"/>
        </w:rPr>
        <w:t>2019</w:t>
      </w:r>
      <w:r>
        <w:rPr>
          <w:rFonts w:ascii="Arial"/>
          <w:sz w:val="14"/>
        </w:rPr>
      </w:r>
    </w:p>
    <w:p>
      <w:pPr>
        <w:spacing w:line="240" w:lineRule="auto" w:before="0"/>
        <w:rPr>
          <w:rFonts w:ascii="Arial" w:hAnsi="Arial" w:cs="Arial" w:eastAsia="Arial"/>
          <w:sz w:val="14"/>
          <w:szCs w:val="14"/>
        </w:rPr>
      </w:pPr>
    </w:p>
    <w:p>
      <w:pPr>
        <w:spacing w:line="240" w:lineRule="auto" w:before="10"/>
        <w:rPr>
          <w:rFonts w:ascii="Arial" w:hAnsi="Arial" w:cs="Arial" w:eastAsia="Arial"/>
          <w:sz w:val="15"/>
          <w:szCs w:val="15"/>
        </w:rPr>
      </w:pPr>
    </w:p>
    <w:p>
      <w:pPr>
        <w:spacing w:line="250" w:lineRule="auto" w:before="0"/>
        <w:ind w:left="875" w:right="5647" w:firstLine="0"/>
        <w:jc w:val="left"/>
        <w:rPr>
          <w:rFonts w:ascii="Arial" w:hAnsi="Arial" w:cs="Arial" w:eastAsia="Arial"/>
          <w:sz w:val="14"/>
          <w:szCs w:val="14"/>
        </w:rPr>
      </w:pPr>
      <w:r>
        <w:rPr>
          <w:rFonts w:ascii="Arial"/>
          <w:color w:val="21272A"/>
          <w:w w:val="105"/>
          <w:sz w:val="14"/>
        </w:rPr>
        <w:t>The</w:t>
      </w:r>
      <w:r>
        <w:rPr>
          <w:rFonts w:ascii="Arial"/>
          <w:color w:val="21272A"/>
          <w:spacing w:val="2"/>
          <w:w w:val="105"/>
          <w:sz w:val="14"/>
        </w:rPr>
        <w:t> </w:t>
      </w:r>
      <w:r>
        <w:rPr>
          <w:rFonts w:ascii="Arial"/>
          <w:color w:val="21272A"/>
          <w:spacing w:val="-2"/>
          <w:w w:val="105"/>
          <w:sz w:val="14"/>
        </w:rPr>
        <w:t>Hon.</w:t>
      </w:r>
      <w:r>
        <w:rPr>
          <w:rFonts w:ascii="Arial"/>
          <w:color w:val="21272A"/>
          <w:spacing w:val="1"/>
          <w:w w:val="105"/>
          <w:sz w:val="14"/>
        </w:rPr>
        <w:t> </w:t>
      </w:r>
      <w:r>
        <w:rPr>
          <w:rFonts w:ascii="Arial"/>
          <w:color w:val="21272A"/>
          <w:spacing w:val="-1"/>
          <w:w w:val="105"/>
          <w:sz w:val="14"/>
        </w:rPr>
        <w:t>Dan</w:t>
      </w:r>
      <w:r>
        <w:rPr>
          <w:rFonts w:ascii="Arial"/>
          <w:color w:val="21272A"/>
          <w:spacing w:val="2"/>
          <w:w w:val="105"/>
          <w:sz w:val="14"/>
        </w:rPr>
        <w:t> </w:t>
      </w:r>
      <w:r>
        <w:rPr>
          <w:rFonts w:ascii="Arial"/>
          <w:color w:val="21272A"/>
          <w:spacing w:val="-1"/>
          <w:w w:val="105"/>
          <w:sz w:val="14"/>
        </w:rPr>
        <w:t>Tehan,</w:t>
      </w:r>
      <w:r>
        <w:rPr>
          <w:rFonts w:ascii="Arial"/>
          <w:color w:val="21272A"/>
          <w:spacing w:val="-2"/>
          <w:w w:val="105"/>
          <w:sz w:val="14"/>
        </w:rPr>
        <w:t> </w:t>
      </w:r>
      <w:r>
        <w:rPr>
          <w:rFonts w:ascii="Arial"/>
          <w:color w:val="21272A"/>
          <w:spacing w:val="-3"/>
          <w:w w:val="105"/>
          <w:sz w:val="14"/>
        </w:rPr>
        <w:t>MP</w:t>
      </w:r>
      <w:r>
        <w:rPr>
          <w:rFonts w:ascii="Arial"/>
          <w:color w:val="21272A"/>
          <w:spacing w:val="28"/>
          <w:w w:val="105"/>
          <w:sz w:val="14"/>
        </w:rPr>
        <w:t> </w:t>
      </w:r>
      <w:r>
        <w:rPr>
          <w:rFonts w:ascii="Arial"/>
          <w:color w:val="21272A"/>
          <w:spacing w:val="-1"/>
          <w:w w:val="105"/>
          <w:sz w:val="14"/>
        </w:rPr>
        <w:t>Minister </w:t>
      </w:r>
      <w:r>
        <w:rPr>
          <w:rFonts w:ascii="Arial"/>
          <w:color w:val="21272A"/>
          <w:w w:val="105"/>
          <w:sz w:val="14"/>
        </w:rPr>
        <w:t>for</w:t>
      </w:r>
      <w:r>
        <w:rPr>
          <w:rFonts w:ascii="Arial"/>
          <w:color w:val="21272A"/>
          <w:spacing w:val="-1"/>
          <w:w w:val="105"/>
          <w:sz w:val="14"/>
        </w:rPr>
        <w:t> Education</w:t>
      </w:r>
      <w:r>
        <w:rPr>
          <w:rFonts w:ascii="Arial"/>
          <w:color w:val="21272A"/>
          <w:spacing w:val="27"/>
          <w:w w:val="105"/>
          <w:sz w:val="14"/>
        </w:rPr>
        <w:t> </w:t>
      </w:r>
      <w:r>
        <w:rPr>
          <w:rFonts w:ascii="Arial"/>
          <w:color w:val="21272A"/>
          <w:spacing w:val="-1"/>
          <w:w w:val="105"/>
          <w:sz w:val="14"/>
        </w:rPr>
        <w:t>Parliament</w:t>
      </w:r>
      <w:r>
        <w:rPr>
          <w:rFonts w:ascii="Arial"/>
          <w:color w:val="21272A"/>
          <w:spacing w:val="1"/>
          <w:w w:val="105"/>
          <w:sz w:val="14"/>
        </w:rPr>
        <w:t> </w:t>
      </w:r>
      <w:r>
        <w:rPr>
          <w:rFonts w:ascii="Arial"/>
          <w:color w:val="21272A"/>
          <w:spacing w:val="-2"/>
          <w:w w:val="105"/>
          <w:sz w:val="14"/>
        </w:rPr>
        <w:t>House</w:t>
      </w:r>
      <w:r>
        <w:rPr>
          <w:rFonts w:ascii="Arial"/>
          <w:color w:val="21272A"/>
          <w:spacing w:val="30"/>
          <w:w w:val="105"/>
          <w:sz w:val="14"/>
        </w:rPr>
        <w:t> </w:t>
      </w:r>
      <w:r>
        <w:rPr>
          <w:rFonts w:ascii="Arial"/>
          <w:color w:val="21272A"/>
          <w:spacing w:val="-1"/>
          <w:w w:val="105"/>
          <w:sz w:val="14"/>
        </w:rPr>
        <w:t>Canberra</w:t>
      </w:r>
      <w:r>
        <w:rPr>
          <w:rFonts w:ascii="Arial"/>
          <w:color w:val="21272A"/>
          <w:spacing w:val="-2"/>
          <w:w w:val="105"/>
          <w:sz w:val="14"/>
        </w:rPr>
        <w:t> </w:t>
      </w:r>
      <w:r>
        <w:rPr>
          <w:rFonts w:ascii="Arial"/>
          <w:color w:val="21272A"/>
          <w:spacing w:val="-1"/>
          <w:w w:val="105"/>
          <w:sz w:val="14"/>
        </w:rPr>
        <w:t>ACT</w:t>
      </w:r>
      <w:r>
        <w:rPr>
          <w:rFonts w:ascii="Arial"/>
          <w:color w:val="21272A"/>
          <w:w w:val="105"/>
          <w:sz w:val="14"/>
        </w:rPr>
        <w:t> </w:t>
      </w:r>
      <w:r>
        <w:rPr>
          <w:rFonts w:ascii="Arial"/>
          <w:color w:val="21272A"/>
          <w:spacing w:val="-1"/>
          <w:w w:val="105"/>
          <w:sz w:val="14"/>
        </w:rPr>
        <w:t>2600</w:t>
      </w:r>
      <w:r>
        <w:rPr>
          <w:rFonts w:ascii="Arial"/>
          <w:sz w:val="14"/>
        </w:rPr>
      </w: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3"/>
        <w:rPr>
          <w:rFonts w:ascii="Arial" w:hAnsi="Arial" w:cs="Arial" w:eastAsia="Arial"/>
          <w:sz w:val="16"/>
          <w:szCs w:val="16"/>
        </w:rPr>
      </w:pPr>
    </w:p>
    <w:p>
      <w:pPr>
        <w:spacing w:before="0"/>
        <w:ind w:left="875" w:right="0" w:firstLine="0"/>
        <w:jc w:val="left"/>
        <w:rPr>
          <w:rFonts w:ascii="Arial" w:hAnsi="Arial" w:cs="Arial" w:eastAsia="Arial"/>
          <w:sz w:val="14"/>
          <w:szCs w:val="14"/>
        </w:rPr>
      </w:pPr>
      <w:r>
        <w:rPr>
          <w:rFonts w:ascii="Arial"/>
          <w:color w:val="21272A"/>
          <w:w w:val="105"/>
          <w:sz w:val="14"/>
        </w:rPr>
        <w:t>Dear </w:t>
      </w:r>
      <w:r>
        <w:rPr>
          <w:rFonts w:ascii="Arial"/>
          <w:color w:val="21272A"/>
          <w:spacing w:val="-1"/>
          <w:w w:val="105"/>
          <w:sz w:val="14"/>
        </w:rPr>
        <w:t>Minister,</w:t>
      </w:r>
      <w:r>
        <w:rPr>
          <w:rFonts w:ascii="Arial"/>
          <w:sz w:val="14"/>
        </w:rPr>
      </w:r>
    </w:p>
    <w:p>
      <w:pPr>
        <w:spacing w:line="240" w:lineRule="auto" w:before="7"/>
        <w:rPr>
          <w:rFonts w:ascii="Arial" w:hAnsi="Arial" w:cs="Arial" w:eastAsia="Arial"/>
          <w:sz w:val="19"/>
          <w:szCs w:val="19"/>
        </w:rPr>
      </w:pPr>
    </w:p>
    <w:p>
      <w:pPr>
        <w:spacing w:line="285" w:lineRule="auto" w:before="0"/>
        <w:ind w:left="875" w:right="1135" w:firstLine="0"/>
        <w:jc w:val="left"/>
        <w:rPr>
          <w:rFonts w:ascii="Arial" w:hAnsi="Arial" w:cs="Arial" w:eastAsia="Arial"/>
          <w:sz w:val="14"/>
          <w:szCs w:val="14"/>
        </w:rPr>
      </w:pPr>
      <w:r>
        <w:rPr>
          <w:rFonts w:ascii="Arial"/>
          <w:color w:val="21272A"/>
          <w:w w:val="105"/>
          <w:sz w:val="14"/>
        </w:rPr>
        <w:t>The</w:t>
      </w:r>
      <w:r>
        <w:rPr>
          <w:rFonts w:ascii="Arial"/>
          <w:color w:val="21272A"/>
          <w:spacing w:val="-2"/>
          <w:w w:val="105"/>
          <w:sz w:val="14"/>
        </w:rPr>
        <w:t> </w:t>
      </w:r>
      <w:r>
        <w:rPr>
          <w:rFonts w:ascii="Arial"/>
          <w:color w:val="21272A"/>
          <w:spacing w:val="-1"/>
          <w:w w:val="105"/>
          <w:sz w:val="14"/>
        </w:rPr>
        <w:t>Board</w:t>
      </w:r>
      <w:r>
        <w:rPr>
          <w:rFonts w:ascii="Arial"/>
          <w:color w:val="21272A"/>
          <w:spacing w:val="-2"/>
          <w:w w:val="105"/>
          <w:sz w:val="14"/>
        </w:rPr>
        <w:t> </w:t>
      </w:r>
      <w:r>
        <w:rPr>
          <w:rFonts w:ascii="Arial"/>
          <w:color w:val="21272A"/>
          <w:spacing w:val="-1"/>
          <w:w w:val="105"/>
          <w:sz w:val="14"/>
        </w:rPr>
        <w:t>of</w:t>
      </w:r>
      <w:r>
        <w:rPr>
          <w:rFonts w:ascii="Arial"/>
          <w:color w:val="21272A"/>
          <w:spacing w:val="4"/>
          <w:w w:val="105"/>
          <w:sz w:val="14"/>
        </w:rPr>
        <w:t> </w:t>
      </w:r>
      <w:r>
        <w:rPr>
          <w:rFonts w:ascii="Arial"/>
          <w:color w:val="21272A"/>
          <w:spacing w:val="-1"/>
          <w:w w:val="105"/>
          <w:sz w:val="14"/>
        </w:rPr>
        <w:t>Directors</w:t>
      </w:r>
      <w:r>
        <w:rPr>
          <w:rFonts w:ascii="Arial"/>
          <w:color w:val="21272A"/>
          <w:spacing w:val="-3"/>
          <w:w w:val="105"/>
          <w:sz w:val="14"/>
        </w:rPr>
        <w:t> </w:t>
      </w:r>
      <w:r>
        <w:rPr>
          <w:rFonts w:ascii="Arial"/>
          <w:color w:val="21272A"/>
          <w:w w:val="105"/>
          <w:sz w:val="14"/>
        </w:rPr>
        <w:t>has</w:t>
      </w:r>
      <w:r>
        <w:rPr>
          <w:rFonts w:ascii="Arial"/>
          <w:color w:val="21272A"/>
          <w:spacing w:val="-3"/>
          <w:w w:val="105"/>
          <w:sz w:val="14"/>
        </w:rPr>
        <w:t> </w:t>
      </w:r>
      <w:r>
        <w:rPr>
          <w:rFonts w:ascii="Arial"/>
          <w:color w:val="21272A"/>
          <w:spacing w:val="-1"/>
          <w:w w:val="105"/>
          <w:sz w:val="14"/>
        </w:rPr>
        <w:t>pleasure</w:t>
      </w:r>
      <w:r>
        <w:rPr>
          <w:rFonts w:ascii="Arial"/>
          <w:color w:val="21272A"/>
          <w:spacing w:val="3"/>
          <w:w w:val="105"/>
          <w:sz w:val="14"/>
        </w:rPr>
        <w:t> </w:t>
      </w:r>
      <w:r>
        <w:rPr>
          <w:rFonts w:ascii="Arial"/>
          <w:color w:val="21272A"/>
          <w:spacing w:val="-1"/>
          <w:w w:val="105"/>
          <w:sz w:val="14"/>
        </w:rPr>
        <w:t>in</w:t>
      </w:r>
      <w:r>
        <w:rPr>
          <w:rFonts w:ascii="Arial"/>
          <w:color w:val="21272A"/>
          <w:spacing w:val="-2"/>
          <w:w w:val="105"/>
          <w:sz w:val="14"/>
        </w:rPr>
        <w:t> </w:t>
      </w:r>
      <w:r>
        <w:rPr>
          <w:rFonts w:ascii="Arial"/>
          <w:color w:val="21272A"/>
          <w:spacing w:val="-1"/>
          <w:w w:val="105"/>
          <w:sz w:val="14"/>
        </w:rPr>
        <w:t>submitting</w:t>
      </w:r>
      <w:r>
        <w:rPr>
          <w:rFonts w:ascii="Arial"/>
          <w:color w:val="21272A"/>
          <w:spacing w:val="-2"/>
          <w:w w:val="105"/>
          <w:sz w:val="14"/>
        </w:rPr>
        <w:t> </w:t>
      </w:r>
      <w:r>
        <w:rPr>
          <w:rFonts w:ascii="Arial"/>
          <w:color w:val="21272A"/>
          <w:w w:val="105"/>
          <w:sz w:val="14"/>
        </w:rPr>
        <w:t>the</w:t>
      </w:r>
      <w:r>
        <w:rPr>
          <w:rFonts w:ascii="Arial"/>
          <w:color w:val="21272A"/>
          <w:spacing w:val="5"/>
          <w:w w:val="105"/>
          <w:sz w:val="14"/>
        </w:rPr>
        <w:t> </w:t>
      </w:r>
      <w:r>
        <w:rPr>
          <w:rFonts w:ascii="Arial"/>
          <w:i/>
          <w:color w:val="21272A"/>
          <w:spacing w:val="-1"/>
          <w:w w:val="105"/>
          <w:sz w:val="14"/>
        </w:rPr>
        <w:t>Annual</w:t>
      </w:r>
      <w:r>
        <w:rPr>
          <w:rFonts w:ascii="Arial"/>
          <w:i/>
          <w:color w:val="21272A"/>
          <w:w w:val="105"/>
          <w:sz w:val="14"/>
        </w:rPr>
        <w:t> </w:t>
      </w:r>
      <w:r>
        <w:rPr>
          <w:rFonts w:ascii="Arial"/>
          <w:i/>
          <w:color w:val="21272A"/>
          <w:spacing w:val="-1"/>
          <w:w w:val="105"/>
          <w:sz w:val="14"/>
        </w:rPr>
        <w:t>Report</w:t>
      </w:r>
      <w:r>
        <w:rPr>
          <w:rFonts w:ascii="Arial"/>
          <w:i/>
          <w:color w:val="21272A"/>
          <w:spacing w:val="1"/>
          <w:w w:val="105"/>
          <w:sz w:val="14"/>
        </w:rPr>
        <w:t> </w:t>
      </w:r>
      <w:r>
        <w:rPr>
          <w:rFonts w:ascii="Arial"/>
          <w:i/>
          <w:color w:val="21272A"/>
          <w:spacing w:val="-1"/>
          <w:w w:val="105"/>
          <w:sz w:val="14"/>
        </w:rPr>
        <w:t>2018-19</w:t>
      </w:r>
      <w:r>
        <w:rPr>
          <w:rFonts w:ascii="Arial"/>
          <w:i/>
          <w:color w:val="21272A"/>
          <w:w w:val="105"/>
          <w:sz w:val="14"/>
        </w:rPr>
        <w:t> </w:t>
      </w:r>
      <w:r>
        <w:rPr>
          <w:rFonts w:ascii="Arial"/>
          <w:color w:val="21272A"/>
          <w:w w:val="105"/>
          <w:sz w:val="14"/>
        </w:rPr>
        <w:t>for</w:t>
      </w:r>
      <w:r>
        <w:rPr>
          <w:rFonts w:ascii="Arial"/>
          <w:color w:val="21272A"/>
          <w:spacing w:val="-1"/>
          <w:w w:val="105"/>
          <w:sz w:val="14"/>
        </w:rPr>
        <w:t> the Australian</w:t>
      </w:r>
      <w:r>
        <w:rPr>
          <w:rFonts w:ascii="Arial"/>
          <w:color w:val="21272A"/>
          <w:spacing w:val="47"/>
          <w:w w:val="105"/>
          <w:sz w:val="14"/>
        </w:rPr>
        <w:t> </w:t>
      </w:r>
      <w:r>
        <w:rPr>
          <w:rFonts w:ascii="Arial"/>
          <w:color w:val="21272A"/>
          <w:spacing w:val="-1"/>
          <w:w w:val="105"/>
          <w:sz w:val="14"/>
        </w:rPr>
        <w:t>Institute</w:t>
      </w:r>
      <w:r>
        <w:rPr>
          <w:rFonts w:ascii="Arial"/>
          <w:color w:val="21272A"/>
          <w:w w:val="105"/>
          <w:sz w:val="14"/>
        </w:rPr>
        <w:t> for </w:t>
      </w:r>
      <w:r>
        <w:rPr>
          <w:rFonts w:ascii="Arial"/>
          <w:color w:val="21272A"/>
          <w:spacing w:val="-1"/>
          <w:w w:val="105"/>
          <w:sz w:val="14"/>
        </w:rPr>
        <w:t>Teaching and</w:t>
      </w:r>
      <w:r>
        <w:rPr>
          <w:rFonts w:ascii="Arial"/>
          <w:color w:val="21272A"/>
          <w:spacing w:val="-2"/>
          <w:w w:val="105"/>
          <w:sz w:val="14"/>
        </w:rPr>
        <w:t> </w:t>
      </w:r>
      <w:r>
        <w:rPr>
          <w:rFonts w:ascii="Arial"/>
          <w:color w:val="21272A"/>
          <w:w w:val="105"/>
          <w:sz w:val="14"/>
        </w:rPr>
        <w:t>School</w:t>
      </w:r>
      <w:r>
        <w:rPr>
          <w:rFonts w:ascii="Arial"/>
          <w:color w:val="21272A"/>
          <w:spacing w:val="-3"/>
          <w:w w:val="105"/>
          <w:sz w:val="14"/>
        </w:rPr>
        <w:t> </w:t>
      </w:r>
      <w:r>
        <w:rPr>
          <w:rFonts w:ascii="Arial"/>
          <w:color w:val="21272A"/>
          <w:spacing w:val="-1"/>
          <w:w w:val="105"/>
          <w:sz w:val="14"/>
        </w:rPr>
        <w:t>Leadership</w:t>
      </w:r>
      <w:r>
        <w:rPr>
          <w:rFonts w:ascii="Arial"/>
          <w:color w:val="21272A"/>
          <w:spacing w:val="2"/>
          <w:w w:val="105"/>
          <w:sz w:val="14"/>
        </w:rPr>
        <w:t> </w:t>
      </w:r>
      <w:r>
        <w:rPr>
          <w:rFonts w:ascii="Arial"/>
          <w:color w:val="21272A"/>
          <w:spacing w:val="-1"/>
          <w:w w:val="105"/>
          <w:sz w:val="14"/>
        </w:rPr>
        <w:t>Limited.</w:t>
      </w:r>
      <w:r>
        <w:rPr>
          <w:rFonts w:ascii="Arial"/>
          <w:sz w:val="14"/>
        </w:rPr>
      </w:r>
    </w:p>
    <w:p>
      <w:pPr>
        <w:spacing w:line="240" w:lineRule="auto" w:before="4"/>
        <w:rPr>
          <w:rFonts w:ascii="Arial" w:hAnsi="Arial" w:cs="Arial" w:eastAsia="Arial"/>
          <w:sz w:val="17"/>
          <w:szCs w:val="17"/>
        </w:rPr>
      </w:pPr>
    </w:p>
    <w:p>
      <w:pPr>
        <w:spacing w:line="285" w:lineRule="auto" w:before="0"/>
        <w:ind w:left="875" w:right="1135" w:firstLine="0"/>
        <w:jc w:val="left"/>
        <w:rPr>
          <w:rFonts w:ascii="Arial" w:hAnsi="Arial" w:cs="Arial" w:eastAsia="Arial"/>
          <w:sz w:val="14"/>
          <w:szCs w:val="14"/>
        </w:rPr>
      </w:pPr>
      <w:r>
        <w:rPr>
          <w:rFonts w:ascii="Arial"/>
          <w:color w:val="21272A"/>
          <w:w w:val="105"/>
          <w:sz w:val="14"/>
        </w:rPr>
        <w:t>The</w:t>
      </w:r>
      <w:r>
        <w:rPr>
          <w:rFonts w:ascii="Arial"/>
          <w:color w:val="21272A"/>
          <w:spacing w:val="2"/>
          <w:w w:val="105"/>
          <w:sz w:val="14"/>
        </w:rPr>
        <w:t> </w:t>
      </w:r>
      <w:r>
        <w:rPr>
          <w:rFonts w:ascii="Arial"/>
          <w:color w:val="21272A"/>
          <w:spacing w:val="-2"/>
          <w:w w:val="105"/>
          <w:sz w:val="14"/>
        </w:rPr>
        <w:t>report</w:t>
      </w:r>
      <w:r>
        <w:rPr>
          <w:rFonts w:ascii="Arial"/>
          <w:color w:val="21272A"/>
          <w:spacing w:val="1"/>
          <w:w w:val="105"/>
          <w:sz w:val="14"/>
        </w:rPr>
        <w:t> </w:t>
      </w:r>
      <w:r>
        <w:rPr>
          <w:rFonts w:ascii="Arial"/>
          <w:color w:val="21272A"/>
          <w:spacing w:val="-1"/>
          <w:w w:val="105"/>
          <w:sz w:val="14"/>
        </w:rPr>
        <w:t>is</w:t>
      </w:r>
      <w:r>
        <w:rPr>
          <w:rFonts w:ascii="Arial"/>
          <w:color w:val="21272A"/>
          <w:spacing w:val="-3"/>
          <w:w w:val="105"/>
          <w:sz w:val="14"/>
        </w:rPr>
        <w:t> </w:t>
      </w:r>
      <w:r>
        <w:rPr>
          <w:rFonts w:ascii="Arial"/>
          <w:color w:val="21272A"/>
          <w:spacing w:val="-1"/>
          <w:w w:val="105"/>
          <w:sz w:val="14"/>
        </w:rPr>
        <w:t>presented</w:t>
      </w:r>
      <w:r>
        <w:rPr>
          <w:rFonts w:ascii="Arial"/>
          <w:color w:val="21272A"/>
          <w:spacing w:val="2"/>
          <w:w w:val="105"/>
          <w:sz w:val="14"/>
        </w:rPr>
        <w:t> </w:t>
      </w:r>
      <w:r>
        <w:rPr>
          <w:rFonts w:ascii="Arial"/>
          <w:color w:val="21272A"/>
          <w:spacing w:val="-2"/>
          <w:w w:val="105"/>
          <w:sz w:val="14"/>
        </w:rPr>
        <w:t>in </w:t>
      </w:r>
      <w:r>
        <w:rPr>
          <w:rFonts w:ascii="Arial"/>
          <w:color w:val="21272A"/>
          <w:spacing w:val="-1"/>
          <w:w w:val="105"/>
          <w:sz w:val="14"/>
        </w:rPr>
        <w:t>accordance</w:t>
      </w:r>
      <w:r>
        <w:rPr>
          <w:rFonts w:ascii="Arial"/>
          <w:color w:val="21272A"/>
          <w:spacing w:val="3"/>
          <w:w w:val="105"/>
          <w:sz w:val="14"/>
        </w:rPr>
        <w:t> </w:t>
      </w:r>
      <w:r>
        <w:rPr>
          <w:rFonts w:ascii="Arial"/>
          <w:color w:val="21272A"/>
          <w:spacing w:val="-2"/>
          <w:w w:val="105"/>
          <w:sz w:val="14"/>
        </w:rPr>
        <w:t>with</w:t>
      </w:r>
      <w:r>
        <w:rPr>
          <w:rFonts w:ascii="Arial"/>
          <w:color w:val="21272A"/>
          <w:spacing w:val="2"/>
          <w:w w:val="105"/>
          <w:sz w:val="14"/>
        </w:rPr>
        <w:t> </w:t>
      </w:r>
      <w:r>
        <w:rPr>
          <w:rFonts w:ascii="Arial"/>
          <w:color w:val="21272A"/>
          <w:spacing w:val="-1"/>
          <w:w w:val="105"/>
          <w:sz w:val="14"/>
        </w:rPr>
        <w:t>the</w:t>
      </w:r>
      <w:r>
        <w:rPr>
          <w:rFonts w:ascii="Arial"/>
          <w:color w:val="21272A"/>
          <w:spacing w:val="4"/>
          <w:w w:val="105"/>
          <w:sz w:val="14"/>
        </w:rPr>
        <w:t> </w:t>
      </w:r>
      <w:r>
        <w:rPr>
          <w:rFonts w:ascii="Arial"/>
          <w:i/>
          <w:color w:val="21272A"/>
          <w:spacing w:val="-1"/>
          <w:w w:val="105"/>
          <w:sz w:val="14"/>
        </w:rPr>
        <w:t>Public</w:t>
      </w:r>
      <w:r>
        <w:rPr>
          <w:rFonts w:ascii="Arial"/>
          <w:i/>
          <w:color w:val="21272A"/>
          <w:w w:val="105"/>
          <w:sz w:val="14"/>
        </w:rPr>
        <w:t> </w:t>
      </w:r>
      <w:r>
        <w:rPr>
          <w:rFonts w:ascii="Arial"/>
          <w:i/>
          <w:color w:val="21272A"/>
          <w:spacing w:val="-1"/>
          <w:w w:val="105"/>
          <w:sz w:val="14"/>
        </w:rPr>
        <w:t>Governance,</w:t>
      </w:r>
      <w:r>
        <w:rPr>
          <w:rFonts w:ascii="Arial"/>
          <w:i/>
          <w:color w:val="21272A"/>
          <w:spacing w:val="-2"/>
          <w:w w:val="105"/>
          <w:sz w:val="14"/>
        </w:rPr>
        <w:t> </w:t>
      </w:r>
      <w:r>
        <w:rPr>
          <w:rFonts w:ascii="Arial"/>
          <w:i/>
          <w:color w:val="21272A"/>
          <w:spacing w:val="-1"/>
          <w:w w:val="105"/>
          <w:sz w:val="14"/>
        </w:rPr>
        <w:t>Performance</w:t>
      </w:r>
      <w:r>
        <w:rPr>
          <w:rFonts w:ascii="Arial"/>
          <w:i/>
          <w:color w:val="21272A"/>
          <w:spacing w:val="-2"/>
          <w:w w:val="105"/>
          <w:sz w:val="14"/>
        </w:rPr>
        <w:t> </w:t>
      </w:r>
      <w:r>
        <w:rPr>
          <w:rFonts w:ascii="Arial"/>
          <w:i/>
          <w:color w:val="21272A"/>
          <w:spacing w:val="-1"/>
          <w:w w:val="105"/>
          <w:sz w:val="14"/>
        </w:rPr>
        <w:t>and</w:t>
      </w:r>
      <w:r>
        <w:rPr>
          <w:rFonts w:ascii="Arial"/>
          <w:i/>
          <w:color w:val="21272A"/>
          <w:spacing w:val="65"/>
          <w:w w:val="105"/>
          <w:sz w:val="14"/>
        </w:rPr>
        <w:t> </w:t>
      </w:r>
      <w:r>
        <w:rPr>
          <w:rFonts w:ascii="Arial"/>
          <w:i/>
          <w:color w:val="21272A"/>
          <w:spacing w:val="-1"/>
          <w:w w:val="105"/>
          <w:sz w:val="14"/>
        </w:rPr>
        <w:t>Accountability</w:t>
      </w:r>
      <w:r>
        <w:rPr>
          <w:rFonts w:ascii="Arial"/>
          <w:i/>
          <w:color w:val="21272A"/>
          <w:spacing w:val="-3"/>
          <w:w w:val="105"/>
          <w:sz w:val="14"/>
        </w:rPr>
        <w:t> </w:t>
      </w:r>
      <w:r>
        <w:rPr>
          <w:rFonts w:ascii="Arial"/>
          <w:i/>
          <w:color w:val="21272A"/>
          <w:w w:val="105"/>
          <w:sz w:val="14"/>
        </w:rPr>
        <w:t>Act</w:t>
      </w:r>
      <w:r>
        <w:rPr>
          <w:rFonts w:ascii="Arial"/>
          <w:i/>
          <w:color w:val="21272A"/>
          <w:spacing w:val="-2"/>
          <w:w w:val="105"/>
          <w:sz w:val="14"/>
        </w:rPr>
        <w:t> </w:t>
      </w:r>
      <w:r>
        <w:rPr>
          <w:rFonts w:ascii="Arial"/>
          <w:i/>
          <w:color w:val="21272A"/>
          <w:w w:val="105"/>
          <w:sz w:val="14"/>
        </w:rPr>
        <w:t>2013</w:t>
      </w:r>
      <w:r>
        <w:rPr>
          <w:rFonts w:ascii="Arial"/>
          <w:color w:val="21272A"/>
          <w:w w:val="105"/>
          <w:sz w:val="14"/>
        </w:rPr>
        <w:t>.</w:t>
      </w:r>
      <w:r>
        <w:rPr>
          <w:rFonts w:ascii="Arial"/>
          <w:sz w:val="14"/>
        </w:rPr>
      </w:r>
    </w:p>
    <w:p>
      <w:pPr>
        <w:spacing w:line="240" w:lineRule="auto" w:before="0"/>
        <w:rPr>
          <w:rFonts w:ascii="Arial" w:hAnsi="Arial" w:cs="Arial" w:eastAsia="Arial"/>
          <w:sz w:val="17"/>
          <w:szCs w:val="17"/>
        </w:rPr>
      </w:pPr>
    </w:p>
    <w:p>
      <w:pPr>
        <w:spacing w:line="290" w:lineRule="auto" w:before="0"/>
        <w:ind w:left="875" w:right="1028" w:firstLine="0"/>
        <w:jc w:val="left"/>
        <w:rPr>
          <w:rFonts w:ascii="Arial" w:hAnsi="Arial" w:cs="Arial" w:eastAsia="Arial"/>
          <w:sz w:val="14"/>
          <w:szCs w:val="14"/>
        </w:rPr>
      </w:pPr>
      <w:r>
        <w:rPr>
          <w:rFonts w:ascii="Arial"/>
          <w:color w:val="21272A"/>
          <w:w w:val="105"/>
          <w:sz w:val="14"/>
        </w:rPr>
        <w:t>The</w:t>
      </w:r>
      <w:r>
        <w:rPr>
          <w:rFonts w:ascii="Arial"/>
          <w:color w:val="21272A"/>
          <w:spacing w:val="2"/>
          <w:w w:val="105"/>
          <w:sz w:val="14"/>
        </w:rPr>
        <w:t> </w:t>
      </w:r>
      <w:r>
        <w:rPr>
          <w:rFonts w:ascii="Arial"/>
          <w:color w:val="21272A"/>
          <w:spacing w:val="-2"/>
          <w:w w:val="105"/>
          <w:sz w:val="14"/>
        </w:rPr>
        <w:t>report</w:t>
      </w:r>
      <w:r>
        <w:rPr>
          <w:rFonts w:ascii="Arial"/>
          <w:color w:val="21272A"/>
          <w:spacing w:val="1"/>
          <w:w w:val="105"/>
          <w:sz w:val="14"/>
        </w:rPr>
        <w:t> </w:t>
      </w:r>
      <w:r>
        <w:rPr>
          <w:rFonts w:ascii="Arial"/>
          <w:color w:val="21272A"/>
          <w:spacing w:val="-1"/>
          <w:w w:val="105"/>
          <w:sz w:val="14"/>
        </w:rPr>
        <w:t>has</w:t>
      </w:r>
      <w:r>
        <w:rPr>
          <w:rFonts w:ascii="Arial"/>
          <w:color w:val="21272A"/>
          <w:spacing w:val="-3"/>
          <w:w w:val="105"/>
          <w:sz w:val="14"/>
        </w:rPr>
        <w:t> </w:t>
      </w:r>
      <w:r>
        <w:rPr>
          <w:rFonts w:ascii="Arial"/>
          <w:color w:val="21272A"/>
          <w:w w:val="105"/>
          <w:sz w:val="14"/>
        </w:rPr>
        <w:t>also</w:t>
      </w:r>
      <w:r>
        <w:rPr>
          <w:rFonts w:ascii="Arial"/>
          <w:color w:val="21272A"/>
          <w:spacing w:val="-2"/>
          <w:w w:val="105"/>
          <w:sz w:val="14"/>
        </w:rPr>
        <w:t> </w:t>
      </w:r>
      <w:r>
        <w:rPr>
          <w:rFonts w:ascii="Arial"/>
          <w:color w:val="21272A"/>
          <w:w w:val="105"/>
          <w:sz w:val="14"/>
        </w:rPr>
        <w:t>been</w:t>
      </w:r>
      <w:r>
        <w:rPr>
          <w:rFonts w:ascii="Arial"/>
          <w:color w:val="21272A"/>
          <w:spacing w:val="-2"/>
          <w:w w:val="105"/>
          <w:sz w:val="14"/>
        </w:rPr>
        <w:t> </w:t>
      </w:r>
      <w:r>
        <w:rPr>
          <w:rFonts w:ascii="Arial"/>
          <w:color w:val="21272A"/>
          <w:spacing w:val="-1"/>
          <w:w w:val="105"/>
          <w:sz w:val="14"/>
        </w:rPr>
        <w:t>prepared</w:t>
      </w:r>
      <w:r>
        <w:rPr>
          <w:rFonts w:ascii="Arial"/>
          <w:color w:val="21272A"/>
          <w:spacing w:val="-2"/>
          <w:w w:val="105"/>
          <w:sz w:val="14"/>
        </w:rPr>
        <w:t> </w:t>
      </w:r>
      <w:r>
        <w:rPr>
          <w:rFonts w:ascii="Arial"/>
          <w:color w:val="21272A"/>
          <w:w w:val="105"/>
          <w:sz w:val="14"/>
        </w:rPr>
        <w:t>to</w:t>
      </w:r>
      <w:r>
        <w:rPr>
          <w:rFonts w:ascii="Arial"/>
          <w:color w:val="21272A"/>
          <w:spacing w:val="-2"/>
          <w:w w:val="105"/>
          <w:sz w:val="14"/>
        </w:rPr>
        <w:t> </w:t>
      </w:r>
      <w:r>
        <w:rPr>
          <w:rFonts w:ascii="Arial"/>
          <w:color w:val="21272A"/>
          <w:spacing w:val="-1"/>
          <w:w w:val="105"/>
          <w:sz w:val="14"/>
        </w:rPr>
        <w:t>conform </w:t>
      </w:r>
      <w:r>
        <w:rPr>
          <w:rFonts w:ascii="Arial"/>
          <w:color w:val="21272A"/>
          <w:w w:val="105"/>
          <w:sz w:val="14"/>
        </w:rPr>
        <w:t>to</w:t>
      </w:r>
      <w:r>
        <w:rPr>
          <w:rFonts w:ascii="Arial"/>
          <w:color w:val="21272A"/>
          <w:spacing w:val="-1"/>
          <w:w w:val="105"/>
          <w:sz w:val="14"/>
        </w:rPr>
        <w:t> the</w:t>
      </w:r>
      <w:r>
        <w:rPr>
          <w:rFonts w:ascii="Arial"/>
          <w:color w:val="21272A"/>
          <w:spacing w:val="2"/>
          <w:w w:val="105"/>
          <w:sz w:val="14"/>
        </w:rPr>
        <w:t> </w:t>
      </w:r>
      <w:r>
        <w:rPr>
          <w:rFonts w:ascii="Arial"/>
          <w:color w:val="21272A"/>
          <w:spacing w:val="-1"/>
          <w:w w:val="105"/>
          <w:sz w:val="14"/>
        </w:rPr>
        <w:t>requirements</w:t>
      </w:r>
      <w:r>
        <w:rPr>
          <w:rFonts w:ascii="Arial"/>
          <w:color w:val="21272A"/>
          <w:spacing w:val="-3"/>
          <w:w w:val="105"/>
          <w:sz w:val="14"/>
        </w:rPr>
        <w:t> </w:t>
      </w:r>
      <w:r>
        <w:rPr>
          <w:rFonts w:ascii="Arial"/>
          <w:color w:val="21272A"/>
          <w:spacing w:val="-1"/>
          <w:w w:val="105"/>
          <w:sz w:val="14"/>
        </w:rPr>
        <w:t>of</w:t>
      </w:r>
      <w:r>
        <w:rPr>
          <w:rFonts w:ascii="Arial"/>
          <w:color w:val="21272A"/>
          <w:spacing w:val="4"/>
          <w:w w:val="105"/>
          <w:sz w:val="14"/>
        </w:rPr>
        <w:t> </w:t>
      </w:r>
      <w:r>
        <w:rPr>
          <w:rFonts w:ascii="Arial"/>
          <w:color w:val="21272A"/>
          <w:spacing w:val="-1"/>
          <w:w w:val="105"/>
          <w:sz w:val="14"/>
        </w:rPr>
        <w:t>the</w:t>
      </w:r>
      <w:r>
        <w:rPr>
          <w:rFonts w:ascii="Arial"/>
          <w:color w:val="21272A"/>
          <w:spacing w:val="7"/>
          <w:w w:val="105"/>
          <w:sz w:val="14"/>
        </w:rPr>
        <w:t> </w:t>
      </w:r>
      <w:r>
        <w:rPr>
          <w:rFonts w:ascii="Arial"/>
          <w:i/>
          <w:color w:val="21272A"/>
          <w:spacing w:val="-1"/>
          <w:w w:val="105"/>
          <w:sz w:val="14"/>
        </w:rPr>
        <w:t>Australian</w:t>
      </w:r>
      <w:r>
        <w:rPr>
          <w:rFonts w:ascii="Arial"/>
          <w:i/>
          <w:color w:val="21272A"/>
          <w:spacing w:val="2"/>
          <w:w w:val="105"/>
          <w:sz w:val="14"/>
        </w:rPr>
        <w:t> </w:t>
      </w:r>
      <w:r>
        <w:rPr>
          <w:rFonts w:ascii="Arial"/>
          <w:i/>
          <w:color w:val="21272A"/>
          <w:spacing w:val="-1"/>
          <w:w w:val="105"/>
          <w:sz w:val="14"/>
        </w:rPr>
        <w:t>Charities</w:t>
      </w:r>
      <w:r>
        <w:rPr>
          <w:rFonts w:ascii="Arial"/>
          <w:i/>
          <w:color w:val="21272A"/>
          <w:spacing w:val="-3"/>
          <w:w w:val="105"/>
          <w:sz w:val="14"/>
        </w:rPr>
        <w:t> </w:t>
      </w:r>
      <w:r>
        <w:rPr>
          <w:rFonts w:ascii="Arial"/>
          <w:i/>
          <w:color w:val="21272A"/>
          <w:w w:val="105"/>
          <w:sz w:val="14"/>
        </w:rPr>
        <w:t>and</w:t>
      </w:r>
      <w:r>
        <w:rPr>
          <w:rFonts w:ascii="Arial"/>
          <w:i/>
          <w:color w:val="21272A"/>
          <w:spacing w:val="48"/>
          <w:w w:val="105"/>
          <w:sz w:val="14"/>
        </w:rPr>
        <w:t> </w:t>
      </w:r>
      <w:r>
        <w:rPr>
          <w:rFonts w:ascii="Arial"/>
          <w:i/>
          <w:color w:val="21272A"/>
          <w:spacing w:val="-1"/>
          <w:w w:val="105"/>
          <w:sz w:val="14"/>
        </w:rPr>
        <w:t>Not-for-profit</w:t>
      </w:r>
      <w:r>
        <w:rPr>
          <w:rFonts w:ascii="Arial"/>
          <w:i/>
          <w:color w:val="21272A"/>
          <w:spacing w:val="1"/>
          <w:w w:val="105"/>
          <w:sz w:val="14"/>
        </w:rPr>
        <w:t> </w:t>
      </w:r>
      <w:r>
        <w:rPr>
          <w:rFonts w:ascii="Arial"/>
          <w:i/>
          <w:color w:val="21272A"/>
          <w:spacing w:val="-1"/>
          <w:w w:val="105"/>
          <w:sz w:val="14"/>
        </w:rPr>
        <w:t>Commission</w:t>
      </w:r>
      <w:r>
        <w:rPr>
          <w:rFonts w:ascii="Arial"/>
          <w:i/>
          <w:color w:val="21272A"/>
          <w:spacing w:val="-2"/>
          <w:w w:val="105"/>
          <w:sz w:val="14"/>
        </w:rPr>
        <w:t> </w:t>
      </w:r>
      <w:r>
        <w:rPr>
          <w:rFonts w:ascii="Arial"/>
          <w:i/>
          <w:color w:val="21272A"/>
          <w:w w:val="105"/>
          <w:sz w:val="14"/>
        </w:rPr>
        <w:t>Act</w:t>
      </w:r>
      <w:r>
        <w:rPr>
          <w:rFonts w:ascii="Arial"/>
          <w:i/>
          <w:color w:val="21272A"/>
          <w:spacing w:val="-2"/>
          <w:w w:val="105"/>
          <w:sz w:val="14"/>
        </w:rPr>
        <w:t> </w:t>
      </w:r>
      <w:r>
        <w:rPr>
          <w:rFonts w:ascii="Arial"/>
          <w:i/>
          <w:color w:val="21272A"/>
          <w:w w:val="105"/>
          <w:sz w:val="14"/>
        </w:rPr>
        <w:t>2012</w:t>
      </w:r>
      <w:r>
        <w:rPr>
          <w:rFonts w:ascii="Arial"/>
          <w:i/>
          <w:color w:val="21272A"/>
          <w:spacing w:val="1"/>
          <w:w w:val="105"/>
          <w:sz w:val="14"/>
        </w:rPr>
        <w:t> </w:t>
      </w:r>
      <w:r>
        <w:rPr>
          <w:rFonts w:ascii="Arial"/>
          <w:color w:val="21272A"/>
          <w:spacing w:val="-1"/>
          <w:w w:val="105"/>
          <w:sz w:val="14"/>
        </w:rPr>
        <w:t>and</w:t>
      </w:r>
      <w:r>
        <w:rPr>
          <w:rFonts w:ascii="Arial"/>
          <w:color w:val="21272A"/>
          <w:w w:val="105"/>
          <w:sz w:val="14"/>
        </w:rPr>
        <w:t> </w:t>
      </w:r>
      <w:r>
        <w:rPr>
          <w:rFonts w:ascii="Arial"/>
          <w:color w:val="21272A"/>
          <w:spacing w:val="-1"/>
          <w:w w:val="105"/>
          <w:sz w:val="14"/>
        </w:rPr>
        <w:t>the</w:t>
      </w:r>
      <w:r>
        <w:rPr>
          <w:rFonts w:ascii="Arial"/>
          <w:color w:val="21272A"/>
          <w:spacing w:val="3"/>
          <w:w w:val="105"/>
          <w:sz w:val="14"/>
        </w:rPr>
        <w:t> </w:t>
      </w:r>
      <w:r>
        <w:rPr>
          <w:rFonts w:ascii="Arial"/>
          <w:i/>
          <w:color w:val="21272A"/>
          <w:spacing w:val="-1"/>
          <w:w w:val="105"/>
          <w:sz w:val="14"/>
        </w:rPr>
        <w:t>Corporations</w:t>
      </w:r>
      <w:r>
        <w:rPr>
          <w:rFonts w:ascii="Arial"/>
          <w:i/>
          <w:color w:val="21272A"/>
          <w:spacing w:val="-3"/>
          <w:w w:val="105"/>
          <w:sz w:val="14"/>
        </w:rPr>
        <w:t> </w:t>
      </w:r>
      <w:r>
        <w:rPr>
          <w:rFonts w:ascii="Arial"/>
          <w:i/>
          <w:color w:val="21272A"/>
          <w:spacing w:val="-2"/>
          <w:w w:val="105"/>
          <w:sz w:val="14"/>
        </w:rPr>
        <w:t>Act</w:t>
      </w:r>
      <w:r>
        <w:rPr>
          <w:rFonts w:ascii="Arial"/>
          <w:i/>
          <w:color w:val="21272A"/>
          <w:spacing w:val="1"/>
          <w:w w:val="105"/>
          <w:sz w:val="14"/>
        </w:rPr>
        <w:t> </w:t>
      </w:r>
      <w:r>
        <w:rPr>
          <w:rFonts w:ascii="Arial"/>
          <w:i/>
          <w:color w:val="21272A"/>
          <w:w w:val="105"/>
          <w:sz w:val="14"/>
        </w:rPr>
        <w:t>2001</w:t>
      </w:r>
      <w:r>
        <w:rPr>
          <w:rFonts w:ascii="Arial"/>
          <w:color w:val="21272A"/>
          <w:w w:val="105"/>
          <w:sz w:val="14"/>
        </w:rPr>
        <w:t>.</w:t>
      </w:r>
      <w:r>
        <w:rPr>
          <w:rFonts w:ascii="Arial"/>
          <w:sz w:val="14"/>
        </w:rPr>
      </w:r>
    </w:p>
    <w:p>
      <w:pPr>
        <w:spacing w:line="240" w:lineRule="auto" w:before="9"/>
        <w:rPr>
          <w:rFonts w:ascii="Arial" w:hAnsi="Arial" w:cs="Arial" w:eastAsia="Arial"/>
          <w:sz w:val="16"/>
          <w:szCs w:val="16"/>
        </w:rPr>
      </w:pPr>
    </w:p>
    <w:p>
      <w:pPr>
        <w:spacing w:before="0"/>
        <w:ind w:left="875" w:right="0" w:firstLine="0"/>
        <w:jc w:val="left"/>
        <w:rPr>
          <w:rFonts w:ascii="Arial" w:hAnsi="Arial" w:cs="Arial" w:eastAsia="Arial"/>
          <w:sz w:val="14"/>
          <w:szCs w:val="14"/>
        </w:rPr>
      </w:pPr>
      <w:r>
        <w:rPr>
          <w:rFonts w:ascii="Arial"/>
          <w:color w:val="21272A"/>
          <w:spacing w:val="-1"/>
          <w:w w:val="105"/>
          <w:sz w:val="14"/>
        </w:rPr>
        <w:t>Yours</w:t>
      </w:r>
      <w:r>
        <w:rPr>
          <w:rFonts w:ascii="Arial"/>
          <w:color w:val="21272A"/>
          <w:w w:val="105"/>
          <w:sz w:val="14"/>
        </w:rPr>
        <w:t> </w:t>
      </w:r>
      <w:r>
        <w:rPr>
          <w:rFonts w:ascii="Arial"/>
          <w:color w:val="21272A"/>
          <w:spacing w:val="-1"/>
          <w:w w:val="105"/>
          <w:sz w:val="14"/>
        </w:rPr>
        <w:t>sincerely</w:t>
      </w:r>
      <w:r>
        <w:rPr>
          <w:rFonts w:ascii="Arial"/>
          <w:sz w:val="14"/>
        </w:rPr>
      </w: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85" w:lineRule="auto" w:before="107"/>
        <w:ind w:left="875" w:right="5054" w:firstLine="0"/>
        <w:jc w:val="left"/>
        <w:rPr>
          <w:rFonts w:ascii="Arial" w:hAnsi="Arial" w:cs="Arial" w:eastAsia="Arial"/>
          <w:sz w:val="14"/>
          <w:szCs w:val="14"/>
        </w:rPr>
      </w:pPr>
      <w:r>
        <w:rPr>
          <w:rFonts w:ascii="Arial"/>
          <w:color w:val="21272A"/>
          <w:spacing w:val="-1"/>
          <w:w w:val="105"/>
          <w:sz w:val="14"/>
        </w:rPr>
        <w:t>Laureate</w:t>
      </w:r>
      <w:r>
        <w:rPr>
          <w:rFonts w:ascii="Arial"/>
          <w:color w:val="21272A"/>
          <w:spacing w:val="-2"/>
          <w:w w:val="105"/>
          <w:sz w:val="14"/>
        </w:rPr>
        <w:t> </w:t>
      </w:r>
      <w:r>
        <w:rPr>
          <w:rFonts w:ascii="Arial"/>
          <w:color w:val="21272A"/>
          <w:spacing w:val="-1"/>
          <w:w w:val="105"/>
          <w:sz w:val="14"/>
        </w:rPr>
        <w:t>Professor John</w:t>
      </w:r>
      <w:r>
        <w:rPr>
          <w:rFonts w:ascii="Arial"/>
          <w:color w:val="21272A"/>
          <w:spacing w:val="2"/>
          <w:w w:val="105"/>
          <w:sz w:val="14"/>
        </w:rPr>
        <w:t> </w:t>
      </w:r>
      <w:r>
        <w:rPr>
          <w:rFonts w:ascii="Arial"/>
          <w:color w:val="21272A"/>
          <w:spacing w:val="-2"/>
          <w:w w:val="105"/>
          <w:sz w:val="14"/>
        </w:rPr>
        <w:t>Hattie</w:t>
      </w:r>
      <w:r>
        <w:rPr>
          <w:rFonts w:ascii="Arial"/>
          <w:color w:val="21272A"/>
          <w:spacing w:val="33"/>
          <w:w w:val="105"/>
          <w:sz w:val="14"/>
        </w:rPr>
        <w:t> </w:t>
      </w:r>
      <w:r>
        <w:rPr>
          <w:rFonts w:ascii="Arial"/>
          <w:color w:val="21272A"/>
          <w:spacing w:val="-1"/>
          <w:w w:val="105"/>
          <w:sz w:val="14"/>
        </w:rPr>
        <w:t>Chair</w:t>
      </w:r>
      <w:r>
        <w:rPr>
          <w:rFonts w:ascii="Arial"/>
          <w:sz w:val="14"/>
        </w:rPr>
      </w:r>
    </w:p>
    <w:p>
      <w:pPr>
        <w:spacing w:before="4"/>
        <w:ind w:left="875" w:right="0" w:firstLine="0"/>
        <w:jc w:val="left"/>
        <w:rPr>
          <w:rFonts w:ascii="Arial" w:hAnsi="Arial" w:cs="Arial" w:eastAsia="Arial"/>
          <w:sz w:val="14"/>
          <w:szCs w:val="14"/>
        </w:rPr>
      </w:pPr>
      <w:r>
        <w:rPr>
          <w:rFonts w:ascii="Arial"/>
          <w:color w:val="21272A"/>
          <w:spacing w:val="-1"/>
          <w:w w:val="105"/>
          <w:sz w:val="14"/>
        </w:rPr>
        <w:t>Australian</w:t>
      </w:r>
      <w:r>
        <w:rPr>
          <w:rFonts w:ascii="Arial"/>
          <w:color w:val="21272A"/>
          <w:spacing w:val="2"/>
          <w:w w:val="105"/>
          <w:sz w:val="14"/>
        </w:rPr>
        <w:t> </w:t>
      </w:r>
      <w:r>
        <w:rPr>
          <w:rFonts w:ascii="Arial"/>
          <w:color w:val="21272A"/>
          <w:spacing w:val="-1"/>
          <w:w w:val="105"/>
          <w:sz w:val="14"/>
        </w:rPr>
        <w:t>Institute</w:t>
      </w:r>
      <w:r>
        <w:rPr>
          <w:rFonts w:ascii="Arial"/>
          <w:color w:val="21272A"/>
          <w:spacing w:val="-2"/>
          <w:w w:val="105"/>
          <w:sz w:val="14"/>
        </w:rPr>
        <w:t> </w:t>
      </w:r>
      <w:r>
        <w:rPr>
          <w:rFonts w:ascii="Arial"/>
          <w:color w:val="21272A"/>
          <w:w w:val="105"/>
          <w:sz w:val="14"/>
        </w:rPr>
        <w:t>for</w:t>
      </w:r>
      <w:r>
        <w:rPr>
          <w:rFonts w:ascii="Arial"/>
          <w:color w:val="21272A"/>
          <w:spacing w:val="-1"/>
          <w:w w:val="105"/>
          <w:sz w:val="14"/>
        </w:rPr>
        <w:t> Teaching</w:t>
      </w:r>
      <w:r>
        <w:rPr>
          <w:rFonts w:ascii="Arial"/>
          <w:color w:val="21272A"/>
          <w:spacing w:val="2"/>
          <w:w w:val="105"/>
          <w:sz w:val="14"/>
        </w:rPr>
        <w:t> </w:t>
      </w:r>
      <w:r>
        <w:rPr>
          <w:rFonts w:ascii="Arial"/>
          <w:color w:val="21272A"/>
          <w:spacing w:val="-1"/>
          <w:w w:val="105"/>
          <w:sz w:val="14"/>
        </w:rPr>
        <w:t>and</w:t>
      </w:r>
      <w:r>
        <w:rPr>
          <w:rFonts w:ascii="Arial"/>
          <w:color w:val="21272A"/>
          <w:spacing w:val="3"/>
          <w:w w:val="105"/>
          <w:sz w:val="14"/>
        </w:rPr>
        <w:t> </w:t>
      </w:r>
      <w:r>
        <w:rPr>
          <w:rFonts w:ascii="Arial"/>
          <w:color w:val="21272A"/>
          <w:spacing w:val="-1"/>
          <w:w w:val="105"/>
          <w:sz w:val="14"/>
        </w:rPr>
        <w:t>School</w:t>
      </w:r>
      <w:r>
        <w:rPr>
          <w:rFonts w:ascii="Arial"/>
          <w:color w:val="21272A"/>
          <w:w w:val="105"/>
          <w:sz w:val="14"/>
        </w:rPr>
        <w:t> </w:t>
      </w:r>
      <w:r>
        <w:rPr>
          <w:rFonts w:ascii="Arial"/>
          <w:color w:val="21272A"/>
          <w:spacing w:val="-1"/>
          <w:w w:val="105"/>
          <w:sz w:val="14"/>
        </w:rPr>
        <w:t>Leadership</w:t>
      </w:r>
      <w:r>
        <w:rPr>
          <w:rFonts w:ascii="Arial"/>
          <w:sz w:val="14"/>
        </w:rPr>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8"/>
        <w:rPr>
          <w:rFonts w:ascii="Arial" w:hAnsi="Arial" w:cs="Arial" w:eastAsia="Arial"/>
          <w:sz w:val="27"/>
          <w:szCs w:val="27"/>
        </w:rPr>
      </w:pPr>
    </w:p>
    <w:p>
      <w:pPr>
        <w:spacing w:after="0" w:line="240" w:lineRule="auto"/>
        <w:rPr>
          <w:rFonts w:ascii="Arial" w:hAnsi="Arial" w:cs="Arial" w:eastAsia="Arial"/>
          <w:sz w:val="27"/>
          <w:szCs w:val="27"/>
        </w:rPr>
        <w:sectPr>
          <w:pgSz w:w="9980" w:h="14180"/>
          <w:pgMar w:top="1320" w:bottom="280" w:left="1020" w:right="700"/>
        </w:sectPr>
      </w:pPr>
    </w:p>
    <w:p>
      <w:pPr>
        <w:spacing w:line="240" w:lineRule="auto" w:before="11"/>
        <w:rPr>
          <w:rFonts w:ascii="Arial" w:hAnsi="Arial" w:cs="Arial" w:eastAsia="Arial"/>
          <w:sz w:val="7"/>
          <w:szCs w:val="7"/>
        </w:rPr>
      </w:pPr>
      <w:r>
        <w:rPr/>
        <w:pict>
          <v:shapetype id="_x0000_t202" o:spt="202" coordsize="21600,21600" path="m,l,21600r21600,l21600,xe">
            <v:stroke joinstyle="miter"/>
            <v:path gradientshapeok="t" o:connecttype="rect"/>
          </v:shapetype>
          <v:shape style="position:absolute;margin-left:0pt;margin-top:0pt;width:498.9pt;height:708.7pt;mso-position-horizontal-relative:page;mso-position-vertical-relative:page;z-index:-184600" type="#_x0000_t202" filled="false" stroked="false">
            <v:textbox inset="0,0,0,0">
              <w:txbxContent>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before="109"/>
                    <w:ind w:left="0" w:right="84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0"/>
                    <w:rPr>
                      <w:rFonts w:ascii="Arial" w:hAnsi="Arial" w:cs="Arial" w:eastAsia="Arial"/>
                      <w:sz w:val="14"/>
                      <w:szCs w:val="14"/>
                    </w:rPr>
                  </w:pPr>
                </w:p>
                <w:p>
                  <w:pPr>
                    <w:spacing w:line="240" w:lineRule="auto" w:before="6"/>
                    <w:rPr>
                      <w:rFonts w:ascii="Arial" w:hAnsi="Arial" w:cs="Arial" w:eastAsia="Arial"/>
                      <w:sz w:val="15"/>
                      <w:szCs w:val="15"/>
                    </w:rPr>
                  </w:pPr>
                </w:p>
                <w:p>
                  <w:pPr>
                    <w:spacing w:before="0"/>
                    <w:ind w:left="0" w:right="848" w:firstLine="0"/>
                    <w:jc w:val="right"/>
                    <w:rPr>
                      <w:rFonts w:ascii="Swis721 Lt BT" w:hAnsi="Swis721 Lt BT" w:cs="Swis721 Lt BT" w:eastAsia="Swis721 Lt BT"/>
                      <w:sz w:val="16"/>
                      <w:szCs w:val="16"/>
                    </w:rPr>
                  </w:pPr>
                  <w:r>
                    <w:rPr>
                      <w:rFonts w:ascii="Swis721 Lt BT"/>
                      <w:color w:val="231F20"/>
                      <w:w w:val="95"/>
                      <w:sz w:val="16"/>
                    </w:rPr>
                    <w:t>1</w:t>
                  </w:r>
                  <w:r>
                    <w:rPr>
                      <w:rFonts w:ascii="Swis721 Lt BT"/>
                      <w:sz w:val="16"/>
                    </w:rPr>
                  </w:r>
                </w:p>
              </w:txbxContent>
            </v:textbox>
            <w10:wrap type="none"/>
          </v:shape>
        </w:pict>
      </w:r>
      <w:r>
        <w:rPr/>
        <w:pict>
          <v:group style="position:absolute;margin-left:0pt;margin-top:0pt;width:498.9pt;height:708.7pt;mso-position-horizontal-relative:page;mso-position-vertical-relative:page;z-index:-184576" coordorigin="0,0" coordsize="9978,14174">
            <v:shape style="position:absolute;left:0;top:0;width:9978;height:14174" coordorigin="0,0" coordsize="9978,14174" path="m0,14173l9978,14173,9978,0,0,0,0,14173e" filled="true" fillcolor="#dddfe1" stroked="false">
              <v:path arrowok="t"/>
              <v:fill type="solid"/>
            </v:shape>
            <w10:wrap type="none"/>
          </v:group>
        </w:pict>
      </w:r>
      <w:r>
        <w:rPr/>
        <w:pict>
          <v:group style="position:absolute;margin-left:56.692883pt;margin-top:85.038956pt;width:402.1pt;height:562.3pt;mso-position-horizontal-relative:page;mso-position-vertical-relative:page;z-index:-184552" coordorigin="1134,1701" coordsize="8042,11246">
            <v:group style="position:absolute;left:1178;top:1745;width:7997;height:11201" coordorigin="1178,1745" coordsize="7997,11201">
              <v:shape style="position:absolute;left:1178;top:1745;width:7997;height:11201" coordorigin="1178,1745" coordsize="7997,11201" path="m1178,1745l9175,1745,9175,12946,1178,12946,1178,1745xe" filled="true" fillcolor="#231f20" stroked="false">
                <v:path arrowok="t"/>
                <v:fill type="solid"/>
              </v:shape>
            </v:group>
            <v:group style="position:absolute;left:1134;top:1701;width:7994;height:11200" coordorigin="1134,1701" coordsize="7994,11200">
              <v:shape style="position:absolute;left:1134;top:1701;width:7994;height:11200" coordorigin="1134,1701" coordsize="7994,11200" path="m1134,1701l9128,1701,9128,12900,1134,12900,1134,1701xe" filled="true" fillcolor="#ffffff" stroked="false">
                <v:path arrowok="t"/>
                <v:fill type="solid"/>
              </v:shape>
              <v:shape style="position:absolute;left:7013;top:2267;width:1257;height:1312" type="#_x0000_t75" stroked="false">
                <v:imagedata r:id="rId12" o:title=""/>
              </v:shape>
              <v:shape style="position:absolute;left:1440;top:10810;width:7395;height:1381" type="#_x0000_t75" stroked="false">
                <v:imagedata r:id="rId13" o:title=""/>
              </v:shape>
              <v:shape style="position:absolute;left:1896;top:7997;width:1806;height:1168" type="#_x0000_t75" stroked="false">
                <v:imagedata r:id="rId14" o:title=""/>
              </v:shape>
            </v:group>
            <w10:wrap type="none"/>
          </v:group>
        </w:pict>
      </w:r>
    </w:p>
    <w:p>
      <w:pPr>
        <w:spacing w:line="253" w:lineRule="auto" w:before="0"/>
        <w:ind w:left="949" w:right="568" w:firstLine="0"/>
        <w:jc w:val="left"/>
        <w:rPr>
          <w:rFonts w:ascii="Arial" w:hAnsi="Arial" w:cs="Arial" w:eastAsia="Arial"/>
          <w:sz w:val="10"/>
          <w:szCs w:val="10"/>
        </w:rPr>
      </w:pPr>
      <w:r>
        <w:rPr>
          <w:rFonts w:ascii="Arial"/>
          <w:color w:val="727C80"/>
          <w:w w:val="105"/>
          <w:sz w:val="10"/>
        </w:rPr>
        <w:t>Melbourne</w:t>
      </w:r>
      <w:r>
        <w:rPr>
          <w:rFonts w:ascii="Arial"/>
          <w:color w:val="727C80"/>
          <w:spacing w:val="5"/>
          <w:w w:val="105"/>
          <w:sz w:val="10"/>
        </w:rPr>
        <w:t> </w:t>
      </w:r>
      <w:r>
        <w:rPr>
          <w:rFonts w:ascii="Arial"/>
          <w:color w:val="727C80"/>
          <w:w w:val="105"/>
          <w:sz w:val="10"/>
        </w:rPr>
        <w:t>Office</w:t>
      </w:r>
      <w:r>
        <w:rPr>
          <w:rFonts w:ascii="Arial"/>
          <w:color w:val="727C80"/>
          <w:spacing w:val="23"/>
          <w:w w:val="106"/>
          <w:sz w:val="10"/>
        </w:rPr>
        <w:t> </w:t>
      </w:r>
      <w:r>
        <w:rPr>
          <w:rFonts w:ascii="Arial"/>
          <w:color w:val="727C80"/>
          <w:w w:val="105"/>
          <w:sz w:val="10"/>
        </w:rPr>
        <w:t>PO</w:t>
      </w:r>
      <w:r>
        <w:rPr>
          <w:rFonts w:ascii="Arial"/>
          <w:color w:val="727C80"/>
          <w:spacing w:val="3"/>
          <w:w w:val="105"/>
          <w:sz w:val="10"/>
        </w:rPr>
        <w:t> </w:t>
      </w:r>
      <w:r>
        <w:rPr>
          <w:rFonts w:ascii="Arial"/>
          <w:color w:val="727C80"/>
          <w:w w:val="105"/>
          <w:sz w:val="10"/>
        </w:rPr>
        <w:t>Box</w:t>
      </w:r>
      <w:r>
        <w:rPr>
          <w:rFonts w:ascii="Arial"/>
          <w:color w:val="727C80"/>
          <w:spacing w:val="3"/>
          <w:w w:val="105"/>
          <w:sz w:val="10"/>
        </w:rPr>
        <w:t> </w:t>
      </w:r>
      <w:r>
        <w:rPr>
          <w:rFonts w:ascii="Arial"/>
          <w:color w:val="727C80"/>
          <w:w w:val="105"/>
          <w:sz w:val="10"/>
        </w:rPr>
        <w:t>299</w:t>
      </w:r>
      <w:r>
        <w:rPr>
          <w:rFonts w:ascii="Arial"/>
          <w:sz w:val="10"/>
        </w:rPr>
      </w:r>
    </w:p>
    <w:p>
      <w:pPr>
        <w:spacing w:before="3"/>
        <w:ind w:left="949" w:right="0" w:firstLine="0"/>
        <w:jc w:val="left"/>
        <w:rPr>
          <w:rFonts w:ascii="Arial" w:hAnsi="Arial" w:cs="Arial" w:eastAsia="Arial"/>
          <w:sz w:val="10"/>
          <w:szCs w:val="10"/>
        </w:rPr>
      </w:pPr>
      <w:r>
        <w:rPr>
          <w:rFonts w:ascii="Arial"/>
          <w:color w:val="727C80"/>
          <w:spacing w:val="-1"/>
          <w:w w:val="105"/>
          <w:sz w:val="10"/>
        </w:rPr>
        <w:t>Collins</w:t>
      </w:r>
      <w:r>
        <w:rPr>
          <w:rFonts w:ascii="Arial"/>
          <w:color w:val="727C80"/>
          <w:spacing w:val="6"/>
          <w:w w:val="105"/>
          <w:sz w:val="10"/>
        </w:rPr>
        <w:t> </w:t>
      </w:r>
      <w:r>
        <w:rPr>
          <w:rFonts w:ascii="Arial"/>
          <w:color w:val="727C80"/>
          <w:spacing w:val="-1"/>
          <w:w w:val="105"/>
          <w:sz w:val="10"/>
        </w:rPr>
        <w:t>Street</w:t>
      </w:r>
      <w:r>
        <w:rPr>
          <w:rFonts w:ascii="Arial"/>
          <w:color w:val="727C80"/>
          <w:spacing w:val="2"/>
          <w:w w:val="105"/>
          <w:sz w:val="10"/>
        </w:rPr>
        <w:t> </w:t>
      </w:r>
      <w:r>
        <w:rPr>
          <w:rFonts w:ascii="Arial"/>
          <w:color w:val="727C80"/>
          <w:spacing w:val="1"/>
          <w:w w:val="105"/>
          <w:sz w:val="10"/>
        </w:rPr>
        <w:t>West </w:t>
      </w:r>
      <w:r>
        <w:rPr>
          <w:rFonts w:ascii="Arial"/>
          <w:color w:val="727C80"/>
          <w:spacing w:val="-1"/>
          <w:w w:val="105"/>
          <w:sz w:val="10"/>
        </w:rPr>
        <w:t>VIC</w:t>
      </w:r>
      <w:r>
        <w:rPr>
          <w:rFonts w:ascii="Arial"/>
          <w:color w:val="727C80"/>
          <w:spacing w:val="6"/>
          <w:w w:val="105"/>
          <w:sz w:val="10"/>
        </w:rPr>
        <w:t> </w:t>
      </w:r>
      <w:r>
        <w:rPr>
          <w:rFonts w:ascii="Arial"/>
          <w:color w:val="727C80"/>
          <w:w w:val="105"/>
          <w:sz w:val="10"/>
        </w:rPr>
        <w:t>8007</w:t>
      </w:r>
      <w:r>
        <w:rPr>
          <w:rFonts w:ascii="Arial"/>
          <w:sz w:val="10"/>
        </w:rPr>
      </w:r>
    </w:p>
    <w:p>
      <w:pPr>
        <w:spacing w:line="240" w:lineRule="auto" w:before="11"/>
        <w:rPr>
          <w:rFonts w:ascii="Arial" w:hAnsi="Arial" w:cs="Arial" w:eastAsia="Arial"/>
          <w:sz w:val="7"/>
          <w:szCs w:val="7"/>
        </w:rPr>
      </w:pPr>
      <w:r>
        <w:rPr/>
        <w:br w:type="column"/>
      </w:r>
      <w:r>
        <w:rPr>
          <w:rFonts w:ascii="Arial"/>
          <w:sz w:val="7"/>
        </w:rPr>
      </w:r>
    </w:p>
    <w:p>
      <w:pPr>
        <w:spacing w:line="253" w:lineRule="auto" w:before="0"/>
        <w:ind w:left="357" w:right="4691" w:firstLine="0"/>
        <w:jc w:val="left"/>
        <w:rPr>
          <w:rFonts w:ascii="Arial" w:hAnsi="Arial" w:cs="Arial" w:eastAsia="Arial"/>
          <w:sz w:val="10"/>
          <w:szCs w:val="10"/>
        </w:rPr>
      </w:pPr>
      <w:hyperlink r:id="rId15">
        <w:r>
          <w:rPr>
            <w:rFonts w:ascii="Arial"/>
            <w:color w:val="727C80"/>
            <w:spacing w:val="-1"/>
            <w:w w:val="105"/>
            <w:sz w:val="10"/>
          </w:rPr>
          <w:t>info@aitsl.edu.au</w:t>
        </w:r>
      </w:hyperlink>
      <w:r>
        <w:rPr>
          <w:rFonts w:ascii="Arial"/>
          <w:color w:val="727C80"/>
          <w:spacing w:val="28"/>
          <w:w w:val="106"/>
          <w:sz w:val="10"/>
        </w:rPr>
        <w:t> </w:t>
      </w:r>
      <w:r>
        <w:rPr>
          <w:rFonts w:ascii="Arial"/>
          <w:color w:val="727C80"/>
          <w:spacing w:val="-1"/>
          <w:w w:val="105"/>
          <w:sz w:val="10"/>
        </w:rPr>
        <w:t>aitsl.edu.au</w:t>
      </w:r>
      <w:r>
        <w:rPr>
          <w:rFonts w:ascii="Arial"/>
          <w:sz w:val="10"/>
        </w:rPr>
      </w:r>
    </w:p>
    <w:p>
      <w:pPr>
        <w:spacing w:before="3"/>
        <w:ind w:left="357" w:right="0" w:firstLine="0"/>
        <w:jc w:val="left"/>
        <w:rPr>
          <w:rFonts w:ascii="Arial" w:hAnsi="Arial" w:cs="Arial" w:eastAsia="Arial"/>
          <w:sz w:val="10"/>
          <w:szCs w:val="10"/>
        </w:rPr>
      </w:pPr>
      <w:r>
        <w:rPr>
          <w:rFonts w:ascii="Arial"/>
          <w:color w:val="727C80"/>
          <w:w w:val="105"/>
          <w:sz w:val="10"/>
        </w:rPr>
        <w:t>+61 3</w:t>
      </w:r>
      <w:r>
        <w:rPr>
          <w:rFonts w:ascii="Arial"/>
          <w:color w:val="727C80"/>
          <w:spacing w:val="4"/>
          <w:w w:val="105"/>
          <w:sz w:val="10"/>
        </w:rPr>
        <w:t> </w:t>
      </w:r>
      <w:r>
        <w:rPr>
          <w:rFonts w:ascii="Arial"/>
          <w:color w:val="727C80"/>
          <w:w w:val="105"/>
          <w:sz w:val="10"/>
        </w:rPr>
        <w:t>9944</w:t>
      </w:r>
      <w:r>
        <w:rPr>
          <w:rFonts w:ascii="Arial"/>
          <w:color w:val="727C80"/>
          <w:spacing w:val="4"/>
          <w:w w:val="105"/>
          <w:sz w:val="10"/>
        </w:rPr>
        <w:t> </w:t>
      </w:r>
      <w:r>
        <w:rPr>
          <w:rFonts w:ascii="Arial"/>
          <w:color w:val="727C80"/>
          <w:spacing w:val="-1"/>
          <w:w w:val="105"/>
          <w:sz w:val="10"/>
        </w:rPr>
        <w:t>1200</w:t>
      </w:r>
      <w:r>
        <w:rPr>
          <w:rFonts w:ascii="Arial"/>
          <w:sz w:val="10"/>
        </w:rPr>
      </w:r>
    </w:p>
    <w:p>
      <w:pPr>
        <w:spacing w:after="0"/>
        <w:jc w:val="left"/>
        <w:rPr>
          <w:rFonts w:ascii="Arial" w:hAnsi="Arial" w:cs="Arial" w:eastAsia="Arial"/>
          <w:sz w:val="10"/>
          <w:szCs w:val="10"/>
        </w:rPr>
        <w:sectPr>
          <w:type w:val="continuous"/>
          <w:pgSz w:w="9980" w:h="14180"/>
          <w:pgMar w:top="0" w:bottom="280" w:left="1020" w:right="700"/>
          <w:cols w:num="2" w:equalWidth="0">
            <w:col w:w="2339" w:space="40"/>
            <w:col w:w="5881"/>
          </w:cols>
        </w:sectPr>
      </w:pPr>
    </w:p>
    <w:p>
      <w:pPr>
        <w:spacing w:line="240" w:lineRule="auto" w:before="0"/>
        <w:rPr>
          <w:rFonts w:ascii="Arial" w:hAnsi="Arial" w:cs="Arial" w:eastAsia="Arial"/>
          <w:sz w:val="20"/>
          <w:szCs w:val="20"/>
        </w:rPr>
      </w:pPr>
      <w:r>
        <w:rPr/>
        <w:pict>
          <v:group style="position:absolute;margin-left:426.893097pt;margin-top:454.161011pt;width:72.05pt;height:254.5pt;mso-position-horizontal-relative:page;mso-position-vertical-relative:page;z-index:1120" coordorigin="8538,9083" coordsize="1441,5090">
            <v:shape style="position:absolute;left:8538;top:9083;width:1441;height:5090" coordorigin="8538,9083" coordsize="1441,5090" path="m9978,9083l8538,14173,9978,14173,9978,9083e" filled="true" fillcolor="#005e63" stroked="false">
              <v:path arrowok="t"/>
              <v:fill type="solid"/>
            </v:shape>
            <w10:wrap type="none"/>
          </v:group>
        </w:pict>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pStyle w:val="Heading2"/>
        <w:spacing w:line="240" w:lineRule="auto" w:before="156"/>
        <w:ind w:right="0"/>
        <w:jc w:val="left"/>
        <w:rPr>
          <w:b w:val="0"/>
          <w:bCs w:val="0"/>
        </w:rPr>
      </w:pPr>
      <w:r>
        <w:rPr>
          <w:color w:val="005E63"/>
        </w:rPr>
        <w:t>CONTENTS</w:t>
      </w:r>
      <w:r>
        <w:rPr>
          <w:b w:val="0"/>
        </w:rPr>
      </w:r>
    </w:p>
    <w:sdt>
      <w:sdtPr>
        <w:docPartObj>
          <w:docPartGallery w:val="Table of Contents"/>
          <w:docPartUnique/>
        </w:docPartObj>
      </w:sdtPr>
      <w:sdtEndPr/>
      <w:sdtContent>
        <w:p>
          <w:pPr>
            <w:pStyle w:val="TOC1"/>
            <w:tabs>
              <w:tab w:pos="5750" w:val="right" w:leader="none"/>
            </w:tabs>
            <w:spacing w:line="240" w:lineRule="auto" w:before="651"/>
            <w:ind w:right="0"/>
            <w:jc w:val="left"/>
          </w:pPr>
          <w:r>
            <w:rPr>
              <w:color w:val="303B41"/>
              <w:spacing w:val="-2"/>
            </w:rPr>
            <w:t>From</w:t>
          </w:r>
          <w:r>
            <w:rPr>
              <w:color w:val="303B41"/>
            </w:rPr>
            <w:t> the Chair</w:t>
            <w:tab/>
            <w:t>4</w:t>
          </w:r>
          <w:r>
            <w:rPr/>
          </w:r>
        </w:p>
        <w:p>
          <w:pPr>
            <w:pStyle w:val="TOC1"/>
            <w:tabs>
              <w:tab w:pos="5750" w:val="right" w:leader="none"/>
            </w:tabs>
            <w:spacing w:line="240" w:lineRule="auto"/>
            <w:ind w:right="0"/>
            <w:jc w:val="left"/>
          </w:pPr>
          <w:r>
            <w:rPr>
              <w:color w:val="303B41"/>
              <w:spacing w:val="-2"/>
            </w:rPr>
            <w:t>From</w:t>
          </w:r>
          <w:r>
            <w:rPr>
              <w:color w:val="303B41"/>
            </w:rPr>
            <w:t> the CEO</w:t>
            <w:tab/>
            <w:t>6</w:t>
          </w:r>
          <w:r>
            <w:rPr/>
          </w:r>
        </w:p>
        <w:p>
          <w:pPr>
            <w:pStyle w:val="TOC1"/>
            <w:tabs>
              <w:tab w:pos="5750" w:val="right" w:leader="none"/>
            </w:tabs>
            <w:spacing w:line="240" w:lineRule="auto"/>
            <w:ind w:right="0"/>
            <w:jc w:val="left"/>
          </w:pPr>
          <w:r>
            <w:rPr>
              <w:color w:val="303B41"/>
            </w:rPr>
            <w:t>About AITSL</w:t>
            <w:tab/>
            <w:t>8</w:t>
          </w:r>
          <w:r>
            <w:rPr/>
          </w:r>
        </w:p>
        <w:p>
          <w:pPr>
            <w:pStyle w:val="TOC1"/>
            <w:tabs>
              <w:tab w:pos="5750" w:val="right" w:leader="none"/>
            </w:tabs>
            <w:spacing w:line="240" w:lineRule="auto"/>
            <w:ind w:right="0"/>
            <w:jc w:val="left"/>
          </w:pPr>
          <w:hyperlink w:history="true" w:anchor="_TOC_250007">
            <w:r>
              <w:rPr>
                <w:color w:val="303B41"/>
              </w:rPr>
              <w:t>Stakeholder guide</w:t>
              <w:tab/>
              <w:t>12</w:t>
            </w:r>
            <w:r>
              <w:rPr/>
            </w:r>
          </w:hyperlink>
        </w:p>
        <w:p>
          <w:pPr>
            <w:pStyle w:val="TOC1"/>
            <w:tabs>
              <w:tab w:pos="5750" w:val="right" w:leader="none"/>
            </w:tabs>
            <w:spacing w:line="240" w:lineRule="auto"/>
            <w:ind w:right="0"/>
            <w:jc w:val="left"/>
          </w:pPr>
          <w:r>
            <w:rPr>
              <w:color w:val="303B41"/>
            </w:rPr>
            <w:t>Senior management</w:t>
            <w:tab/>
            <w:t>14</w:t>
          </w:r>
          <w:r>
            <w:rPr/>
          </w:r>
        </w:p>
        <w:p>
          <w:pPr>
            <w:pStyle w:val="TOC1"/>
            <w:tabs>
              <w:tab w:pos="5750" w:val="right" w:leader="none"/>
            </w:tabs>
            <w:spacing w:line="240" w:lineRule="auto"/>
            <w:ind w:right="0"/>
            <w:jc w:val="left"/>
          </w:pPr>
          <w:hyperlink w:history="true" w:anchor="_TOC_250006">
            <w:r>
              <w:rPr>
                <w:color w:val="303B41"/>
              </w:rPr>
              <w:t>Initial teacher education</w:t>
              <w:tab/>
              <w:t>18</w:t>
            </w:r>
            <w:r>
              <w:rPr/>
            </w:r>
          </w:hyperlink>
        </w:p>
        <w:p>
          <w:pPr>
            <w:pStyle w:val="TOC1"/>
            <w:tabs>
              <w:tab w:pos="5750" w:val="right" w:leader="none"/>
            </w:tabs>
            <w:spacing w:line="240" w:lineRule="auto"/>
            <w:ind w:right="0"/>
            <w:jc w:val="left"/>
          </w:pPr>
          <w:r>
            <w:rPr>
              <w:color w:val="303B41"/>
              <w:spacing w:val="-30"/>
            </w:rPr>
            <w:t>T</w:t>
          </w:r>
          <w:r>
            <w:rPr>
              <w:color w:val="303B41"/>
            </w:rPr>
            <w:t>eaching and school leadership in Australia</w:t>
            <w:tab/>
            <w:t>20</w:t>
          </w:r>
          <w:r>
            <w:rPr/>
          </w:r>
        </w:p>
        <w:p>
          <w:pPr>
            <w:pStyle w:val="TOC1"/>
            <w:tabs>
              <w:tab w:pos="5750" w:val="right" w:leader="none"/>
            </w:tabs>
            <w:spacing w:line="240" w:lineRule="auto"/>
            <w:ind w:right="0"/>
            <w:jc w:val="left"/>
          </w:pPr>
          <w:r>
            <w:rPr>
              <w:color w:val="303B41"/>
            </w:rPr>
            <w:t>Research and evidence-based insights</w:t>
            <w:tab/>
            <w:t>23</w:t>
          </w:r>
          <w:r>
            <w:rPr/>
          </w:r>
        </w:p>
        <w:p>
          <w:pPr>
            <w:pStyle w:val="TOC1"/>
            <w:tabs>
              <w:tab w:pos="5750" w:val="right" w:leader="none"/>
            </w:tabs>
            <w:spacing w:line="240" w:lineRule="auto"/>
            <w:ind w:right="0"/>
            <w:jc w:val="left"/>
          </w:pPr>
          <w:hyperlink w:history="true" w:anchor="_TOC_250005">
            <w:r>
              <w:rPr>
                <w:color w:val="303B41"/>
              </w:rPr>
              <w:t>Reach into the profession</w:t>
              <w:tab/>
              <w:t>26</w:t>
            </w:r>
            <w:r>
              <w:rPr/>
            </w:r>
          </w:hyperlink>
        </w:p>
        <w:p>
          <w:pPr>
            <w:pStyle w:val="TOC1"/>
            <w:tabs>
              <w:tab w:pos="5750" w:val="right" w:leader="none"/>
            </w:tabs>
            <w:spacing w:line="240" w:lineRule="auto"/>
            <w:ind w:right="0"/>
            <w:jc w:val="left"/>
          </w:pPr>
          <w:hyperlink w:history="true" w:anchor="_TOC_250004">
            <w:r>
              <w:rPr>
                <w:color w:val="303B41"/>
                <w:spacing w:val="-2"/>
              </w:rPr>
              <w:t>Key</w:t>
            </w:r>
            <w:r>
              <w:rPr>
                <w:color w:val="303B41"/>
              </w:rPr>
              <w:t> events</w:t>
              <w:tab/>
              <w:t>27</w:t>
            </w:r>
            <w:r>
              <w:rPr/>
            </w:r>
          </w:hyperlink>
        </w:p>
        <w:p>
          <w:pPr>
            <w:pStyle w:val="TOC1"/>
            <w:tabs>
              <w:tab w:pos="5750" w:val="right" w:leader="none"/>
            </w:tabs>
            <w:spacing w:line="240" w:lineRule="auto"/>
            <w:ind w:right="0"/>
            <w:jc w:val="left"/>
          </w:pPr>
          <w:r>
            <w:rPr>
              <w:color w:val="303B41"/>
            </w:rPr>
            <w:t>Corporate governance statement</w:t>
            <w:tab/>
            <w:t>30</w:t>
          </w:r>
          <w:r>
            <w:rPr/>
          </w:r>
        </w:p>
        <w:p>
          <w:pPr>
            <w:pStyle w:val="TOC1"/>
            <w:tabs>
              <w:tab w:pos="5750" w:val="right" w:leader="none"/>
            </w:tabs>
            <w:spacing w:line="240" w:lineRule="auto"/>
            <w:ind w:right="0"/>
            <w:jc w:val="left"/>
          </w:pPr>
          <w:r>
            <w:rPr>
              <w:color w:val="303B41"/>
            </w:rPr>
            <w:t>Directors’ report</w:t>
            <w:tab/>
            <w:t>37</w:t>
          </w:r>
          <w:r>
            <w:rPr/>
          </w:r>
        </w:p>
        <w:p>
          <w:pPr>
            <w:pStyle w:val="TOC1"/>
            <w:tabs>
              <w:tab w:pos="5750" w:val="right" w:leader="none"/>
            </w:tabs>
            <w:spacing w:line="240" w:lineRule="auto"/>
            <w:ind w:right="0"/>
            <w:jc w:val="left"/>
          </w:pPr>
          <w:hyperlink w:history="true" w:anchor="_TOC_250003">
            <w:r>
              <w:rPr>
                <w:color w:val="303B41"/>
              </w:rPr>
              <w:t>Financial report</w:t>
              <w:tab/>
              <w:t>46</w:t>
            </w:r>
            <w:r>
              <w:rPr/>
            </w:r>
          </w:hyperlink>
        </w:p>
        <w:p>
          <w:pPr>
            <w:pStyle w:val="TOC1"/>
            <w:tabs>
              <w:tab w:pos="5750" w:val="right" w:leader="none"/>
            </w:tabs>
            <w:spacing w:line="240" w:lineRule="auto"/>
            <w:ind w:right="0"/>
            <w:jc w:val="left"/>
          </w:pPr>
          <w:hyperlink w:history="true" w:anchor="_TOC_250002">
            <w:r>
              <w:rPr>
                <w:color w:val="303B41"/>
              </w:rPr>
              <w:t>Notes</w:t>
            </w:r>
            <w:r>
              <w:rPr>
                <w:color w:val="303B41"/>
                <w:spacing w:val="-1"/>
              </w:rPr>
              <w:t> </w:t>
            </w:r>
            <w:r>
              <w:rPr>
                <w:color w:val="303B41"/>
              </w:rPr>
              <w:t>to the financial</w:t>
            </w:r>
            <w:r>
              <w:rPr>
                <w:color w:val="303B41"/>
                <w:spacing w:val="-1"/>
              </w:rPr>
              <w:t> </w:t>
            </w:r>
            <w:r>
              <w:rPr>
                <w:color w:val="303B41"/>
              </w:rPr>
              <w:t>statements</w:t>
              <w:tab/>
              <w:t>56</w:t>
            </w:r>
            <w:r>
              <w:rPr/>
            </w:r>
          </w:hyperlink>
        </w:p>
        <w:p>
          <w:pPr>
            <w:pStyle w:val="TOC1"/>
            <w:tabs>
              <w:tab w:pos="5750" w:val="right" w:leader="none"/>
            </w:tabs>
            <w:spacing w:line="240" w:lineRule="auto"/>
            <w:ind w:right="0"/>
            <w:jc w:val="left"/>
          </w:pPr>
          <w:hyperlink w:history="true" w:anchor="_TOC_250001">
            <w:r>
              <w:rPr>
                <w:color w:val="303B41"/>
              </w:rPr>
              <w:t>Consultation groups</w:t>
              <w:tab/>
              <w:t>71</w:t>
            </w:r>
            <w:r>
              <w:rPr/>
            </w:r>
          </w:hyperlink>
        </w:p>
        <w:p>
          <w:pPr>
            <w:pStyle w:val="TOC1"/>
            <w:tabs>
              <w:tab w:pos="5750" w:val="right" w:leader="none"/>
            </w:tabs>
            <w:spacing w:line="240" w:lineRule="auto"/>
            <w:ind w:right="0"/>
            <w:jc w:val="left"/>
          </w:pPr>
          <w:hyperlink w:history="true" w:anchor="_TOC_250000">
            <w:r>
              <w:rPr>
                <w:color w:val="303B41"/>
              </w:rPr>
              <w:t>Appendices</w:t>
              <w:tab/>
              <w:t>78</w:t>
            </w:r>
            <w:r>
              <w:rPr/>
            </w:r>
          </w:hyperlink>
        </w:p>
      </w:sdtContent>
    </w:sdt>
    <w:p>
      <w:pPr>
        <w:spacing w:after="0" w:line="240" w:lineRule="auto"/>
        <w:jc w:val="left"/>
        <w:sectPr>
          <w:footerReference w:type="even" r:id="rId16"/>
          <w:pgSz w:w="9980" w:h="14180"/>
          <w:pgMar w:footer="452" w:header="0" w:top="1320" w:bottom="640" w:left="740" w:right="0"/>
          <w:pgNumType w:start="2"/>
        </w:sectPr>
      </w:pPr>
    </w:p>
    <w:p>
      <w:pPr>
        <w:spacing w:before="58"/>
        <w:ind w:left="0" w:right="103" w:firstLine="0"/>
        <w:jc w:val="right"/>
        <w:rPr>
          <w:rFonts w:ascii="Times New Roman" w:hAnsi="Times New Roman" w:cs="Times New Roman" w:eastAsia="Times New Roman"/>
          <w:sz w:val="16"/>
          <w:szCs w:val="16"/>
        </w:rPr>
      </w:pPr>
      <w:r>
        <w:rPr/>
        <w:pict>
          <v:group style="position:absolute;margin-left:0pt;margin-top:0pt;width:498.9pt;height:708.7pt;mso-position-horizontal-relative:page;mso-position-vertical-relative:page;z-index:-184504" coordorigin="0,0" coordsize="9978,14174">
            <v:shape style="position:absolute;left:0;top:0;width:9978;height:14173" type="#_x0000_t75" stroked="false">
              <v:imagedata r:id="rId18" o:title=""/>
            </v:shape>
            <v:group style="position:absolute;left:4853;top:72;width:985;height:2" coordorigin="4853,72" coordsize="985,2">
              <v:shape style="position:absolute;left:4853;top:72;width:985;height:2" coordorigin="4853,72" coordsize="985,0" path="m4853,72l5838,72e" filled="false" stroked="true" strokeweight="1.427462pt" strokecolor="#9c9780">
                <v:path arrowok="t"/>
              </v:shape>
            </v:group>
            <v:group style="position:absolute;left:6409;top:14;width:900;height:2" coordorigin="6409,14" coordsize="900,2">
              <v:shape style="position:absolute;left:6409;top:14;width:900;height:2" coordorigin="6409,14" coordsize="900,0" path="m6409,14l7309,14e" filled="false" stroked="true" strokeweight=".713731pt" strokecolor="#c3bfa8">
                <v:path arrowok="t"/>
              </v:shape>
            </v:group>
            <v:group style="position:absolute;left:7294;top:50;width:2670;height:2" coordorigin="7294,50" coordsize="2670,2">
              <v:shape style="position:absolute;left:7294;top:50;width:2670;height:2" coordorigin="7294,50" coordsize="2670,0" path="m7294,50l9964,50e" filled="false" stroked="true" strokeweight=".713731pt" strokecolor="#aca083">
                <v:path arrowok="t"/>
              </v:shape>
            </v:group>
            <v:group style="position:absolute;left:9907;top:14;width:2;height:875" coordorigin="9907,14" coordsize="2,875">
              <v:shape style="position:absolute;left:9907;top:14;width:2;height:875" coordorigin="9907,14" coordsize="0,875" path="m9907,889l9907,14e" filled="false" stroked="true" strokeweight=".713731pt" strokecolor="#b8a887">
                <v:path arrowok="t"/>
              </v:shape>
            </v:group>
            <v:group style="position:absolute;left:9935;top:2465;width:2;height:817" coordorigin="9935,2465" coordsize="2,817">
              <v:shape style="position:absolute;left:9935;top:2465;width:2;height:817" coordorigin="9935,2465" coordsize="0,817" path="m9935,3282l9935,2465e" filled="false" stroked="true" strokeweight=".713731pt" strokecolor="#000000">
                <v:path arrowok="t"/>
              </v:shape>
            </v:group>
            <w10:wrap type="none"/>
          </v:group>
        </w:pict>
      </w:r>
      <w:r>
        <w:rPr>
          <w:rFonts w:ascii="Arial"/>
          <w:color w:val="544D46"/>
          <w:w w:val="85"/>
          <w:sz w:val="16"/>
        </w:rPr>
        <w:t>ANNUALREPORT</w:t>
      </w:r>
      <w:r>
        <w:rPr>
          <w:rFonts w:ascii="Arial"/>
          <w:color w:val="544D46"/>
          <w:spacing w:val="20"/>
          <w:w w:val="85"/>
          <w:sz w:val="16"/>
        </w:rPr>
        <w:t> </w:t>
      </w:r>
      <w:r>
        <w:rPr>
          <w:rFonts w:ascii="Times New Roman"/>
          <w:color w:val="544D46"/>
          <w:w w:val="85"/>
          <w:sz w:val="16"/>
        </w:rPr>
        <w:t>3't</w:t>
      </w:r>
      <w:r>
        <w:rPr>
          <w:rFonts w:ascii="Times New Roman"/>
          <w:sz w:val="16"/>
        </w:rPr>
      </w:r>
    </w:p>
    <w:p>
      <w:pPr>
        <w:spacing w:after="0"/>
        <w:jc w:val="right"/>
        <w:rPr>
          <w:rFonts w:ascii="Times New Roman" w:hAnsi="Times New Roman" w:cs="Times New Roman" w:eastAsia="Times New Roman"/>
          <w:sz w:val="16"/>
          <w:szCs w:val="16"/>
        </w:rPr>
        <w:sectPr>
          <w:footerReference w:type="default" r:id="rId17"/>
          <w:pgSz w:w="9980" w:h="14180"/>
          <w:pgMar w:footer="0" w:header="0" w:top="380" w:bottom="280" w:left="1380" w:right="1060"/>
        </w:sect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7"/>
        <w:rPr>
          <w:rFonts w:ascii="Times New Roman" w:hAnsi="Times New Roman" w:cs="Times New Roman" w:eastAsia="Times New Roman"/>
          <w:sz w:val="21"/>
          <w:szCs w:val="21"/>
        </w:rPr>
      </w:pPr>
    </w:p>
    <w:p>
      <w:pPr>
        <w:pStyle w:val="BodyText"/>
        <w:spacing w:line="240" w:lineRule="auto" w:before="0"/>
        <w:ind w:left="5014" w:right="1134"/>
        <w:jc w:val="left"/>
      </w:pPr>
      <w:r>
        <w:rPr/>
        <w:pict>
          <v:group style="position:absolute;margin-left:0pt;margin-top:-240.748123pt;width:498.9pt;height:239.9pt;mso-position-horizontal-relative:page;mso-position-vertical-relative:paragraph;z-index:1192" coordorigin="0,-4815" coordsize="9978,4798">
            <v:group style="position:absolute;left:0;top:-4815;width:9978;height:1018" coordorigin="0,-4815" coordsize="9978,1018">
              <v:shape style="position:absolute;left:0;top:-4815;width:9978;height:1018" coordorigin="0,-4815" coordsize="9978,1018" path="m0,-3797l9978,-3797,9978,-4815,0,-4815,0,-3797xe" filled="true" fillcolor="#003b45" stroked="false">
                <v:path arrowok="t"/>
                <v:fill type="solid"/>
              </v:shape>
            </v:group>
            <v:group style="position:absolute;left:0;top:-3797;width:9978;height:3780" coordorigin="0,-3797" coordsize="9978,3780">
              <v:shape style="position:absolute;left:0;top:-3797;width:9978;height:3780" coordorigin="0,-3797" coordsize="9978,3780" path="m9978,-3797l0,-3797,0,-18,9978,-2840,9978,-3797xe" filled="true" fillcolor="#bfd22b" stroked="false">
                <v:path arrowok="t"/>
                <v:fill type="solid"/>
              </v:shape>
              <v:shape style="position:absolute;left:850;top:-3171;width:3490;height:400" type="#_x0000_t202" filled="false" stroked="false">
                <v:textbox inset="0,0,0,0">
                  <w:txbxContent>
                    <w:p>
                      <w:pPr>
                        <w:spacing w:line="400" w:lineRule="exact" w:before="0"/>
                        <w:ind w:left="0" w:right="0" w:firstLine="0"/>
                        <w:jc w:val="left"/>
                        <w:rPr>
                          <w:rFonts w:ascii="Swis721 BT" w:hAnsi="Swis721 BT" w:cs="Swis721 BT" w:eastAsia="Swis721 BT"/>
                          <w:sz w:val="40"/>
                          <w:szCs w:val="40"/>
                        </w:rPr>
                      </w:pPr>
                      <w:r>
                        <w:rPr>
                          <w:rFonts w:ascii="Swis721 BT"/>
                          <w:b/>
                          <w:color w:val="005E63"/>
                          <w:sz w:val="40"/>
                        </w:rPr>
                        <w:t>FROM THE CHAIR</w:t>
                      </w:r>
                      <w:r>
                        <w:rPr>
                          <w:rFonts w:ascii="Swis721 BT"/>
                          <w:sz w:val="40"/>
                        </w:rPr>
                      </w:r>
                    </w:p>
                  </w:txbxContent>
                </v:textbox>
                <w10:wrap type="none"/>
              </v:shape>
            </v:group>
            <w10:wrap type="none"/>
          </v:group>
        </w:pict>
      </w:r>
      <w:bookmarkStart w:name="FROM THE CHAIR" w:id="1"/>
      <w:bookmarkEnd w:id="1"/>
      <w:r>
        <w:rPr/>
      </w:r>
      <w:r>
        <w:rPr>
          <w:color w:val="231F20"/>
        </w:rPr>
        <w:t>It gives me great pleasure to present the</w:t>
      </w:r>
      <w:r>
        <w:rPr>
          <w:color w:val="231F20"/>
        </w:rPr>
        <w:t> Annual Report 2018–19 of the Australian Institute for </w:t>
      </w:r>
      <w:r>
        <w:rPr>
          <w:color w:val="231F20"/>
          <w:spacing w:val="-26"/>
        </w:rPr>
        <w:t>T</w:t>
      </w:r>
      <w:r>
        <w:rPr>
          <w:color w:val="231F20"/>
        </w:rPr>
        <w:t>eaching and School Leadership</w:t>
      </w:r>
      <w:r>
        <w:rPr>
          <w:color w:val="231F20"/>
        </w:rPr>
        <w:t> (AITSL).</w:t>
      </w:r>
      <w:r>
        <w:rPr/>
      </w:r>
    </w:p>
    <w:p>
      <w:pPr>
        <w:pStyle w:val="BodyText"/>
        <w:spacing w:line="240" w:lineRule="auto"/>
        <w:ind w:left="5014" w:right="1401"/>
        <w:jc w:val="left"/>
      </w:pPr>
      <w:r>
        <w:rPr/>
        <w:pict>
          <v:group style="position:absolute;margin-left:42.369999pt;margin-top:7.016357pt;width:125.6pt;height:156.9pt;mso-position-horizontal-relative:page;mso-position-vertical-relative:paragraph;z-index:1216" coordorigin="847,140" coordsize="2512,3138">
            <v:shape style="position:absolute;left:852;top:144;width:2504;height:3129" type="#_x0000_t75" stroked="false">
              <v:imagedata r:id="rId21" o:title=""/>
            </v:shape>
            <v:group style="position:absolute;left:852;top:144;width:2504;height:3130" coordorigin="852,144" coordsize="2504,3130">
              <v:shape style="position:absolute;left:852;top:144;width:2504;height:3130" coordorigin="852,144" coordsize="2504,3130" path="m852,3274l3355,3274,3355,144,852,144,852,3274xe" filled="false" stroked="true" strokeweight=".414pt" strokecolor="#71797f">
                <v:path arrowok="t"/>
              </v:shape>
            </v:group>
            <w10:wrap type="none"/>
          </v:group>
        </w:pict>
      </w:r>
      <w:r>
        <w:rPr>
          <w:color w:val="231F20"/>
        </w:rPr>
        <w:t>The world of education is changing rapidly and there is nothing more important to the AITSL Board of Directors than realising our vision of a world-class education system so that learners across Australia can succeed as curious, well informed, and collegial citizens. Our Board, which has experts from the profession, along with wise, expert</w:t>
      </w:r>
      <w:r>
        <w:rPr/>
      </w:r>
    </w:p>
    <w:p>
      <w:pPr>
        <w:pStyle w:val="BodyText"/>
        <w:spacing w:line="240" w:lineRule="auto" w:before="0"/>
        <w:ind w:left="5014" w:right="1134"/>
        <w:jc w:val="left"/>
      </w:pPr>
      <w:r>
        <w:rPr>
          <w:color w:val="231F20"/>
        </w:rPr>
        <w:t>perspectives across the education landscape, oversaw several foundational achievements this year aimed at enhancing the expertise of teachers and school leaders.</w:t>
      </w:r>
      <w:r>
        <w:rPr/>
      </w:r>
    </w:p>
    <w:p>
      <w:pPr>
        <w:pStyle w:val="BodyText"/>
        <w:spacing w:line="240" w:lineRule="auto"/>
        <w:ind w:left="5014" w:right="1134"/>
        <w:jc w:val="left"/>
      </w:pPr>
      <w:r>
        <w:rPr>
          <w:color w:val="231F20"/>
          <w:spacing w:val="-26"/>
        </w:rPr>
        <w:t>T</w:t>
      </w:r>
      <w:r>
        <w:rPr>
          <w:color w:val="231F20"/>
        </w:rPr>
        <w:t>ogethe</w:t>
      </w:r>
      <w:r>
        <w:rPr>
          <w:color w:val="231F20"/>
          <w:spacing w:val="-18"/>
        </w:rPr>
        <w:t>r</w:t>
      </w:r>
      <w:r>
        <w:rPr>
          <w:color w:val="231F20"/>
        </w:rPr>
        <w:t>, we worked with the Australian</w:t>
      </w:r>
      <w:r>
        <w:rPr>
          <w:color w:val="231F20"/>
        </w:rPr>
        <w:t> Government and Education Council on many of the agreed reforms outlined in the National Schools Reform Agreement. Our focus remained</w:t>
      </w:r>
      <w:r>
        <w:rPr>
          <w:color w:val="231F20"/>
          <w:spacing w:val="-1"/>
        </w:rPr>
        <w:t> </w:t>
      </w:r>
      <w:r>
        <w:rPr>
          <w:color w:val="231F20"/>
        </w:rPr>
        <w:t>on</w:t>
      </w:r>
      <w:r>
        <w:rPr>
          <w:color w:val="231F20"/>
          <w:spacing w:val="-1"/>
        </w:rPr>
        <w:t> </w:t>
      </w:r>
      <w:r>
        <w:rPr>
          <w:color w:val="231F20"/>
        </w:rPr>
        <w:t>assisting</w:t>
      </w:r>
      <w:r>
        <w:rPr>
          <w:color w:val="231F20"/>
          <w:spacing w:val="-1"/>
        </w:rPr>
        <w:t> </w:t>
      </w:r>
      <w:r>
        <w:rPr>
          <w:color w:val="231F20"/>
        </w:rPr>
        <w:t>all</w:t>
      </w:r>
      <w:r>
        <w:rPr>
          <w:color w:val="231F20"/>
          <w:spacing w:val="-1"/>
        </w:rPr>
        <w:t> </w:t>
      </w:r>
      <w:r>
        <w:rPr>
          <w:color w:val="231F20"/>
        </w:rPr>
        <w:t>jurisdictions</w:t>
      </w:r>
      <w:r>
        <w:rPr>
          <w:color w:val="231F20"/>
          <w:spacing w:val="-1"/>
        </w:rPr>
        <w:t> </w:t>
      </w:r>
      <w:r>
        <w:rPr>
          <w:color w:val="231F20"/>
        </w:rPr>
        <w:t>to</w:t>
      </w:r>
      <w:r>
        <w:rPr>
          <w:color w:val="231F20"/>
          <w:spacing w:val="-1"/>
        </w:rPr>
        <w:t> </w:t>
      </w:r>
      <w:r>
        <w:rPr>
          <w:color w:val="231F20"/>
        </w:rPr>
        <w:t>scope</w:t>
      </w:r>
      <w:r>
        <w:rPr>
          <w:color w:val="231F20"/>
        </w:rPr>
        <w:t> or implement these programs so our students and</w:t>
      </w:r>
      <w:r>
        <w:rPr>
          <w:color w:val="231F20"/>
          <w:spacing w:val="-4"/>
        </w:rPr>
        <w:t> </w:t>
      </w:r>
      <w:r>
        <w:rPr>
          <w:color w:val="231F20"/>
        </w:rPr>
        <w:t>educators</w:t>
      </w:r>
      <w:r>
        <w:rPr>
          <w:color w:val="231F20"/>
          <w:spacing w:val="-3"/>
        </w:rPr>
        <w:t> </w:t>
      </w:r>
      <w:r>
        <w:rPr>
          <w:color w:val="231F20"/>
        </w:rPr>
        <w:t>benefit.</w:t>
      </w:r>
      <w:r>
        <w:rPr/>
      </w:r>
    </w:p>
    <w:p>
      <w:pPr>
        <w:pStyle w:val="BodyText"/>
        <w:spacing w:line="240" w:lineRule="auto"/>
        <w:ind w:left="5014" w:right="1302"/>
        <w:jc w:val="left"/>
      </w:pPr>
      <w:r>
        <w:rPr>
          <w:color w:val="231F20"/>
        </w:rPr>
        <w:t>AITSL’s development and release of the 2018 Initial </w:t>
      </w:r>
      <w:r>
        <w:rPr>
          <w:color w:val="231F20"/>
          <w:spacing w:val="-26"/>
        </w:rPr>
        <w:t>T</w:t>
      </w:r>
      <w:r>
        <w:rPr>
          <w:color w:val="231F20"/>
        </w:rPr>
        <w:t>eacher Education (ITE) Data</w:t>
      </w:r>
      <w:r>
        <w:rPr>
          <w:color w:val="231F20"/>
        </w:rPr>
        <w:t> Report unearthed emerging, positive signs in enhancing the quality within Australia’s teacher education </w:t>
      </w:r>
      <w:r>
        <w:rPr>
          <w:color w:val="231F20"/>
          <w:spacing w:val="-3"/>
        </w:rPr>
        <w:t>sector.</w:t>
      </w:r>
      <w:r>
        <w:rPr>
          <w:color w:val="231F20"/>
        </w:rPr>
        <w:t> Combined with the</w:t>
      </w:r>
      <w:r>
        <w:rPr/>
      </w:r>
    </w:p>
    <w:p>
      <w:pPr>
        <w:pStyle w:val="BodyText"/>
        <w:spacing w:line="240" w:lineRule="auto" w:before="0"/>
        <w:ind w:left="5014" w:right="1134"/>
        <w:jc w:val="left"/>
      </w:pPr>
      <w:r>
        <w:rPr>
          <w:color w:val="231F20"/>
        </w:rPr>
        <w:t>successful adoption by many ITE providers of the new teaching performance assessments that require graduates to demonstrate their</w:t>
      </w:r>
      <w:r>
        <w:rPr/>
      </w:r>
    </w:p>
    <w:p>
      <w:pPr>
        <w:pStyle w:val="BodyText"/>
        <w:spacing w:line="240" w:lineRule="auto" w:before="0"/>
        <w:ind w:left="5014" w:right="1343"/>
        <w:jc w:val="left"/>
      </w:pPr>
      <w:r>
        <w:rPr>
          <w:color w:val="231F20"/>
        </w:rPr>
        <w:t>in-class impact on student learning to pass a program, the sector is now in better shape to develop graduates who are classroom ready from day one.</w:t>
      </w:r>
      <w:r>
        <w:rPr/>
      </w:r>
    </w:p>
    <w:p>
      <w:pPr>
        <w:spacing w:after="0" w:line="240" w:lineRule="auto"/>
        <w:jc w:val="left"/>
        <w:sectPr>
          <w:footerReference w:type="even" r:id="rId19"/>
          <w:footerReference w:type="default" r:id="rId20"/>
          <w:pgSz w:w="9980" w:h="14180"/>
          <w:pgMar w:footer="452" w:header="0" w:top="0" w:bottom="640" w:left="0" w:right="0"/>
          <w:pgNumType w:start="4"/>
        </w:sectPr>
      </w:pPr>
    </w:p>
    <w:p>
      <w:pPr>
        <w:spacing w:line="240" w:lineRule="auto" w:before="5"/>
        <w:rPr>
          <w:rFonts w:ascii="Swis721 Lt BT" w:hAnsi="Swis721 Lt BT" w:cs="Swis721 Lt BT" w:eastAsia="Swis721 Lt BT"/>
          <w:sz w:val="28"/>
          <w:szCs w:val="28"/>
        </w:rPr>
      </w:pPr>
    </w:p>
    <w:p>
      <w:pPr>
        <w:spacing w:before="77"/>
        <w:ind w:left="0" w:right="848" w:firstLine="0"/>
        <w:jc w:val="right"/>
        <w:rPr>
          <w:rFonts w:ascii="Swis721 Lt BT" w:hAnsi="Swis721 Lt BT" w:cs="Swis721 Lt BT" w:eastAsia="Swis721 Lt BT"/>
          <w:sz w:val="14"/>
          <w:szCs w:val="14"/>
        </w:rPr>
      </w:pPr>
      <w:r>
        <w:rPr/>
        <w:pict>
          <v:shape style="position:absolute;margin-left:0pt;margin-top:-17.711086pt;width:498.9pt;height:50.9pt;mso-position-horizontal-relative:page;mso-position-vertical-relative:paragraph;z-index:-184408" type="#_x0000_t202" filled="false" stroked="false">
            <v:textbox inset="0,0,0,0">
              <w:txbxContent>
                <w:p>
                  <w:pPr>
                    <w:spacing w:line="240" w:lineRule="auto" w:before="0"/>
                    <w:rPr>
                      <w:rFonts w:ascii="Swis721 Lt BT" w:hAnsi="Swis721 Lt BT" w:cs="Swis721 Lt BT" w:eastAsia="Swis721 Lt BT"/>
                      <w:sz w:val="14"/>
                      <w:szCs w:val="14"/>
                    </w:rPr>
                  </w:pPr>
                </w:p>
                <w:p>
                  <w:pPr>
                    <w:spacing w:line="240" w:lineRule="auto" w:before="0"/>
                    <w:rPr>
                      <w:rFonts w:ascii="Swis721 Lt BT" w:hAnsi="Swis721 Lt BT" w:cs="Swis721 Lt BT" w:eastAsia="Swis721 Lt BT"/>
                      <w:sz w:val="14"/>
                      <w:szCs w:val="14"/>
                    </w:rPr>
                  </w:pPr>
                </w:p>
                <w:p>
                  <w:pPr>
                    <w:spacing w:before="95"/>
                    <w:ind w:left="0" w:right="84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txbxContent>
            </v:textbox>
            <w10:wrap type="none"/>
          </v:shape>
        </w:pict>
      </w:r>
      <w:r>
        <w:rPr/>
        <w:pict>
          <v:group style="position:absolute;margin-left:0pt;margin-top:-17.711885pt;width:498.9pt;height:98.8pt;mso-position-horizontal-relative:page;mso-position-vertical-relative:paragraph;z-index:-184384" coordorigin="0,-354" coordsize="9978,1976">
            <v:group style="position:absolute;left:0;top:-354;width:9978;height:1018" coordorigin="0,-354" coordsize="9978,1018">
              <v:shape style="position:absolute;left:0;top:-354;width:9978;height:1018" coordorigin="0,-354" coordsize="9978,1018" path="m0,664l9978,664,9978,-354,0,-354,0,664xe" filled="true" fillcolor="#003b45" stroked="false">
                <v:path arrowok="t"/>
                <v:fill type="solid"/>
              </v:shape>
            </v:group>
            <v:group style="position:absolute;left:0;top:664;width:3385;height:958" coordorigin="0,664" coordsize="3385,958">
              <v:shape style="position:absolute;left:0;top:664;width:3385;height:958" coordorigin="0,664" coordsize="3385,958" path="m3384,664l0,664,0,1621,3384,664xe" filled="true" fillcolor="#bfd22b" stroked="false">
                <v:path arrowok="t"/>
                <v:fill type="solid"/>
              </v:shape>
            </v:group>
            <v:group style="position:absolute;left:3384;top:-354;width:6594;height:1018" coordorigin="3384,-354" coordsize="6594,1018">
              <v:shape style="position:absolute;left:3384;top:-354;width:6594;height:1018" coordorigin="3384,-354" coordsize="6594,1018" path="m6982,-354l3384,664,9978,664,9978,-354,6982,-354e" filled="true" fillcolor="#005e63" stroked="false">
                <v:path arrowok="t"/>
                <v:fill type="solid"/>
              </v:shape>
            </v:group>
            <w10:wrap type="none"/>
          </v:group>
        </w:pict>
      </w:r>
      <w:r>
        <w:rPr>
          <w:rFonts w:ascii="Swis721 Lt BT" w:hAnsi="Swis721 Lt BT" w:cs="Swis721 Lt BT" w:eastAsia="Swis721 Lt BT"/>
          <w:color w:val="FFFFFF"/>
          <w:sz w:val="14"/>
          <w:szCs w:val="14"/>
        </w:rPr>
        <w:t>A</w:t>
      </w:r>
      <w:r>
        <w:rPr>
          <w:rFonts w:ascii="Swis721 Lt BT" w:hAnsi="Swis721 Lt BT" w:cs="Swis721 Lt BT" w:eastAsia="Swis721 Lt BT"/>
          <w:color w:val="FFFFFF"/>
          <w:spacing w:val="-36"/>
          <w:sz w:val="14"/>
          <w:szCs w:val="14"/>
        </w:rPr>
        <w:t>N</w:t>
      </w:r>
      <w:r>
        <w:rPr>
          <w:rFonts w:ascii="Swis721 Lt BT" w:hAnsi="Swis721 Lt BT" w:cs="Swis721 Lt BT" w:eastAsia="Swis721 Lt BT"/>
          <w:color w:val="FFFFFF"/>
          <w:spacing w:val="-51"/>
          <w:sz w:val="14"/>
          <w:szCs w:val="14"/>
        </w:rPr>
        <w:t>A</w:t>
      </w:r>
      <w:r>
        <w:rPr>
          <w:rFonts w:ascii="Swis721 Lt BT" w:hAnsi="Swis721 Lt BT" w:cs="Swis721 Lt BT" w:eastAsia="Swis721 Lt BT"/>
          <w:color w:val="FFFFFF"/>
          <w:spacing w:val="-49"/>
          <w:sz w:val="14"/>
          <w:szCs w:val="14"/>
        </w:rPr>
        <w:t>N</w:t>
      </w:r>
      <w:r>
        <w:rPr>
          <w:rFonts w:ascii="Swis721 Lt BT" w:hAnsi="Swis721 Lt BT" w:cs="Swis721 Lt BT" w:eastAsia="Swis721 Lt BT"/>
          <w:color w:val="FFFFFF"/>
          <w:spacing w:val="-51"/>
          <w:sz w:val="14"/>
          <w:szCs w:val="14"/>
        </w:rPr>
        <w:t>N</w:t>
      </w:r>
      <w:r>
        <w:rPr>
          <w:rFonts w:ascii="Swis721 Lt BT" w:hAnsi="Swis721 Lt BT" w:cs="Swis721 Lt BT" w:eastAsia="Swis721 Lt BT"/>
          <w:color w:val="FFFFFF"/>
          <w:spacing w:val="-48"/>
          <w:sz w:val="14"/>
          <w:szCs w:val="14"/>
        </w:rPr>
        <w:t>U</w:t>
      </w:r>
      <w:r>
        <w:rPr>
          <w:rFonts w:ascii="Swis721 Lt BT" w:hAnsi="Swis721 Lt BT" w:cs="Swis721 Lt BT" w:eastAsia="Swis721 Lt BT"/>
          <w:color w:val="FFFFFF"/>
          <w:spacing w:val="-54"/>
          <w:sz w:val="14"/>
          <w:szCs w:val="14"/>
        </w:rPr>
        <w:t>N</w:t>
      </w:r>
      <w:r>
        <w:rPr>
          <w:rFonts w:ascii="Swis721 Lt BT" w:hAnsi="Swis721 Lt BT" w:cs="Swis721 Lt BT" w:eastAsia="Swis721 Lt BT"/>
          <w:color w:val="FFFFFF"/>
          <w:spacing w:val="-33"/>
          <w:sz w:val="14"/>
          <w:szCs w:val="14"/>
        </w:rPr>
        <w:t>A</w:t>
      </w:r>
      <w:r>
        <w:rPr>
          <w:rFonts w:ascii="Swis721 Lt BT" w:hAnsi="Swis721 Lt BT" w:cs="Swis721 Lt BT" w:eastAsia="Swis721 Lt BT"/>
          <w:color w:val="FFFFFF"/>
          <w:spacing w:val="-66"/>
          <w:sz w:val="14"/>
          <w:szCs w:val="14"/>
        </w:rPr>
        <w:t>U</w:t>
      </w:r>
      <w:r>
        <w:rPr>
          <w:rFonts w:ascii="Swis721 Lt BT" w:hAnsi="Swis721 Lt BT" w:cs="Swis721 Lt BT" w:eastAsia="Swis721 Lt BT"/>
          <w:color w:val="FFFFFF"/>
          <w:spacing w:val="-11"/>
          <w:sz w:val="14"/>
          <w:szCs w:val="14"/>
        </w:rPr>
        <w:t>L</w:t>
      </w:r>
      <w:r>
        <w:rPr>
          <w:rFonts w:ascii="Swis721 Lt BT" w:hAnsi="Swis721 Lt BT" w:cs="Swis721 Lt BT" w:eastAsia="Swis721 Lt BT"/>
          <w:color w:val="FFFFFF"/>
          <w:spacing w:val="-39"/>
          <w:sz w:val="14"/>
          <w:szCs w:val="14"/>
        </w:rPr>
        <w:t>A</w:t>
      </w:r>
      <w:r>
        <w:rPr>
          <w:rFonts w:ascii="Swis721 Lt BT" w:hAnsi="Swis721 Lt BT" w:cs="Swis721 Lt BT" w:eastAsia="Swis721 Lt BT"/>
          <w:color w:val="FFFFFF"/>
          <w:spacing w:val="-52"/>
          <w:sz w:val="14"/>
          <w:szCs w:val="14"/>
        </w:rPr>
        <w:t>R</w:t>
      </w:r>
      <w:r>
        <w:rPr>
          <w:rFonts w:ascii="Swis721 Lt BT" w:hAnsi="Swis721 Lt BT" w:cs="Swis721 Lt BT" w:eastAsia="Swis721 Lt BT"/>
          <w:color w:val="FFFFFF"/>
          <w:spacing w:val="-22"/>
          <w:sz w:val="14"/>
          <w:szCs w:val="14"/>
        </w:rPr>
        <w:t>L</w:t>
      </w:r>
      <w:r>
        <w:rPr>
          <w:rFonts w:ascii="Swis721 Lt BT" w:hAnsi="Swis721 Lt BT" w:cs="Swis721 Lt BT" w:eastAsia="Swis721 Lt BT"/>
          <w:color w:val="FFFFFF"/>
          <w:spacing w:val="-27"/>
          <w:sz w:val="14"/>
          <w:szCs w:val="14"/>
        </w:rPr>
        <w:t>E</w:t>
      </w:r>
      <w:r>
        <w:rPr>
          <w:rFonts w:ascii="Swis721 Lt BT" w:hAnsi="Swis721 Lt BT" w:cs="Swis721 Lt BT" w:eastAsia="Swis721 Lt BT"/>
          <w:color w:val="FFFFFF"/>
          <w:spacing w:val="-65"/>
          <w:sz w:val="14"/>
          <w:szCs w:val="14"/>
        </w:rPr>
        <w:t>R</w:t>
      </w:r>
      <w:r>
        <w:rPr>
          <w:rFonts w:ascii="Swis721 Lt BT" w:hAnsi="Swis721 Lt BT" w:cs="Swis721 Lt BT" w:eastAsia="Swis721 Lt BT"/>
          <w:color w:val="FFFFFF"/>
          <w:spacing w:val="-21"/>
          <w:sz w:val="14"/>
          <w:szCs w:val="14"/>
        </w:rPr>
        <w:t>P</w:t>
      </w:r>
      <w:r>
        <w:rPr>
          <w:rFonts w:ascii="Swis721 Lt BT" w:hAnsi="Swis721 Lt BT" w:cs="Swis721 Lt BT" w:eastAsia="Swis721 Lt BT"/>
          <w:color w:val="FFFFFF"/>
          <w:spacing w:val="-65"/>
          <w:sz w:val="14"/>
          <w:szCs w:val="14"/>
        </w:rPr>
        <w:t>E</w:t>
      </w:r>
      <w:r>
        <w:rPr>
          <w:rFonts w:ascii="Swis721 Lt BT" w:hAnsi="Swis721 Lt BT" w:cs="Swis721 Lt BT" w:eastAsia="Swis721 Lt BT"/>
          <w:color w:val="FFFFFF"/>
          <w:spacing w:val="-42"/>
          <w:sz w:val="14"/>
          <w:szCs w:val="14"/>
        </w:rPr>
        <w:t>O</w:t>
      </w:r>
      <w:r>
        <w:rPr>
          <w:rFonts w:ascii="Swis721 Lt BT" w:hAnsi="Swis721 Lt BT" w:cs="Swis721 Lt BT" w:eastAsia="Swis721 Lt BT"/>
          <w:color w:val="FFFFFF"/>
          <w:spacing w:val="-43"/>
          <w:sz w:val="14"/>
          <w:szCs w:val="14"/>
        </w:rPr>
        <w:t>P</w:t>
      </w:r>
      <w:r>
        <w:rPr>
          <w:rFonts w:ascii="Swis721 Lt BT" w:hAnsi="Swis721 Lt BT" w:cs="Swis721 Lt BT" w:eastAsia="Swis721 Lt BT"/>
          <w:color w:val="FFFFFF"/>
          <w:spacing w:val="-48"/>
          <w:sz w:val="14"/>
          <w:szCs w:val="14"/>
        </w:rPr>
        <w:t>R</w:t>
      </w:r>
      <w:r>
        <w:rPr>
          <w:rFonts w:ascii="Swis721 Lt BT" w:hAnsi="Swis721 Lt BT" w:cs="Swis721 Lt BT" w:eastAsia="Swis721 Lt BT"/>
          <w:color w:val="FFFFFF"/>
          <w:spacing w:val="-59"/>
          <w:sz w:val="14"/>
          <w:szCs w:val="14"/>
        </w:rPr>
        <w:t>O</w:t>
      </w:r>
      <w:r>
        <w:rPr>
          <w:rFonts w:ascii="Swis721 Lt BT" w:hAnsi="Swis721 Lt BT" w:cs="Swis721 Lt BT" w:eastAsia="Swis721 Lt BT"/>
          <w:color w:val="FFFFFF"/>
          <w:spacing w:val="-17"/>
          <w:sz w:val="14"/>
          <w:szCs w:val="14"/>
        </w:rPr>
        <w:t>T</w:t>
      </w:r>
      <w:r>
        <w:rPr>
          <w:rFonts w:ascii="Swis721 Lt BT" w:hAnsi="Swis721 Lt BT" w:cs="Swis721 Lt BT" w:eastAsia="Swis721 Lt BT"/>
          <w:color w:val="FFFFFF"/>
          <w:spacing w:val="-38"/>
          <w:sz w:val="14"/>
          <w:szCs w:val="14"/>
        </w:rPr>
        <w:t>R2T</w:t>
      </w:r>
      <w:r>
        <w:rPr>
          <w:rFonts w:ascii="Swis721 Lt BT" w:hAnsi="Swis721 Lt BT" w:cs="Swis721 Lt BT" w:eastAsia="Swis721 Lt BT"/>
          <w:color w:val="FFFFFF"/>
          <w:sz w:val="14"/>
          <w:szCs w:val="14"/>
        </w:rPr>
        <w:t>0</w:t>
      </w:r>
      <w:r>
        <w:rPr>
          <w:rFonts w:ascii="Swis721 Lt BT" w:hAnsi="Swis721 Lt BT" w:cs="Swis721 Lt BT" w:eastAsia="Swis721 Lt BT"/>
          <w:color w:val="FFFFFF"/>
          <w:spacing w:val="-75"/>
          <w:sz w:val="14"/>
          <w:szCs w:val="14"/>
        </w:rPr>
        <w:t>1</w:t>
      </w:r>
      <w:r>
        <w:rPr>
          <w:rFonts w:ascii="Swis721 Lt BT" w:hAnsi="Swis721 Lt BT" w:cs="Swis721 Lt BT" w:eastAsia="Swis721 Lt BT"/>
          <w:color w:val="FFFFFF"/>
          <w:sz w:val="14"/>
          <w:szCs w:val="14"/>
        </w:rPr>
        <w:t>2</w:t>
      </w:r>
      <w:r>
        <w:rPr>
          <w:rFonts w:ascii="Swis721 Lt BT" w:hAnsi="Swis721 Lt BT" w:cs="Swis721 Lt BT" w:eastAsia="Swis721 Lt BT"/>
          <w:color w:val="FFFFFF"/>
          <w:spacing w:val="-75"/>
          <w:sz w:val="14"/>
          <w:szCs w:val="14"/>
        </w:rPr>
        <w:t>8</w:t>
      </w:r>
      <w:r>
        <w:rPr>
          <w:rFonts w:ascii="Swis721 Lt BT" w:hAnsi="Swis721 Lt BT" w:cs="Swis721 Lt BT" w:eastAsia="Swis721 Lt BT"/>
          <w:color w:val="FFFFFF"/>
          <w:sz w:val="14"/>
          <w:szCs w:val="14"/>
        </w:rPr>
        <w:t>0</w:t>
      </w:r>
      <w:r>
        <w:rPr>
          <w:rFonts w:ascii="Swis721 Lt BT" w:hAnsi="Swis721 Lt BT" w:cs="Swis721 Lt BT" w:eastAsia="Swis721 Lt BT"/>
          <w:color w:val="FFFFFF"/>
          <w:spacing w:val="-70"/>
          <w:sz w:val="14"/>
          <w:szCs w:val="14"/>
        </w:rPr>
        <w:t>–</w:t>
      </w:r>
      <w:r>
        <w:rPr>
          <w:rFonts w:ascii="Swis721 Lt BT" w:hAnsi="Swis721 Lt BT" w:cs="Swis721 Lt BT" w:eastAsia="Swis721 Lt BT"/>
          <w:color w:val="FFFFFF"/>
          <w:spacing w:val="-5"/>
          <w:sz w:val="14"/>
          <w:szCs w:val="14"/>
        </w:rPr>
        <w:t>1</w:t>
      </w:r>
      <w:r>
        <w:rPr>
          <w:rFonts w:ascii="Swis721 Lt BT" w:hAnsi="Swis721 Lt BT" w:cs="Swis721 Lt BT" w:eastAsia="Swis721 Lt BT"/>
          <w:color w:val="FFFFFF"/>
          <w:spacing w:val="-70"/>
          <w:sz w:val="14"/>
          <w:szCs w:val="14"/>
        </w:rPr>
        <w:t>2</w:t>
      </w:r>
      <w:r>
        <w:rPr>
          <w:rFonts w:ascii="Swis721 Lt BT" w:hAnsi="Swis721 Lt BT" w:cs="Swis721 Lt BT" w:eastAsia="Swis721 Lt BT"/>
          <w:color w:val="FFFFFF"/>
          <w:spacing w:val="-5"/>
          <w:sz w:val="14"/>
          <w:szCs w:val="14"/>
        </w:rPr>
        <w:t>8</w:t>
      </w:r>
      <w:r>
        <w:rPr>
          <w:rFonts w:ascii="Swis721 Lt BT" w:hAnsi="Swis721 Lt BT" w:cs="Swis721 Lt BT" w:eastAsia="Swis721 Lt BT"/>
          <w:color w:val="FFFFFF"/>
          <w:spacing w:val="-70"/>
          <w:sz w:val="14"/>
          <w:szCs w:val="14"/>
        </w:rPr>
        <w:t>0</w:t>
      </w:r>
      <w:r>
        <w:rPr>
          <w:rFonts w:ascii="Swis721 Lt BT" w:hAnsi="Swis721 Lt BT" w:cs="Swis721 Lt BT" w:eastAsia="Swis721 Lt BT"/>
          <w:color w:val="FFFFFF"/>
          <w:sz w:val="14"/>
          <w:szCs w:val="14"/>
        </w:rPr>
        <w:t>–</w:t>
      </w:r>
      <w:r>
        <w:rPr>
          <w:rFonts w:ascii="Swis721 Lt BT" w:hAnsi="Swis721 Lt BT" w:cs="Swis721 Lt BT" w:eastAsia="Swis721 Lt BT"/>
          <w:color w:val="FFFFFF"/>
          <w:spacing w:val="-75"/>
          <w:sz w:val="14"/>
          <w:szCs w:val="14"/>
        </w:rPr>
        <w:t>1</w:t>
      </w:r>
      <w:r>
        <w:rPr>
          <w:rFonts w:ascii="Swis721 Lt BT" w:hAnsi="Swis721 Lt BT" w:cs="Swis721 Lt BT" w:eastAsia="Swis721 Lt BT"/>
          <w:color w:val="FFFFFF"/>
          <w:sz w:val="14"/>
          <w:szCs w:val="14"/>
        </w:rPr>
        <w:t>1</w:t>
      </w:r>
      <w:r>
        <w:rPr>
          <w:rFonts w:ascii="Swis721 Lt BT" w:hAnsi="Swis721 Lt BT" w:cs="Swis721 Lt BT" w:eastAsia="Swis721 Lt BT"/>
          <w:color w:val="FFFFFF"/>
          <w:spacing w:val="-75"/>
          <w:sz w:val="14"/>
          <w:szCs w:val="14"/>
        </w:rPr>
        <w:t>9</w:t>
      </w:r>
      <w:r>
        <w:rPr>
          <w:rFonts w:ascii="Swis721 Lt BT" w:hAnsi="Swis721 Lt BT" w:cs="Swis721 Lt BT" w:eastAsia="Swis721 Lt BT"/>
          <w:color w:val="FFFFFF"/>
          <w:sz w:val="14"/>
          <w:szCs w:val="14"/>
        </w:rPr>
        <w:t>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1"/>
        <w:rPr>
          <w:rFonts w:ascii="Swis721 Lt BT" w:hAnsi="Swis721 Lt BT" w:cs="Swis721 Lt BT" w:eastAsia="Swis721 Lt BT"/>
          <w:sz w:val="25"/>
          <w:szCs w:val="25"/>
        </w:rPr>
      </w:pPr>
    </w:p>
    <w:p>
      <w:pPr>
        <w:spacing w:after="0" w:line="240" w:lineRule="auto"/>
        <w:rPr>
          <w:rFonts w:ascii="Swis721 Lt BT" w:hAnsi="Swis721 Lt BT" w:cs="Swis721 Lt BT" w:eastAsia="Swis721 Lt BT"/>
          <w:sz w:val="25"/>
          <w:szCs w:val="25"/>
        </w:rPr>
        <w:sectPr>
          <w:pgSz w:w="9980" w:h="14180"/>
          <w:pgMar w:header="0" w:footer="3670" w:top="0" w:bottom="3860" w:left="0" w:right="0"/>
        </w:sectPr>
      </w:pPr>
    </w:p>
    <w:p>
      <w:pPr>
        <w:pStyle w:val="BodyText"/>
        <w:spacing w:line="240" w:lineRule="auto" w:before="69"/>
        <w:ind w:left="1133" w:right="68"/>
        <w:jc w:val="left"/>
      </w:pPr>
      <w:r>
        <w:rPr>
          <w:color w:val="231F20"/>
        </w:rPr>
        <w:t>Significant</w:t>
      </w:r>
      <w:r>
        <w:rPr>
          <w:color w:val="231F20"/>
          <w:spacing w:val="-2"/>
        </w:rPr>
        <w:t> </w:t>
      </w:r>
      <w:r>
        <w:rPr>
          <w:color w:val="231F20"/>
        </w:rPr>
        <w:t>progress</w:t>
      </w:r>
      <w:r>
        <w:rPr>
          <w:color w:val="231F20"/>
          <w:spacing w:val="-2"/>
        </w:rPr>
        <w:t> </w:t>
      </w:r>
      <w:r>
        <w:rPr>
          <w:color w:val="231F20"/>
        </w:rPr>
        <w:t>was</w:t>
      </w:r>
      <w:r>
        <w:rPr>
          <w:color w:val="231F20"/>
          <w:spacing w:val="-2"/>
        </w:rPr>
        <w:t> </w:t>
      </w:r>
      <w:r>
        <w:rPr>
          <w:color w:val="231F20"/>
        </w:rPr>
        <w:t>also</w:t>
      </w:r>
      <w:r>
        <w:rPr>
          <w:color w:val="231F20"/>
          <w:spacing w:val="-1"/>
        </w:rPr>
        <w:t> </w:t>
      </w:r>
      <w:r>
        <w:rPr>
          <w:color w:val="231F20"/>
        </w:rPr>
        <w:t>achieved</w:t>
      </w:r>
      <w:r>
        <w:rPr>
          <w:color w:val="231F20"/>
          <w:spacing w:val="-2"/>
        </w:rPr>
        <w:t> </w:t>
      </w:r>
      <w:r>
        <w:rPr>
          <w:color w:val="231F20"/>
        </w:rPr>
        <w:t>on</w:t>
      </w:r>
      <w:r>
        <w:rPr>
          <w:color w:val="231F20"/>
        </w:rPr>
        <w:t> the landmark Australian </w:t>
      </w:r>
      <w:r>
        <w:rPr>
          <w:color w:val="231F20"/>
          <w:spacing w:val="-26"/>
        </w:rPr>
        <w:t>T</w:t>
      </w:r>
      <w:r>
        <w:rPr>
          <w:color w:val="231F20"/>
        </w:rPr>
        <w:t>eacher </w:t>
      </w:r>
      <w:r>
        <w:rPr>
          <w:color w:val="231F20"/>
          <w:spacing w:val="-4"/>
        </w:rPr>
        <w:t>W</w:t>
      </w:r>
      <w:r>
        <w:rPr>
          <w:color w:val="231F20"/>
        </w:rPr>
        <w:t>orkforce</w:t>
      </w:r>
      <w:r>
        <w:rPr>
          <w:color w:val="231F20"/>
        </w:rPr>
        <w:t> Data project, with all jurisdictions set to adopt it</w:t>
      </w:r>
      <w:r>
        <w:rPr>
          <w:color w:val="231F20"/>
          <w:spacing w:val="-1"/>
        </w:rPr>
        <w:t> </w:t>
      </w:r>
      <w:r>
        <w:rPr>
          <w:color w:val="231F20"/>
        </w:rPr>
        <w:t>in 2020. This</w:t>
      </w:r>
      <w:r>
        <w:rPr>
          <w:color w:val="231F20"/>
          <w:spacing w:val="-1"/>
        </w:rPr>
        <w:t> </w:t>
      </w:r>
      <w:r>
        <w:rPr>
          <w:color w:val="231F20"/>
        </w:rPr>
        <w:t>will give Australia,</w:t>
      </w:r>
      <w:r>
        <w:rPr>
          <w:color w:val="231F20"/>
          <w:spacing w:val="-1"/>
        </w:rPr>
        <w:t> </w:t>
      </w:r>
      <w:r>
        <w:rPr>
          <w:color w:val="231F20"/>
        </w:rPr>
        <w:t>for the first</w:t>
      </w:r>
      <w:r>
        <w:rPr>
          <w:color w:val="231F20"/>
          <w:w w:val="99"/>
        </w:rPr>
        <w:t> </w:t>
      </w:r>
      <w:r>
        <w:rPr>
          <w:color w:val="231F20"/>
        </w:rPr>
        <w:t>time, a truly national, evidence-based picture</w:t>
      </w:r>
      <w:r>
        <w:rPr>
          <w:color w:val="231F20"/>
        </w:rPr>
        <w:t> of teacher workforce patterns, characteristics, and career choices that will aid decision makers and teachers themselves for many years to come. The evidence base will be foundational and is an exciting development.</w:t>
      </w:r>
      <w:r>
        <w:rPr/>
      </w:r>
    </w:p>
    <w:p>
      <w:pPr>
        <w:pStyle w:val="BodyText"/>
        <w:spacing w:line="240" w:lineRule="auto"/>
        <w:ind w:left="1133" w:right="0"/>
        <w:jc w:val="left"/>
      </w:pPr>
      <w:r>
        <w:rPr>
          <w:color w:val="231F20"/>
        </w:rPr>
        <w:t>As a strong voice of the teaching profession and advocate for excellence, AITSL provided strategic advice to the Australian Government during its Inquiry into the Status of the Profession and for its Review of the Melbourne Declaration.</w:t>
      </w:r>
      <w:r>
        <w:rPr/>
      </w:r>
    </w:p>
    <w:p>
      <w:pPr>
        <w:pStyle w:val="BodyText"/>
        <w:spacing w:line="240" w:lineRule="auto"/>
        <w:ind w:left="1133" w:right="0"/>
        <w:jc w:val="left"/>
      </w:pPr>
      <w:r>
        <w:rPr>
          <w:color w:val="231F20"/>
        </w:rPr>
        <w:t>AITSL’s commitment to put evidence-based tools into the hands of teachers to use in their schools continued with vigour this </w:t>
      </w:r>
      <w:r>
        <w:rPr>
          <w:color w:val="231F20"/>
          <w:spacing w:val="-4"/>
        </w:rPr>
        <w:t>year.</w:t>
      </w:r>
      <w:r>
        <w:rPr>
          <w:color w:val="231F20"/>
        </w:rPr>
        <w:t> The</w:t>
      </w:r>
      <w:r>
        <w:rPr>
          <w:color w:val="231F20"/>
          <w:spacing w:val="22"/>
        </w:rPr>
        <w:t> </w:t>
      </w:r>
      <w:r>
        <w:rPr>
          <w:color w:val="231F20"/>
        </w:rPr>
        <w:t>company delivered a suite of online resources</w:t>
      </w:r>
      <w:r>
        <w:rPr>
          <w:color w:val="231F20"/>
        </w:rPr>
        <w:t> from the AITSL website to improve teacher professional learning. These new guides, videos, case studies, and templates were well</w:t>
      </w:r>
      <w:r>
        <w:rPr/>
      </w:r>
    </w:p>
    <w:p>
      <w:pPr>
        <w:pStyle w:val="BodyText"/>
        <w:spacing w:line="240" w:lineRule="auto" w:before="70"/>
        <w:ind w:left="326" w:right="1088"/>
        <w:jc w:val="left"/>
      </w:pPr>
      <w:r>
        <w:rPr/>
        <w:br w:type="column"/>
      </w:r>
      <w:r>
        <w:rPr>
          <w:color w:val="231F20"/>
        </w:rPr>
        <w:t>Departing CEO Lisa Rodgers oversaw</w:t>
      </w:r>
      <w:r>
        <w:rPr>
          <w:color w:val="231F20"/>
        </w:rPr>
        <w:t> significant</w:t>
      </w:r>
      <w:r>
        <w:rPr>
          <w:color w:val="231F20"/>
          <w:spacing w:val="-3"/>
        </w:rPr>
        <w:t> </w:t>
      </w:r>
      <w:r>
        <w:rPr>
          <w:color w:val="231F20"/>
        </w:rPr>
        <w:t>operational</w:t>
      </w:r>
      <w:r>
        <w:rPr>
          <w:color w:val="231F20"/>
          <w:spacing w:val="-3"/>
        </w:rPr>
        <w:t> </w:t>
      </w:r>
      <w:r>
        <w:rPr>
          <w:color w:val="231F20"/>
        </w:rPr>
        <w:t>improvements</w:t>
      </w:r>
      <w:r>
        <w:rPr>
          <w:color w:val="231F20"/>
          <w:spacing w:val="-3"/>
        </w:rPr>
        <w:t> </w:t>
      </w:r>
      <w:r>
        <w:rPr>
          <w:color w:val="231F20"/>
        </w:rPr>
        <w:t>during</w:t>
      </w:r>
      <w:r>
        <w:rPr>
          <w:color w:val="231F20"/>
        </w:rPr>
        <w:t> her tenure and I thank her warmly for her contribution. In April, we welcomed CEO Mark Grant who has already led the delivery of refreshed tools and resources for the profession, and progressed the company’s </w:t>
      </w:r>
      <w:r>
        <w:rPr>
          <w:rFonts w:ascii="Swis721 Lt BT" w:hAnsi="Swis721 Lt BT" w:cs="Swis721 Lt BT" w:eastAsia="Swis721 Lt BT"/>
          <w:i/>
          <w:color w:val="231F20"/>
        </w:rPr>
        <w:t>Strategic Plan 2019–2022</w:t>
      </w:r>
      <w:r>
        <w:rPr>
          <w:color w:val="231F20"/>
        </w:rPr>
        <w:t>. I’d like to thank</w:t>
      </w:r>
      <w:r>
        <w:rPr>
          <w:color w:val="231F20"/>
        </w:rPr>
        <w:t> and congratulate the AITSL team for their achievements this </w:t>
      </w:r>
      <w:r>
        <w:rPr>
          <w:color w:val="231F20"/>
          <w:spacing w:val="-4"/>
        </w:rPr>
        <w:t>year.</w:t>
      </w:r>
      <w:r>
        <w:rPr/>
      </w:r>
    </w:p>
    <w:p>
      <w:pPr>
        <w:pStyle w:val="BodyText"/>
        <w:spacing w:line="240" w:lineRule="auto"/>
        <w:ind w:left="326" w:right="1029"/>
        <w:jc w:val="left"/>
      </w:pPr>
      <w:r>
        <w:rPr>
          <w:color w:val="231F20"/>
        </w:rPr>
        <w:t>My thanks go to my fellow Directors for their commitment and contribution during the </w:t>
      </w:r>
      <w:r>
        <w:rPr>
          <w:color w:val="231F20"/>
          <w:spacing w:val="-4"/>
        </w:rPr>
        <w:t>year.</w:t>
      </w:r>
      <w:r>
        <w:rPr>
          <w:color w:val="231F20"/>
        </w:rPr>
        <w:t> Their counsel and deep expertise are</w:t>
      </w:r>
      <w:r>
        <w:rPr>
          <w:color w:val="231F20"/>
          <w:spacing w:val="22"/>
        </w:rPr>
        <w:t> </w:t>
      </w:r>
      <w:r>
        <w:rPr>
          <w:color w:val="231F20"/>
        </w:rPr>
        <w:t>invaluable.</w:t>
      </w:r>
      <w:r>
        <w:rPr/>
      </w:r>
    </w:p>
    <w:p>
      <w:pPr>
        <w:pStyle w:val="BodyText"/>
        <w:spacing w:line="240" w:lineRule="auto"/>
        <w:ind w:left="326" w:right="918"/>
        <w:jc w:val="left"/>
      </w:pPr>
      <w:r>
        <w:rPr>
          <w:color w:val="231F20"/>
          <w:spacing w:val="-2"/>
        </w:rPr>
        <w:t>Finally,</w:t>
      </w:r>
      <w:r>
        <w:rPr>
          <w:color w:val="231F20"/>
        </w:rPr>
        <w:t> thank you to all those who have</w:t>
      </w:r>
      <w:r>
        <w:rPr>
          <w:color w:val="231F20"/>
          <w:spacing w:val="21"/>
        </w:rPr>
        <w:t> </w:t>
      </w:r>
      <w:r>
        <w:rPr>
          <w:color w:val="231F20"/>
        </w:rPr>
        <w:t>supported AITSL this year in its commitment</w:t>
      </w:r>
      <w:r>
        <w:rPr>
          <w:color w:val="231F20"/>
        </w:rPr>
        <w:t> to enhancing the expertise of Australia’s teachers and school leaders. It is a privilege, but above all a great </w:t>
      </w:r>
      <w:r>
        <w:rPr>
          <w:color w:val="231F20"/>
          <w:spacing w:val="-1"/>
        </w:rPr>
        <w:t>responsibility,</w:t>
      </w:r>
      <w:r>
        <w:rPr>
          <w:color w:val="231F20"/>
        </w:rPr>
        <w:t> to serve</w:t>
      </w:r>
      <w:r>
        <w:rPr>
          <w:color w:val="231F20"/>
          <w:spacing w:val="20"/>
        </w:rPr>
        <w:t> </w:t>
      </w:r>
      <w:r>
        <w:rPr>
          <w:color w:val="231F20"/>
        </w:rPr>
        <w:t>the profession and students at a national level</w:t>
      </w:r>
      <w:r>
        <w:rPr>
          <w:color w:val="231F20"/>
        </w:rPr>
        <w:t> with the ongoing support of partners who share our vision.</w:t>
      </w:r>
      <w:r>
        <w:rPr/>
      </w:r>
    </w:p>
    <w:p>
      <w:pPr>
        <w:spacing w:after="0" w:line="240" w:lineRule="auto"/>
        <w:jc w:val="left"/>
        <w:sectPr>
          <w:type w:val="continuous"/>
          <w:pgSz w:w="9980" w:h="14180"/>
          <w:pgMar w:top="0" w:bottom="280" w:left="0" w:right="0"/>
          <w:cols w:num="2" w:equalWidth="0">
            <w:col w:w="4935" w:space="40"/>
            <w:col w:w="5005"/>
          </w:cols>
        </w:sect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7"/>
        <w:rPr>
          <w:rFonts w:ascii="Swis721 Lt BT" w:hAnsi="Swis721 Lt BT" w:cs="Swis721 Lt BT" w:eastAsia="Swis721 Lt BT"/>
          <w:sz w:val="20"/>
          <w:szCs w:val="20"/>
        </w:rPr>
      </w:pPr>
    </w:p>
    <w:p>
      <w:pPr>
        <w:pStyle w:val="BodyText"/>
        <w:spacing w:line="240" w:lineRule="auto" w:before="0"/>
        <w:ind w:left="5014" w:right="0"/>
        <w:jc w:val="left"/>
      </w:pPr>
      <w:r>
        <w:rPr/>
        <w:pict>
          <v:group style="position:absolute;margin-left:0pt;margin-top:-240.748123pt;width:498.9pt;height:239.9pt;mso-position-horizontal-relative:page;mso-position-vertical-relative:paragraph;z-index:1312" coordorigin="0,-4815" coordsize="9978,4798">
            <v:group style="position:absolute;left:0;top:-4815;width:9978;height:1018" coordorigin="0,-4815" coordsize="9978,1018">
              <v:shape style="position:absolute;left:0;top:-4815;width:9978;height:1018" coordorigin="0,-4815" coordsize="9978,1018" path="m0,-3797l9978,-3797,9978,-4815,0,-4815,0,-3797xe" filled="true" fillcolor="#003b45" stroked="false">
                <v:path arrowok="t"/>
                <v:fill type="solid"/>
              </v:shape>
            </v:group>
            <v:group style="position:absolute;left:0;top:-3797;width:9978;height:3780" coordorigin="0,-3797" coordsize="9978,3780">
              <v:shape style="position:absolute;left:0;top:-3797;width:9978;height:3780" coordorigin="0,-3797" coordsize="9978,3780" path="m9978,-3797l0,-3797,0,-18,9978,-2840,9978,-3797xe" filled="true" fillcolor="#bfd22b" stroked="false">
                <v:path arrowok="t"/>
                <v:fill type="solid"/>
              </v:shape>
              <v:shape style="position:absolute;left:850;top:-3171;width:3087;height:400" type="#_x0000_t202" filled="false" stroked="false">
                <v:textbox inset="0,0,0,0">
                  <w:txbxContent>
                    <w:p>
                      <w:pPr>
                        <w:spacing w:line="400" w:lineRule="exact" w:before="0"/>
                        <w:ind w:left="0" w:right="0" w:firstLine="0"/>
                        <w:jc w:val="left"/>
                        <w:rPr>
                          <w:rFonts w:ascii="Swis721 BT" w:hAnsi="Swis721 BT" w:cs="Swis721 BT" w:eastAsia="Swis721 BT"/>
                          <w:sz w:val="40"/>
                          <w:szCs w:val="40"/>
                        </w:rPr>
                      </w:pPr>
                      <w:r>
                        <w:rPr>
                          <w:rFonts w:ascii="Swis721 BT"/>
                          <w:b/>
                          <w:color w:val="005E63"/>
                          <w:sz w:val="40"/>
                        </w:rPr>
                        <w:t>FROM THE CEO</w:t>
                      </w:r>
                      <w:r>
                        <w:rPr>
                          <w:rFonts w:ascii="Swis721 BT"/>
                          <w:sz w:val="40"/>
                        </w:rPr>
                      </w:r>
                    </w:p>
                  </w:txbxContent>
                </v:textbox>
                <w10:wrap type="none"/>
              </v:shape>
            </v:group>
            <w10:wrap type="none"/>
          </v:group>
        </w:pict>
      </w:r>
      <w:bookmarkStart w:name="FROM THE CEO" w:id="2"/>
      <w:bookmarkEnd w:id="2"/>
      <w:r>
        <w:rPr/>
      </w:r>
      <w:r>
        <w:rPr>
          <w:color w:val="231F20"/>
        </w:rPr>
        <w:t>2018–19 has been a big year for AITSL,</w:t>
      </w:r>
      <w:r>
        <w:rPr/>
      </w:r>
    </w:p>
    <w:p>
      <w:pPr>
        <w:pStyle w:val="BodyText"/>
        <w:spacing w:line="240" w:lineRule="auto" w:before="0"/>
        <w:ind w:left="5014" w:right="1152"/>
        <w:jc w:val="left"/>
      </w:pPr>
      <w:r>
        <w:rPr/>
        <w:pict>
          <v:group style="position:absolute;margin-left:42.369999pt;margin-top:25.547848pt;width:125.6pt;height:156.9pt;mso-position-horizontal-relative:page;mso-position-vertical-relative:paragraph;z-index:1336" coordorigin="847,511" coordsize="2512,3138">
            <v:shape style="position:absolute;left:852;top:515;width:2504;height:3129" type="#_x0000_t75" stroked="false">
              <v:imagedata r:id="rId22" o:title=""/>
            </v:shape>
            <v:group style="position:absolute;left:852;top:515;width:2504;height:3130" coordorigin="852,515" coordsize="2504,3130">
              <v:shape style="position:absolute;left:852;top:515;width:2504;height:3130" coordorigin="852,515" coordsize="2504,3130" path="m852,3645l3355,3645,3355,515,852,515,852,3645xe" filled="false" stroked="true" strokeweight=".414pt" strokecolor="#71797f">
                <v:path arrowok="t"/>
              </v:shape>
            </v:group>
            <w10:wrap type="none"/>
          </v:group>
        </w:pict>
      </w:r>
      <w:r>
        <w:rPr>
          <w:color w:val="231F20"/>
        </w:rPr>
        <w:t>with much of the credit due to my predecessor Ms Lisa Rodgers. What stands out to me is the potential that exists to continue building on the impressive work of hundreds of thousands of teachers and school leaders in schools around the country every </w:t>
      </w:r>
      <w:r>
        <w:rPr>
          <w:color w:val="231F20"/>
          <w:spacing w:val="-4"/>
        </w:rPr>
        <w:t>day.</w:t>
      </w:r>
      <w:r>
        <w:rPr/>
      </w:r>
    </w:p>
    <w:p>
      <w:pPr>
        <w:pStyle w:val="BodyText"/>
        <w:spacing w:line="240" w:lineRule="auto"/>
        <w:ind w:left="5014" w:right="1134"/>
        <w:jc w:val="left"/>
      </w:pPr>
      <w:r>
        <w:rPr>
          <w:color w:val="231F20"/>
          <w:spacing w:val="-13"/>
        </w:rPr>
        <w:t>To</w:t>
      </w:r>
      <w:r>
        <w:rPr>
          <w:color w:val="231F20"/>
        </w:rPr>
        <w:t> harness this, we must continue to work</w:t>
      </w:r>
      <w:r>
        <w:rPr>
          <w:color w:val="231F20"/>
          <w:spacing w:val="20"/>
        </w:rPr>
        <w:t> </w:t>
      </w:r>
      <w:r>
        <w:rPr>
          <w:color w:val="231F20"/>
          <w:spacing w:val="-2"/>
        </w:rPr>
        <w:t>together,</w:t>
      </w:r>
      <w:r>
        <w:rPr>
          <w:color w:val="231F20"/>
        </w:rPr>
        <w:t> across systems, sectors and</w:t>
      </w:r>
      <w:r>
        <w:rPr>
          <w:color w:val="231F20"/>
          <w:spacing w:val="20"/>
        </w:rPr>
        <w:t> </w:t>
      </w:r>
      <w:r>
        <w:rPr>
          <w:color w:val="231F20"/>
        </w:rPr>
        <w:t>jurisdictions, to empower teachers and school</w:t>
      </w:r>
      <w:r>
        <w:rPr>
          <w:color w:val="231F20"/>
        </w:rPr>
        <w:t> leaders to maximise their expertise and impact on students.</w:t>
      </w:r>
      <w:r>
        <w:rPr/>
      </w:r>
    </w:p>
    <w:p>
      <w:pPr>
        <w:pStyle w:val="BodyText"/>
        <w:spacing w:line="240" w:lineRule="auto"/>
        <w:ind w:left="5014" w:right="1134"/>
        <w:jc w:val="left"/>
      </w:pPr>
      <w:r>
        <w:rPr>
          <w:color w:val="231F20"/>
        </w:rPr>
        <w:t>AITSL</w:t>
      </w:r>
      <w:r>
        <w:rPr>
          <w:color w:val="231F20"/>
          <w:spacing w:val="-2"/>
        </w:rPr>
        <w:t> </w:t>
      </w:r>
      <w:r>
        <w:rPr>
          <w:color w:val="231F20"/>
        </w:rPr>
        <w:t>has</w:t>
      </w:r>
      <w:r>
        <w:rPr>
          <w:color w:val="231F20"/>
          <w:spacing w:val="-2"/>
        </w:rPr>
        <w:t> </w:t>
      </w:r>
      <w:r>
        <w:rPr>
          <w:color w:val="231F20"/>
        </w:rPr>
        <w:t>made</w:t>
      </w:r>
      <w:r>
        <w:rPr>
          <w:color w:val="231F20"/>
          <w:spacing w:val="-1"/>
        </w:rPr>
        <w:t> </w:t>
      </w:r>
      <w:r>
        <w:rPr>
          <w:color w:val="231F20"/>
        </w:rPr>
        <w:t>significant</w:t>
      </w:r>
      <w:r>
        <w:rPr>
          <w:color w:val="231F20"/>
          <w:spacing w:val="-2"/>
        </w:rPr>
        <w:t> </w:t>
      </w:r>
      <w:r>
        <w:rPr>
          <w:color w:val="231F20"/>
        </w:rPr>
        <w:t>progress</w:t>
      </w:r>
      <w:r>
        <w:rPr>
          <w:color w:val="231F20"/>
          <w:spacing w:val="-2"/>
        </w:rPr>
        <w:t> </w:t>
      </w:r>
      <w:r>
        <w:rPr>
          <w:color w:val="231F20"/>
        </w:rPr>
        <w:t>in</w:t>
      </w:r>
      <w:r>
        <w:rPr>
          <w:color w:val="231F20"/>
        </w:rPr>
        <w:t> 2018–19 and is well positioned to continue doing so.</w:t>
      </w:r>
      <w:r>
        <w:rPr/>
      </w:r>
    </w:p>
    <w:p>
      <w:pPr>
        <w:pStyle w:val="BodyText"/>
        <w:spacing w:line="240" w:lineRule="auto"/>
        <w:ind w:left="5014" w:right="1134"/>
        <w:jc w:val="left"/>
      </w:pPr>
      <w:r>
        <w:rPr>
          <w:color w:val="231F20"/>
        </w:rPr>
        <w:t>As part of our commitment to work with all stakeholders to ensure teaching graduates are classroom </w:t>
      </w:r>
      <w:r>
        <w:rPr>
          <w:color w:val="231F20"/>
          <w:spacing w:val="-3"/>
        </w:rPr>
        <w:t>ready,</w:t>
      </w:r>
      <w:r>
        <w:rPr>
          <w:color w:val="231F20"/>
        </w:rPr>
        <w:t> Education Council agreed</w:t>
      </w:r>
      <w:r>
        <w:rPr/>
      </w:r>
    </w:p>
    <w:p>
      <w:pPr>
        <w:pStyle w:val="BodyText"/>
        <w:spacing w:line="240" w:lineRule="auto" w:before="0"/>
        <w:ind w:left="5014" w:right="1302"/>
        <w:jc w:val="left"/>
      </w:pPr>
      <w:r>
        <w:rPr>
          <w:color w:val="231F20"/>
        </w:rPr>
        <w:t>to strengthen the standards and procedures for accrediting initial teacher education (ITE) programs. This was an important step in building stronger teacher training systems nationally and just part of ongoing reform work to maximise new teachers’ impact on students.</w:t>
      </w:r>
      <w:r>
        <w:rPr/>
      </w:r>
    </w:p>
    <w:p>
      <w:pPr>
        <w:pStyle w:val="BodyText"/>
        <w:spacing w:line="240" w:lineRule="auto"/>
        <w:ind w:left="5014" w:right="1302"/>
        <w:jc w:val="left"/>
      </w:pPr>
      <w:r>
        <w:rPr>
          <w:color w:val="231F20"/>
        </w:rPr>
        <w:t>AITSL has maintained a strong focus on induction for beginning teachers, with works progressing on upgrades to induction resources. The expertise of mentors is such an important part of induction, so another highlight has been the rise in nationally certified</w:t>
      </w:r>
      <w:r>
        <w:rPr>
          <w:color w:val="231F20"/>
          <w:spacing w:val="-2"/>
        </w:rPr>
        <w:t> </w:t>
      </w:r>
      <w:r>
        <w:rPr>
          <w:color w:val="231F20"/>
        </w:rPr>
        <w:t>Highly</w:t>
      </w:r>
      <w:r>
        <w:rPr>
          <w:color w:val="231F20"/>
          <w:spacing w:val="-2"/>
        </w:rPr>
        <w:t> </w:t>
      </w:r>
      <w:r>
        <w:rPr>
          <w:color w:val="231F20"/>
        </w:rPr>
        <w:t>Accomplished</w:t>
      </w:r>
      <w:r>
        <w:rPr>
          <w:color w:val="231F20"/>
          <w:spacing w:val="-1"/>
        </w:rPr>
        <w:t> </w:t>
      </w:r>
      <w:r>
        <w:rPr>
          <w:color w:val="231F20"/>
        </w:rPr>
        <w:t>and</w:t>
      </w:r>
      <w:r>
        <w:rPr>
          <w:color w:val="231F20"/>
          <w:spacing w:val="-2"/>
        </w:rPr>
        <w:t> </w:t>
      </w:r>
      <w:r>
        <w:rPr>
          <w:color w:val="231F20"/>
        </w:rPr>
        <w:t>Lead</w:t>
      </w:r>
      <w:r>
        <w:rPr>
          <w:color w:val="231F20"/>
        </w:rPr>
        <w:t> </w:t>
      </w:r>
      <w:r>
        <w:rPr>
          <w:color w:val="231F20"/>
          <w:spacing w:val="-26"/>
        </w:rPr>
        <w:t>T</w:t>
      </w:r>
      <w:r>
        <w:rPr>
          <w:color w:val="231F20"/>
        </w:rPr>
        <w:t>eachers (HA</w:t>
      </w:r>
      <w:r>
        <w:rPr>
          <w:color w:val="231F20"/>
          <w:spacing w:val="-16"/>
        </w:rPr>
        <w:t>L</w:t>
      </w:r>
      <w:r>
        <w:rPr>
          <w:color w:val="231F20"/>
          <w:spacing w:val="-26"/>
        </w:rPr>
        <w:t>T</w:t>
      </w:r>
      <w:r>
        <w:rPr>
          <w:color w:val="231F20"/>
        </w:rPr>
        <w:t>s).</w:t>
      </w:r>
      <w:r>
        <w:rPr/>
      </w:r>
    </w:p>
    <w:p>
      <w:pPr>
        <w:spacing w:after="0" w:line="240" w:lineRule="auto"/>
        <w:jc w:val="left"/>
        <w:sectPr>
          <w:pgSz w:w="9980" w:h="14180"/>
          <w:pgMar w:header="0" w:footer="452" w:top="0" w:bottom="640" w:left="0" w:right="0"/>
        </w:sectPr>
      </w:pPr>
    </w:p>
    <w:p>
      <w:pPr>
        <w:spacing w:line="240" w:lineRule="auto" w:before="5"/>
        <w:rPr>
          <w:rFonts w:ascii="Swis721 Lt BT" w:hAnsi="Swis721 Lt BT" w:cs="Swis721 Lt BT" w:eastAsia="Swis721 Lt BT"/>
          <w:sz w:val="28"/>
          <w:szCs w:val="28"/>
        </w:rPr>
      </w:pPr>
    </w:p>
    <w:p>
      <w:pPr>
        <w:spacing w:before="77"/>
        <w:ind w:left="0" w:right="848" w:firstLine="0"/>
        <w:jc w:val="right"/>
        <w:rPr>
          <w:rFonts w:ascii="Swis721 Lt BT" w:hAnsi="Swis721 Lt BT" w:cs="Swis721 Lt BT" w:eastAsia="Swis721 Lt BT"/>
          <w:sz w:val="14"/>
          <w:szCs w:val="14"/>
        </w:rPr>
      </w:pPr>
      <w:r>
        <w:rPr/>
        <w:pict>
          <v:group style="position:absolute;margin-left:0pt;margin-top:-17.711885pt;width:498.9pt;height:98.8pt;mso-position-horizontal-relative:page;mso-position-vertical-relative:paragraph;z-index:-184288" coordorigin="0,-354" coordsize="9978,1976">
            <v:group style="position:absolute;left:0;top:-354;width:9978;height:1018" coordorigin="0,-354" coordsize="9978,1018">
              <v:shape style="position:absolute;left:0;top:-354;width:9978;height:1018" coordorigin="0,-354" coordsize="9978,1018" path="m0,664l9978,664,9978,-354,0,-354,0,664xe" filled="true" fillcolor="#003b45" stroked="false">
                <v:path arrowok="t"/>
                <v:fill type="solid"/>
              </v:shape>
            </v:group>
            <v:group style="position:absolute;left:0;top:664;width:3385;height:958" coordorigin="0,664" coordsize="3385,958">
              <v:shape style="position:absolute;left:0;top:664;width:3385;height:958" coordorigin="0,664" coordsize="3385,958" path="m3384,664l0,664,0,1621,3384,664xe" filled="true" fillcolor="#bfd22b" stroked="false">
                <v:path arrowok="t"/>
                <v:fill type="solid"/>
              </v:shape>
            </v:group>
            <v:group style="position:absolute;left:3384;top:-354;width:6594;height:1018" coordorigin="3384,-354" coordsize="6594,1018">
              <v:shape style="position:absolute;left:3384;top:-354;width:6594;height:1018" coordorigin="3384,-354" coordsize="6594,1018" path="m6982,-354l3384,664,9978,664,9978,-354,6982,-354e" filled="true" fillcolor="#005e63" stroked="false">
                <v:path arrowok="t"/>
                <v:fill type="solid"/>
              </v:shape>
            </v:group>
            <w10:wrap type="none"/>
          </v:group>
        </w:pict>
      </w:r>
      <w:r>
        <w:rPr>
          <w:rFonts w:ascii="Swis721 Lt BT" w:hAnsi="Swis721 Lt BT" w:cs="Swis721 Lt BT" w:eastAsia="Swis721 Lt BT"/>
          <w:color w:val="303B41"/>
          <w:sz w:val="14"/>
          <w:szCs w:val="14"/>
        </w:rPr>
        <w:t>A</w:t>
      </w:r>
      <w:r>
        <w:rPr>
          <w:rFonts w:ascii="Swis721 Lt BT" w:hAnsi="Swis721 Lt BT" w:cs="Swis721 Lt BT" w:eastAsia="Swis721 Lt BT"/>
          <w:color w:val="303B41"/>
          <w:spacing w:val="-36"/>
          <w:sz w:val="14"/>
          <w:szCs w:val="14"/>
        </w:rPr>
        <w:t>N</w:t>
      </w:r>
      <w:r>
        <w:rPr>
          <w:rFonts w:ascii="Swis721 Lt BT" w:hAnsi="Swis721 Lt BT" w:cs="Swis721 Lt BT" w:eastAsia="Swis721 Lt BT"/>
          <w:color w:val="FFFFFF"/>
          <w:spacing w:val="-51"/>
          <w:sz w:val="14"/>
          <w:szCs w:val="14"/>
        </w:rPr>
        <w:t>A</w:t>
      </w:r>
      <w:r>
        <w:rPr>
          <w:rFonts w:ascii="Swis721 Lt BT" w:hAnsi="Swis721 Lt BT" w:cs="Swis721 Lt BT" w:eastAsia="Swis721 Lt BT"/>
          <w:color w:val="303B41"/>
          <w:spacing w:val="-49"/>
          <w:sz w:val="14"/>
          <w:szCs w:val="14"/>
        </w:rPr>
        <w:t>N</w:t>
      </w:r>
      <w:r>
        <w:rPr>
          <w:rFonts w:ascii="Swis721 Lt BT" w:hAnsi="Swis721 Lt BT" w:cs="Swis721 Lt BT" w:eastAsia="Swis721 Lt BT"/>
          <w:color w:val="FFFFFF"/>
          <w:spacing w:val="-51"/>
          <w:sz w:val="14"/>
          <w:szCs w:val="14"/>
        </w:rPr>
        <w:t>N</w:t>
      </w:r>
      <w:r>
        <w:rPr>
          <w:rFonts w:ascii="Swis721 Lt BT" w:hAnsi="Swis721 Lt BT" w:cs="Swis721 Lt BT" w:eastAsia="Swis721 Lt BT"/>
          <w:color w:val="303B41"/>
          <w:spacing w:val="-48"/>
          <w:sz w:val="14"/>
          <w:szCs w:val="14"/>
        </w:rPr>
        <w:t>U</w:t>
      </w:r>
      <w:r>
        <w:rPr>
          <w:rFonts w:ascii="Swis721 Lt BT" w:hAnsi="Swis721 Lt BT" w:cs="Swis721 Lt BT" w:eastAsia="Swis721 Lt BT"/>
          <w:color w:val="FFFFFF"/>
          <w:spacing w:val="-54"/>
          <w:sz w:val="14"/>
          <w:szCs w:val="14"/>
        </w:rPr>
        <w:t>N</w:t>
      </w:r>
      <w:r>
        <w:rPr>
          <w:rFonts w:ascii="Swis721 Lt BT" w:hAnsi="Swis721 Lt BT" w:cs="Swis721 Lt BT" w:eastAsia="Swis721 Lt BT"/>
          <w:color w:val="303B41"/>
          <w:spacing w:val="-33"/>
          <w:sz w:val="14"/>
          <w:szCs w:val="14"/>
        </w:rPr>
        <w:t>A</w:t>
      </w:r>
      <w:r>
        <w:rPr>
          <w:rFonts w:ascii="Swis721 Lt BT" w:hAnsi="Swis721 Lt BT" w:cs="Swis721 Lt BT" w:eastAsia="Swis721 Lt BT"/>
          <w:color w:val="FFFFFF"/>
          <w:spacing w:val="-66"/>
          <w:sz w:val="14"/>
          <w:szCs w:val="14"/>
        </w:rPr>
        <w:t>U</w:t>
      </w:r>
      <w:r>
        <w:rPr>
          <w:rFonts w:ascii="Swis721 Lt BT" w:hAnsi="Swis721 Lt BT" w:cs="Swis721 Lt BT" w:eastAsia="Swis721 Lt BT"/>
          <w:color w:val="303B41"/>
          <w:spacing w:val="-11"/>
          <w:sz w:val="14"/>
          <w:szCs w:val="14"/>
        </w:rPr>
        <w:t>L</w:t>
      </w:r>
      <w:r>
        <w:rPr>
          <w:rFonts w:ascii="Swis721 Lt BT" w:hAnsi="Swis721 Lt BT" w:cs="Swis721 Lt BT" w:eastAsia="Swis721 Lt BT"/>
          <w:color w:val="FFFFFF"/>
          <w:spacing w:val="-39"/>
          <w:sz w:val="14"/>
          <w:szCs w:val="14"/>
        </w:rPr>
        <w:t>A</w:t>
      </w:r>
      <w:r>
        <w:rPr>
          <w:rFonts w:ascii="Swis721 Lt BT" w:hAnsi="Swis721 Lt BT" w:cs="Swis721 Lt BT" w:eastAsia="Swis721 Lt BT"/>
          <w:color w:val="303B41"/>
          <w:spacing w:val="-52"/>
          <w:sz w:val="14"/>
          <w:szCs w:val="14"/>
        </w:rPr>
        <w:t>R</w:t>
      </w:r>
      <w:r>
        <w:rPr>
          <w:rFonts w:ascii="Swis721 Lt BT" w:hAnsi="Swis721 Lt BT" w:cs="Swis721 Lt BT" w:eastAsia="Swis721 Lt BT"/>
          <w:color w:val="FFFFFF"/>
          <w:spacing w:val="-22"/>
          <w:sz w:val="14"/>
          <w:szCs w:val="14"/>
        </w:rPr>
        <w:t>L</w:t>
      </w:r>
      <w:r>
        <w:rPr>
          <w:rFonts w:ascii="Swis721 Lt BT" w:hAnsi="Swis721 Lt BT" w:cs="Swis721 Lt BT" w:eastAsia="Swis721 Lt BT"/>
          <w:color w:val="303B41"/>
          <w:spacing w:val="-27"/>
          <w:sz w:val="14"/>
          <w:szCs w:val="14"/>
        </w:rPr>
        <w:t>E</w:t>
      </w:r>
      <w:r>
        <w:rPr>
          <w:rFonts w:ascii="Swis721 Lt BT" w:hAnsi="Swis721 Lt BT" w:cs="Swis721 Lt BT" w:eastAsia="Swis721 Lt BT"/>
          <w:color w:val="FFFFFF"/>
          <w:spacing w:val="-65"/>
          <w:sz w:val="14"/>
          <w:szCs w:val="14"/>
        </w:rPr>
        <w:t>R</w:t>
      </w:r>
      <w:r>
        <w:rPr>
          <w:rFonts w:ascii="Swis721 Lt BT" w:hAnsi="Swis721 Lt BT" w:cs="Swis721 Lt BT" w:eastAsia="Swis721 Lt BT"/>
          <w:color w:val="303B41"/>
          <w:spacing w:val="-21"/>
          <w:sz w:val="14"/>
          <w:szCs w:val="14"/>
        </w:rPr>
        <w:t>P</w:t>
      </w:r>
      <w:r>
        <w:rPr>
          <w:rFonts w:ascii="Swis721 Lt BT" w:hAnsi="Swis721 Lt BT" w:cs="Swis721 Lt BT" w:eastAsia="Swis721 Lt BT"/>
          <w:color w:val="FFFFFF"/>
          <w:spacing w:val="-65"/>
          <w:sz w:val="14"/>
          <w:szCs w:val="14"/>
        </w:rPr>
        <w:t>E</w:t>
      </w:r>
      <w:r>
        <w:rPr>
          <w:rFonts w:ascii="Swis721 Lt BT" w:hAnsi="Swis721 Lt BT" w:cs="Swis721 Lt BT" w:eastAsia="Swis721 Lt BT"/>
          <w:color w:val="303B41"/>
          <w:spacing w:val="-42"/>
          <w:sz w:val="14"/>
          <w:szCs w:val="14"/>
        </w:rPr>
        <w:t>O</w:t>
      </w:r>
      <w:r>
        <w:rPr>
          <w:rFonts w:ascii="Swis721 Lt BT" w:hAnsi="Swis721 Lt BT" w:cs="Swis721 Lt BT" w:eastAsia="Swis721 Lt BT"/>
          <w:color w:val="FFFFFF"/>
          <w:spacing w:val="-43"/>
          <w:sz w:val="14"/>
          <w:szCs w:val="14"/>
        </w:rPr>
        <w:t>P</w:t>
      </w:r>
      <w:r>
        <w:rPr>
          <w:rFonts w:ascii="Swis721 Lt BT" w:hAnsi="Swis721 Lt BT" w:cs="Swis721 Lt BT" w:eastAsia="Swis721 Lt BT"/>
          <w:color w:val="303B41"/>
          <w:spacing w:val="-48"/>
          <w:sz w:val="14"/>
          <w:szCs w:val="14"/>
        </w:rPr>
        <w:t>R</w:t>
      </w:r>
      <w:r>
        <w:rPr>
          <w:rFonts w:ascii="Swis721 Lt BT" w:hAnsi="Swis721 Lt BT" w:cs="Swis721 Lt BT" w:eastAsia="Swis721 Lt BT"/>
          <w:color w:val="FFFFFF"/>
          <w:spacing w:val="-59"/>
          <w:sz w:val="14"/>
          <w:szCs w:val="14"/>
        </w:rPr>
        <w:t>O</w:t>
      </w:r>
      <w:r>
        <w:rPr>
          <w:rFonts w:ascii="Swis721 Lt BT" w:hAnsi="Swis721 Lt BT" w:cs="Swis721 Lt BT" w:eastAsia="Swis721 Lt BT"/>
          <w:color w:val="303B41"/>
          <w:spacing w:val="-17"/>
          <w:sz w:val="14"/>
          <w:szCs w:val="14"/>
        </w:rPr>
        <w:t>T</w:t>
      </w:r>
      <w:r>
        <w:rPr>
          <w:rFonts w:ascii="Swis721 Lt BT" w:hAnsi="Swis721 Lt BT" w:cs="Swis721 Lt BT" w:eastAsia="Swis721 Lt BT"/>
          <w:color w:val="FFFFFF"/>
          <w:spacing w:val="-38"/>
          <w:sz w:val="14"/>
          <w:szCs w:val="14"/>
        </w:rPr>
        <w:t>R</w:t>
      </w:r>
      <w:r>
        <w:rPr>
          <w:rFonts w:ascii="Swis721 Lt BT" w:hAnsi="Swis721 Lt BT" w:cs="Swis721 Lt BT" w:eastAsia="Swis721 Lt BT"/>
          <w:color w:val="303B41"/>
          <w:spacing w:val="-38"/>
          <w:sz w:val="14"/>
          <w:szCs w:val="14"/>
        </w:rPr>
        <w:t>2</w:t>
      </w:r>
      <w:r>
        <w:rPr>
          <w:rFonts w:ascii="Swis721 Lt BT" w:hAnsi="Swis721 Lt BT" w:cs="Swis721 Lt BT" w:eastAsia="Swis721 Lt BT"/>
          <w:color w:val="FFFFFF"/>
          <w:spacing w:val="-38"/>
          <w:sz w:val="14"/>
          <w:szCs w:val="14"/>
        </w:rPr>
        <w:t>T</w:t>
      </w:r>
      <w:r>
        <w:rPr>
          <w:rFonts w:ascii="Swis721 Lt BT" w:hAnsi="Swis721 Lt BT" w:cs="Swis721 Lt BT" w:eastAsia="Swis721 Lt BT"/>
          <w:color w:val="303B41"/>
          <w:sz w:val="14"/>
          <w:szCs w:val="14"/>
        </w:rPr>
        <w:t>0</w:t>
      </w:r>
      <w:r>
        <w:rPr>
          <w:rFonts w:ascii="Swis721 Lt BT" w:hAnsi="Swis721 Lt BT" w:cs="Swis721 Lt BT" w:eastAsia="Swis721 Lt BT"/>
          <w:color w:val="303B41"/>
          <w:spacing w:val="-75"/>
          <w:sz w:val="14"/>
          <w:szCs w:val="14"/>
        </w:rPr>
        <w:t>1</w:t>
      </w:r>
      <w:r>
        <w:rPr>
          <w:rFonts w:ascii="Swis721 Lt BT" w:hAnsi="Swis721 Lt BT" w:cs="Swis721 Lt BT" w:eastAsia="Swis721 Lt BT"/>
          <w:color w:val="FFFFFF"/>
          <w:sz w:val="14"/>
          <w:szCs w:val="14"/>
        </w:rPr>
        <w:t>2</w:t>
      </w:r>
      <w:r>
        <w:rPr>
          <w:rFonts w:ascii="Swis721 Lt BT" w:hAnsi="Swis721 Lt BT" w:cs="Swis721 Lt BT" w:eastAsia="Swis721 Lt BT"/>
          <w:color w:val="303B41"/>
          <w:spacing w:val="-75"/>
          <w:sz w:val="14"/>
          <w:szCs w:val="14"/>
        </w:rPr>
        <w:t>7</w:t>
      </w:r>
      <w:r>
        <w:rPr>
          <w:rFonts w:ascii="Swis721 Lt BT" w:hAnsi="Swis721 Lt BT" w:cs="Swis721 Lt BT" w:eastAsia="Swis721 Lt BT"/>
          <w:color w:val="FFFFFF"/>
          <w:sz w:val="14"/>
          <w:szCs w:val="14"/>
        </w:rPr>
        <w:t>0</w:t>
      </w:r>
      <w:r>
        <w:rPr>
          <w:rFonts w:ascii="Swis721 Lt BT" w:hAnsi="Swis721 Lt BT" w:cs="Swis721 Lt BT" w:eastAsia="Swis721 Lt BT"/>
          <w:color w:val="303B41"/>
          <w:spacing w:val="-70"/>
          <w:sz w:val="14"/>
          <w:szCs w:val="14"/>
        </w:rPr>
        <w:t>–</w:t>
      </w:r>
      <w:r>
        <w:rPr>
          <w:rFonts w:ascii="Swis721 Lt BT" w:hAnsi="Swis721 Lt BT" w:cs="Swis721 Lt BT" w:eastAsia="Swis721 Lt BT"/>
          <w:color w:val="FFFFFF"/>
          <w:spacing w:val="-5"/>
          <w:sz w:val="14"/>
          <w:szCs w:val="14"/>
        </w:rPr>
        <w:t>1</w:t>
      </w:r>
      <w:r>
        <w:rPr>
          <w:rFonts w:ascii="Swis721 Lt BT" w:hAnsi="Swis721 Lt BT" w:cs="Swis721 Lt BT" w:eastAsia="Swis721 Lt BT"/>
          <w:color w:val="303B41"/>
          <w:spacing w:val="-70"/>
          <w:sz w:val="14"/>
          <w:szCs w:val="14"/>
        </w:rPr>
        <w:t>2</w:t>
      </w:r>
      <w:r>
        <w:rPr>
          <w:rFonts w:ascii="Swis721 Lt BT" w:hAnsi="Swis721 Lt BT" w:cs="Swis721 Lt BT" w:eastAsia="Swis721 Lt BT"/>
          <w:color w:val="FFFFFF"/>
          <w:spacing w:val="-5"/>
          <w:sz w:val="14"/>
          <w:szCs w:val="14"/>
        </w:rPr>
        <w:t>8</w:t>
      </w:r>
      <w:r>
        <w:rPr>
          <w:rFonts w:ascii="Swis721 Lt BT" w:hAnsi="Swis721 Lt BT" w:cs="Swis721 Lt BT" w:eastAsia="Swis721 Lt BT"/>
          <w:color w:val="303B41"/>
          <w:spacing w:val="-70"/>
          <w:sz w:val="14"/>
          <w:szCs w:val="14"/>
        </w:rPr>
        <w:t>0</w:t>
      </w:r>
      <w:r>
        <w:rPr>
          <w:rFonts w:ascii="Swis721 Lt BT" w:hAnsi="Swis721 Lt BT" w:cs="Swis721 Lt BT" w:eastAsia="Swis721 Lt BT"/>
          <w:color w:val="FFFFFF"/>
          <w:sz w:val="14"/>
          <w:szCs w:val="14"/>
        </w:rPr>
        <w:t>–</w:t>
      </w:r>
      <w:r>
        <w:rPr>
          <w:rFonts w:ascii="Swis721 Lt BT" w:hAnsi="Swis721 Lt BT" w:cs="Swis721 Lt BT" w:eastAsia="Swis721 Lt BT"/>
          <w:color w:val="303B41"/>
          <w:spacing w:val="-75"/>
          <w:sz w:val="14"/>
          <w:szCs w:val="14"/>
        </w:rPr>
        <w:t>1</w:t>
      </w:r>
      <w:r>
        <w:rPr>
          <w:rFonts w:ascii="Swis721 Lt BT" w:hAnsi="Swis721 Lt BT" w:cs="Swis721 Lt BT" w:eastAsia="Swis721 Lt BT"/>
          <w:color w:val="FFFFFF"/>
          <w:sz w:val="14"/>
          <w:szCs w:val="14"/>
        </w:rPr>
        <w:t>1</w:t>
      </w:r>
      <w:r>
        <w:rPr>
          <w:rFonts w:ascii="Swis721 Lt BT" w:hAnsi="Swis721 Lt BT" w:cs="Swis721 Lt BT" w:eastAsia="Swis721 Lt BT"/>
          <w:color w:val="303B41"/>
          <w:spacing w:val="-75"/>
          <w:sz w:val="14"/>
          <w:szCs w:val="14"/>
        </w:rPr>
        <w:t>8</w:t>
      </w:r>
      <w:r>
        <w:rPr>
          <w:rFonts w:ascii="Swis721 Lt BT" w:hAnsi="Swis721 Lt BT" w:cs="Swis721 Lt BT" w:eastAsia="Swis721 Lt BT"/>
          <w:color w:val="FFFFFF"/>
          <w:sz w:val="14"/>
          <w:szCs w:val="14"/>
        </w:rPr>
        <w:t>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1"/>
        <w:rPr>
          <w:rFonts w:ascii="Swis721 Lt BT" w:hAnsi="Swis721 Lt BT" w:cs="Swis721 Lt BT" w:eastAsia="Swis721 Lt BT"/>
          <w:sz w:val="25"/>
          <w:szCs w:val="25"/>
        </w:rPr>
      </w:pPr>
    </w:p>
    <w:p>
      <w:pPr>
        <w:spacing w:after="0" w:line="240" w:lineRule="auto"/>
        <w:rPr>
          <w:rFonts w:ascii="Swis721 Lt BT" w:hAnsi="Swis721 Lt BT" w:cs="Swis721 Lt BT" w:eastAsia="Swis721 Lt BT"/>
          <w:sz w:val="25"/>
          <w:szCs w:val="25"/>
        </w:rPr>
        <w:sectPr>
          <w:footerReference w:type="default" r:id="rId23"/>
          <w:footerReference w:type="even" r:id="rId24"/>
          <w:pgSz w:w="9980" w:h="14180"/>
          <w:pgMar w:footer="452" w:header="0" w:top="0" w:bottom="640" w:left="0" w:right="0"/>
        </w:sectPr>
      </w:pPr>
    </w:p>
    <w:p>
      <w:pPr>
        <w:pStyle w:val="BodyText"/>
        <w:spacing w:line="240" w:lineRule="auto" w:before="69"/>
        <w:ind w:left="1133" w:right="92"/>
        <w:jc w:val="left"/>
      </w:pPr>
      <w:r>
        <w:rPr>
          <w:color w:val="231F20"/>
        </w:rPr>
        <w:t>This boosted the effectiveness of AITSL’s national </w:t>
      </w:r>
      <w:r>
        <w:rPr>
          <w:color w:val="231F20"/>
          <w:spacing w:val="-4"/>
        </w:rPr>
        <w:t>HALT</w:t>
      </w:r>
      <w:r>
        <w:rPr>
          <w:color w:val="231F20"/>
        </w:rPr>
        <w:t> Network and the annual </w:t>
      </w:r>
      <w:r>
        <w:rPr>
          <w:color w:val="231F20"/>
          <w:spacing w:val="-4"/>
        </w:rPr>
        <w:t>HALT</w:t>
      </w:r>
      <w:r>
        <w:rPr>
          <w:color w:val="231F20"/>
          <w:spacing w:val="20"/>
        </w:rPr>
        <w:t> </w:t>
      </w:r>
      <w:r>
        <w:rPr>
          <w:color w:val="231F20"/>
        </w:rPr>
        <w:t>Summit in Darwin during </w:t>
      </w:r>
      <w:r>
        <w:rPr>
          <w:color w:val="231F20"/>
          <w:spacing w:val="-4"/>
        </w:rPr>
        <w:t>May.</w:t>
      </w:r>
      <w:r>
        <w:rPr>
          <w:color w:val="231F20"/>
        </w:rPr>
        <w:t> Both provided</w:t>
      </w:r>
      <w:r>
        <w:rPr>
          <w:color w:val="231F20"/>
          <w:spacing w:val="21"/>
        </w:rPr>
        <w:t> </w:t>
      </w:r>
      <w:r>
        <w:rPr>
          <w:color w:val="231F20"/>
        </w:rPr>
        <w:t>opportunities for this growing cohort of expert</w:t>
      </w:r>
      <w:r>
        <w:rPr>
          <w:color w:val="231F20"/>
        </w:rPr>
        <w:t> teachers,</w:t>
      </w:r>
      <w:r>
        <w:rPr>
          <w:color w:val="231F20"/>
          <w:spacing w:val="-3"/>
        </w:rPr>
        <w:t> </w:t>
      </w:r>
      <w:r>
        <w:rPr>
          <w:color w:val="231F20"/>
        </w:rPr>
        <w:t>who</w:t>
      </w:r>
      <w:r>
        <w:rPr>
          <w:color w:val="231F20"/>
          <w:spacing w:val="-2"/>
        </w:rPr>
        <w:t> </w:t>
      </w:r>
      <w:r>
        <w:rPr>
          <w:color w:val="231F20"/>
        </w:rPr>
        <w:t>have</w:t>
      </w:r>
      <w:r>
        <w:rPr>
          <w:color w:val="231F20"/>
          <w:spacing w:val="-3"/>
        </w:rPr>
        <w:t> </w:t>
      </w:r>
      <w:r>
        <w:rPr>
          <w:color w:val="231F20"/>
        </w:rPr>
        <w:t>achieved</w:t>
      </w:r>
      <w:r>
        <w:rPr>
          <w:color w:val="231F20"/>
          <w:spacing w:val="-2"/>
        </w:rPr>
        <w:t> </w:t>
      </w:r>
      <w:r>
        <w:rPr>
          <w:color w:val="231F20"/>
        </w:rPr>
        <w:t>certification</w:t>
      </w:r>
      <w:r>
        <w:rPr>
          <w:color w:val="231F20"/>
          <w:w w:val="99"/>
        </w:rPr>
        <w:t> </w:t>
      </w:r>
      <w:r>
        <w:rPr>
          <w:color w:val="231F20"/>
        </w:rPr>
        <w:t>aligned to the </w:t>
      </w:r>
      <w:r>
        <w:rPr>
          <w:rFonts w:ascii="Swis721 Lt BT" w:hAnsi="Swis721 Lt BT" w:cs="Swis721 Lt BT" w:eastAsia="Swis721 Lt BT"/>
          <w:i/>
          <w:color w:val="231F20"/>
        </w:rPr>
        <w:t>Australian Professional</w:t>
      </w:r>
      <w:r>
        <w:rPr>
          <w:rFonts w:ascii="Swis721 Lt BT" w:hAnsi="Swis721 Lt BT" w:cs="Swis721 Lt BT" w:eastAsia="Swis721 Lt BT"/>
          <w:i/>
          <w:color w:val="231F20"/>
        </w:rPr>
        <w:t> Standards for </w:t>
      </w:r>
      <w:r>
        <w:rPr>
          <w:rFonts w:ascii="Swis721 Lt BT" w:hAnsi="Swis721 Lt BT" w:cs="Swis721 Lt BT" w:eastAsia="Swis721 Lt BT"/>
          <w:i/>
          <w:color w:val="231F20"/>
          <w:spacing w:val="-3"/>
        </w:rPr>
        <w:t>Teachers</w:t>
      </w:r>
      <w:r>
        <w:rPr>
          <w:color w:val="231F20"/>
          <w:spacing w:val="-3"/>
        </w:rPr>
        <w:t>,</w:t>
      </w:r>
      <w:r>
        <w:rPr>
          <w:color w:val="231F20"/>
        </w:rPr>
        <w:t> to share expertise</w:t>
      </w:r>
      <w:r>
        <w:rPr>
          <w:color w:val="231F20"/>
          <w:spacing w:val="24"/>
        </w:rPr>
        <w:t> </w:t>
      </w:r>
      <w:r>
        <w:rPr>
          <w:color w:val="231F20"/>
        </w:rPr>
        <w:t>and further develop their practice and that</w:t>
      </w:r>
      <w:r>
        <w:rPr/>
      </w:r>
    </w:p>
    <w:p>
      <w:pPr>
        <w:pStyle w:val="BodyText"/>
        <w:spacing w:line="240" w:lineRule="auto" w:before="0"/>
        <w:ind w:left="1133" w:right="0"/>
        <w:jc w:val="left"/>
      </w:pPr>
      <w:r>
        <w:rPr>
          <w:color w:val="231F20"/>
        </w:rPr>
        <w:t>of their colleagues.</w:t>
      </w:r>
      <w:r>
        <w:rPr/>
      </w:r>
    </w:p>
    <w:p>
      <w:pPr>
        <w:pStyle w:val="BodyText"/>
        <w:spacing w:line="240" w:lineRule="auto"/>
        <w:ind w:left="1133" w:right="310"/>
        <w:jc w:val="left"/>
      </w:pPr>
      <w:r>
        <w:rPr>
          <w:color w:val="231F20"/>
        </w:rPr>
        <w:t>A major development is that </w:t>
      </w:r>
      <w:r>
        <w:rPr>
          <w:color w:val="231F20"/>
          <w:spacing w:val="-4"/>
        </w:rPr>
        <w:t>HALT</w:t>
      </w:r>
      <w:r>
        <w:rPr>
          <w:color w:val="231F20"/>
        </w:rPr>
        <w:t> trials</w:t>
      </w:r>
      <w:r>
        <w:rPr>
          <w:color w:val="231F20"/>
          <w:spacing w:val="20"/>
        </w:rPr>
        <w:t> </w:t>
      </w:r>
      <w:r>
        <w:rPr>
          <w:color w:val="231F20"/>
        </w:rPr>
        <w:t>are set to start in </w:t>
      </w:r>
      <w:r>
        <w:rPr>
          <w:color w:val="231F20"/>
          <w:spacing w:val="-26"/>
        </w:rPr>
        <w:t>T</w:t>
      </w:r>
      <w:r>
        <w:rPr>
          <w:color w:val="231F20"/>
        </w:rPr>
        <w:t>asmania and in Victorian</w:t>
      </w:r>
      <w:r>
        <w:rPr>
          <w:color w:val="231F20"/>
        </w:rPr>
        <w:t> Catholic schools, meaning students and</w:t>
      </w:r>
      <w:r>
        <w:rPr/>
      </w:r>
    </w:p>
    <w:p>
      <w:pPr>
        <w:pStyle w:val="BodyText"/>
        <w:spacing w:line="240" w:lineRule="auto" w:before="0"/>
        <w:ind w:left="1133" w:right="0"/>
        <w:jc w:val="left"/>
      </w:pPr>
      <w:r>
        <w:rPr>
          <w:color w:val="231F20"/>
        </w:rPr>
        <w:t>schools in every state and territory will soon be benefitting</w:t>
      </w:r>
      <w:r>
        <w:rPr>
          <w:color w:val="231F20"/>
          <w:spacing w:val="-3"/>
        </w:rPr>
        <w:t> </w:t>
      </w:r>
      <w:r>
        <w:rPr>
          <w:color w:val="231F20"/>
        </w:rPr>
        <w:t>from</w:t>
      </w:r>
      <w:r>
        <w:rPr>
          <w:color w:val="231F20"/>
          <w:spacing w:val="-3"/>
        </w:rPr>
        <w:t> </w:t>
      </w:r>
      <w:r>
        <w:rPr>
          <w:color w:val="231F20"/>
          <w:spacing w:val="-4"/>
        </w:rPr>
        <w:t>HALT</w:t>
      </w:r>
      <w:r>
        <w:rPr>
          <w:color w:val="231F20"/>
          <w:spacing w:val="-3"/>
        </w:rPr>
        <w:t> </w:t>
      </w:r>
      <w:r>
        <w:rPr>
          <w:color w:val="231F20"/>
        </w:rPr>
        <w:t>expertise.</w:t>
      </w:r>
      <w:r>
        <w:rPr/>
      </w:r>
    </w:p>
    <w:p>
      <w:pPr>
        <w:pStyle w:val="BodyText"/>
        <w:spacing w:line="240" w:lineRule="auto"/>
        <w:ind w:left="1133" w:right="22"/>
        <w:jc w:val="both"/>
      </w:pPr>
      <w:r>
        <w:rPr>
          <w:color w:val="231F20"/>
        </w:rPr>
        <w:t>As a former teacher and principal, I know how important it is for Australia’s educators to have access to meaningful professional learning.</w:t>
      </w:r>
      <w:r>
        <w:rPr/>
      </w:r>
    </w:p>
    <w:p>
      <w:pPr>
        <w:pStyle w:val="BodyText"/>
        <w:spacing w:line="240" w:lineRule="auto"/>
        <w:ind w:left="1133" w:right="0"/>
        <w:jc w:val="left"/>
      </w:pPr>
      <w:r>
        <w:rPr>
          <w:color w:val="231F20"/>
          <w:spacing w:val="-1"/>
        </w:rPr>
        <w:t>Following</w:t>
      </w:r>
      <w:r>
        <w:rPr>
          <w:color w:val="231F20"/>
        </w:rPr>
        <w:t> extensive consultation with the</w:t>
      </w:r>
      <w:r>
        <w:rPr>
          <w:color w:val="231F20"/>
          <w:spacing w:val="24"/>
        </w:rPr>
        <w:t> </w:t>
      </w:r>
      <w:r>
        <w:rPr>
          <w:color w:val="231F20"/>
        </w:rPr>
        <w:t>profession, AITSL launched new resources to</w:t>
      </w:r>
      <w:r>
        <w:rPr>
          <w:color w:val="231F20"/>
        </w:rPr>
        <w:t> assist teachers and school leaders in planning and getting the most out of professional learning. With some cohorts of teachers</w:t>
      </w:r>
      <w:r>
        <w:rPr/>
      </w:r>
    </w:p>
    <w:p>
      <w:pPr>
        <w:pStyle w:val="BodyText"/>
        <w:spacing w:line="240" w:lineRule="auto" w:before="0"/>
        <w:ind w:left="1133" w:right="0"/>
        <w:jc w:val="left"/>
      </w:pPr>
      <w:r>
        <w:rPr>
          <w:color w:val="231F20"/>
        </w:rPr>
        <w:t>still experiencing access barriers, AITSL will continue working with the profession and all jurisdictions to improve professional learning opportunities for all, no matter where they teach or lead.</w:t>
      </w:r>
      <w:r>
        <w:rPr/>
      </w:r>
    </w:p>
    <w:p>
      <w:pPr>
        <w:spacing w:before="113"/>
        <w:ind w:left="1133" w:right="253" w:firstLine="0"/>
        <w:jc w:val="left"/>
        <w:rPr>
          <w:rFonts w:ascii="Swis721 Lt BT" w:hAnsi="Swis721 Lt BT" w:cs="Swis721 Lt BT" w:eastAsia="Swis721 Lt BT"/>
          <w:sz w:val="19"/>
          <w:szCs w:val="19"/>
        </w:rPr>
      </w:pPr>
      <w:r>
        <w:rPr>
          <w:rFonts w:ascii="Swis721 Lt BT"/>
          <w:color w:val="231F20"/>
          <w:sz w:val="19"/>
        </w:rPr>
        <w:t>Strong focus was given to strengthening school leadership and principal preparation by helping systems and sectors to apply the policy framework, </w:t>
      </w:r>
      <w:r>
        <w:rPr>
          <w:rFonts w:ascii="Swis721 Lt BT"/>
          <w:i/>
          <w:color w:val="2B2E30"/>
          <w:sz w:val="19"/>
        </w:rPr>
        <w:t>Leading for impact:</w:t>
      </w:r>
      <w:r>
        <w:rPr>
          <w:rFonts w:ascii="Swis721 Lt BT"/>
          <w:i/>
          <w:color w:val="2B2E30"/>
          <w:sz w:val="19"/>
        </w:rPr>
        <w:t> Australian guidelines for school leadership development, </w:t>
      </w:r>
      <w:r>
        <w:rPr>
          <w:rFonts w:ascii="Swis721 Lt BT"/>
          <w:color w:val="231F20"/>
          <w:sz w:val="19"/>
        </w:rPr>
        <w:t>along with the introduction</w:t>
      </w:r>
      <w:r>
        <w:rPr>
          <w:rFonts w:ascii="Swis721 Lt BT"/>
          <w:sz w:val="19"/>
        </w:rPr>
      </w:r>
    </w:p>
    <w:p>
      <w:pPr>
        <w:pStyle w:val="BodyText"/>
        <w:spacing w:line="240" w:lineRule="auto" w:before="0"/>
        <w:ind w:left="1133" w:right="0"/>
        <w:jc w:val="left"/>
      </w:pPr>
      <w:r>
        <w:rPr>
          <w:color w:val="231F20"/>
        </w:rPr>
        <w:t>of new resources to assist school leaders </w:t>
      </w:r>
      <w:r>
        <w:rPr>
          <w:color w:val="231F20"/>
          <w:spacing w:val="-2"/>
        </w:rPr>
        <w:t>nationally.</w:t>
      </w:r>
      <w:r>
        <w:rPr/>
      </w:r>
    </w:p>
    <w:p>
      <w:pPr>
        <w:pStyle w:val="BodyText"/>
        <w:spacing w:line="240" w:lineRule="auto" w:before="70"/>
        <w:ind w:left="313" w:right="1103"/>
        <w:jc w:val="left"/>
      </w:pPr>
      <w:r>
        <w:rPr/>
        <w:br w:type="column"/>
      </w:r>
      <w:r>
        <w:rPr>
          <w:color w:val="231F20"/>
          <w:spacing w:val="-2"/>
        </w:rPr>
        <w:t>We</w:t>
      </w:r>
      <w:r>
        <w:rPr>
          <w:color w:val="231F20"/>
        </w:rPr>
        <w:t> also held the latest iteration of the</w:t>
      </w:r>
      <w:r>
        <w:rPr>
          <w:color w:val="231F20"/>
          <w:spacing w:val="22"/>
        </w:rPr>
        <w:t> </w:t>
      </w:r>
      <w:r>
        <w:rPr>
          <w:color w:val="231F20"/>
        </w:rPr>
        <w:t>AITSL Stakeholder </w:t>
      </w:r>
      <w:r>
        <w:rPr>
          <w:color w:val="231F20"/>
          <w:spacing w:val="-3"/>
        </w:rPr>
        <w:t>Survey.</w:t>
      </w:r>
      <w:r>
        <w:rPr>
          <w:color w:val="231F20"/>
        </w:rPr>
        <w:t> With thousands</w:t>
      </w:r>
      <w:r>
        <w:rPr>
          <w:color w:val="231F20"/>
          <w:spacing w:val="29"/>
        </w:rPr>
        <w:t> </w:t>
      </w:r>
      <w:r>
        <w:rPr>
          <w:color w:val="231F20"/>
        </w:rPr>
        <w:t>of teachers, school leaders and education</w:t>
      </w:r>
      <w:r>
        <w:rPr>
          <w:color w:val="231F20"/>
        </w:rPr>
        <w:t> stakeholders having their say about AITSL’s work and how we can better support them, analysis of feedback is </w:t>
      </w:r>
      <w:r>
        <w:rPr>
          <w:color w:val="231F20"/>
          <w:spacing w:val="-2"/>
        </w:rPr>
        <w:t>underway.</w:t>
      </w:r>
      <w:r>
        <w:rPr/>
      </w:r>
    </w:p>
    <w:p>
      <w:pPr>
        <w:pStyle w:val="BodyText"/>
        <w:spacing w:line="240" w:lineRule="auto"/>
        <w:ind w:left="313" w:right="886"/>
        <w:jc w:val="left"/>
      </w:pPr>
      <w:r>
        <w:rPr>
          <w:color w:val="231F20"/>
        </w:rPr>
        <w:t>Having joined AITSL in April 2019, I am grateful to the AITSL Board, my predecessor Ms Lisa Rodgers, my fellow executives, and the committed AITSL staff who have worked tirelessly to further quality teaching and school leadership.</w:t>
      </w:r>
      <w:r>
        <w:rPr/>
      </w:r>
    </w:p>
    <w:p>
      <w:pPr>
        <w:pStyle w:val="BodyText"/>
        <w:spacing w:line="240" w:lineRule="auto"/>
        <w:ind w:left="313" w:right="1022"/>
        <w:jc w:val="left"/>
      </w:pPr>
      <w:r>
        <w:rPr>
          <w:color w:val="231F20"/>
        </w:rPr>
        <w:t>The</w:t>
      </w:r>
      <w:r>
        <w:rPr>
          <w:color w:val="231F20"/>
          <w:spacing w:val="-2"/>
        </w:rPr>
        <w:t> </w:t>
      </w:r>
      <w:r>
        <w:rPr>
          <w:color w:val="231F20"/>
        </w:rPr>
        <w:t>significant</w:t>
      </w:r>
      <w:r>
        <w:rPr>
          <w:color w:val="231F20"/>
          <w:spacing w:val="-1"/>
        </w:rPr>
        <w:t> </w:t>
      </w:r>
      <w:r>
        <w:rPr>
          <w:color w:val="231F20"/>
        </w:rPr>
        <w:t>progress</w:t>
      </w:r>
      <w:r>
        <w:rPr>
          <w:color w:val="231F20"/>
          <w:spacing w:val="-2"/>
        </w:rPr>
        <w:t> </w:t>
      </w:r>
      <w:r>
        <w:rPr>
          <w:color w:val="231F20"/>
        </w:rPr>
        <w:t>we</w:t>
      </w:r>
      <w:r>
        <w:rPr>
          <w:color w:val="231F20"/>
          <w:spacing w:val="-1"/>
        </w:rPr>
        <w:t> </w:t>
      </w:r>
      <w:r>
        <w:rPr>
          <w:color w:val="231F20"/>
        </w:rPr>
        <w:t>have</w:t>
      </w:r>
      <w:r>
        <w:rPr>
          <w:color w:val="231F20"/>
          <w:spacing w:val="-1"/>
        </w:rPr>
        <w:t> </w:t>
      </w:r>
      <w:r>
        <w:rPr>
          <w:color w:val="231F20"/>
        </w:rPr>
        <w:t>made</w:t>
      </w:r>
      <w:r>
        <w:rPr>
          <w:color w:val="231F20"/>
          <w:spacing w:val="-2"/>
        </w:rPr>
        <w:t> </w:t>
      </w:r>
      <w:r>
        <w:rPr>
          <w:color w:val="231F20"/>
        </w:rPr>
        <w:t>to</w:t>
      </w:r>
      <w:r>
        <w:rPr>
          <w:color w:val="231F20"/>
        </w:rPr>
        <w:t> enhance expertise in the profession across ITE, teaching, and school leadership is</w:t>
      </w:r>
      <w:r>
        <w:rPr>
          <w:color w:val="231F20"/>
          <w:spacing w:val="23"/>
        </w:rPr>
        <w:t> </w:t>
      </w:r>
      <w:r>
        <w:rPr>
          <w:color w:val="231F20"/>
        </w:rPr>
        <w:t>testament to AITSL’s determination to make</w:t>
      </w:r>
      <w:r>
        <w:rPr>
          <w:color w:val="231F20"/>
        </w:rPr>
        <w:t> a real difference and support the profession to effectively lead the learning of students</w:t>
      </w:r>
      <w:r>
        <w:rPr/>
      </w:r>
    </w:p>
    <w:p>
      <w:pPr>
        <w:pStyle w:val="BodyText"/>
        <w:spacing w:line="240" w:lineRule="auto" w:before="0"/>
        <w:ind w:left="313" w:right="886"/>
        <w:jc w:val="left"/>
      </w:pPr>
      <w:r>
        <w:rPr>
          <w:color w:val="231F20"/>
        </w:rPr>
        <w:t>across Australia. While there is still much work to do, I am proud to present this report as we maintain focus on the things that </w:t>
      </w:r>
      <w:r>
        <w:rPr>
          <w:color w:val="231F20"/>
          <w:spacing w:val="-3"/>
        </w:rPr>
        <w:t>matter.</w:t>
      </w:r>
      <w:r>
        <w:rPr/>
      </w:r>
    </w:p>
    <w:p>
      <w:pPr>
        <w:spacing w:line="240" w:lineRule="auto" w:before="11"/>
        <w:rPr>
          <w:rFonts w:ascii="Swis721 Lt BT" w:hAnsi="Swis721 Lt BT" w:cs="Swis721 Lt BT" w:eastAsia="Swis721 Lt BT"/>
          <w:sz w:val="17"/>
          <w:szCs w:val="17"/>
        </w:rPr>
      </w:pPr>
    </w:p>
    <w:p>
      <w:pPr>
        <w:pStyle w:val="BodyText"/>
        <w:spacing w:line="222" w:lineRule="exact" w:before="0"/>
        <w:ind w:left="313" w:right="0"/>
        <w:jc w:val="left"/>
        <w:rPr>
          <w:rFonts w:ascii="Swis721 Md BT" w:hAnsi="Swis721 Md BT" w:cs="Swis721 Md BT" w:eastAsia="Swis721 Md BT"/>
        </w:rPr>
      </w:pPr>
      <w:r>
        <w:rPr>
          <w:rFonts w:ascii="Swis721 Md BT"/>
          <w:color w:val="303B41"/>
        </w:rPr>
        <w:t>Mark Grant</w:t>
      </w:r>
      <w:r>
        <w:rPr>
          <w:rFonts w:ascii="Swis721 Md BT"/>
        </w:rPr>
      </w:r>
    </w:p>
    <w:p>
      <w:pPr>
        <w:pStyle w:val="BodyText"/>
        <w:spacing w:line="222" w:lineRule="exact" w:before="0"/>
        <w:ind w:left="313" w:right="0"/>
        <w:jc w:val="left"/>
        <w:rPr>
          <w:rFonts w:ascii="Swis721 Md BT" w:hAnsi="Swis721 Md BT" w:cs="Swis721 Md BT" w:eastAsia="Swis721 Md BT"/>
        </w:rPr>
      </w:pPr>
      <w:r>
        <w:rPr/>
        <w:pict>
          <v:shape style="position:absolute;margin-left:265.049286pt;margin-top:25.549723pt;width:125.224442pt;height:39.332441pt;mso-position-horizontal-relative:page;mso-position-vertical-relative:paragraph;z-index:1384" type="#_x0000_t75" stroked="false">
            <v:imagedata r:id="rId25" o:title=""/>
          </v:shape>
        </w:pict>
      </w:r>
      <w:r>
        <w:rPr>
          <w:rFonts w:ascii="Swis721 Md BT"/>
          <w:color w:val="303B41"/>
        </w:rPr>
        <w:t>Chief</w:t>
      </w:r>
      <w:r>
        <w:rPr>
          <w:rFonts w:ascii="Swis721 Md BT"/>
          <w:color w:val="303B41"/>
          <w:spacing w:val="-3"/>
        </w:rPr>
        <w:t> </w:t>
      </w:r>
      <w:r>
        <w:rPr>
          <w:rFonts w:ascii="Swis721 Md BT"/>
          <w:color w:val="303B41"/>
        </w:rPr>
        <w:t>Executive</w:t>
      </w:r>
      <w:r>
        <w:rPr>
          <w:rFonts w:ascii="Swis721 Md BT"/>
          <w:color w:val="303B41"/>
          <w:spacing w:val="-3"/>
        </w:rPr>
        <w:t> </w:t>
      </w:r>
      <w:r>
        <w:rPr>
          <w:rFonts w:ascii="Swis721 Md BT"/>
          <w:color w:val="303B41"/>
        </w:rPr>
        <w:t>Officer</w:t>
      </w:r>
      <w:r>
        <w:rPr>
          <w:rFonts w:ascii="Swis721 Md BT"/>
        </w:rPr>
      </w:r>
    </w:p>
    <w:p>
      <w:pPr>
        <w:spacing w:after="0" w:line="222" w:lineRule="exact"/>
        <w:jc w:val="left"/>
        <w:rPr>
          <w:rFonts w:ascii="Swis721 Md BT" w:hAnsi="Swis721 Md BT" w:cs="Swis721 Md BT" w:eastAsia="Swis721 Md BT"/>
        </w:rPr>
        <w:sectPr>
          <w:type w:val="continuous"/>
          <w:pgSz w:w="9980" w:h="14180"/>
          <w:pgMar w:top="0" w:bottom="280" w:left="0" w:right="0"/>
          <w:cols w:num="2" w:equalWidth="0">
            <w:col w:w="4948" w:space="40"/>
            <w:col w:w="4992"/>
          </w:cols>
        </w:sect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7"/>
        <w:rPr>
          <w:rFonts w:ascii="Swis721 Md BT" w:hAnsi="Swis721 Md BT" w:cs="Swis721 Md BT" w:eastAsia="Swis721 Md BT"/>
          <w:sz w:val="16"/>
          <w:szCs w:val="16"/>
        </w:rPr>
      </w:pPr>
    </w:p>
    <w:p>
      <w:pPr>
        <w:spacing w:before="33"/>
        <w:ind w:left="850" w:right="3971" w:firstLine="0"/>
        <w:jc w:val="left"/>
        <w:rPr>
          <w:rFonts w:ascii="Swis721 Lt BT" w:hAnsi="Swis721 Lt BT" w:cs="Swis721 Lt BT" w:eastAsia="Swis721 Lt BT"/>
          <w:sz w:val="42"/>
          <w:szCs w:val="42"/>
        </w:rPr>
      </w:pPr>
      <w:r>
        <w:rPr/>
        <w:pict>
          <v:group style="position:absolute;margin-left:0pt;margin-top:-262.335693pt;width:498.9pt;height:239.9pt;mso-position-horizontal-relative:page;mso-position-vertical-relative:paragraph;z-index:-184216" coordorigin="0,-5247" coordsize="9978,4798">
            <v:group style="position:absolute;left:0;top:-5247;width:9978;height:1018" coordorigin="0,-5247" coordsize="9978,1018">
              <v:shape style="position:absolute;left:0;top:-5247;width:9978;height:1018" coordorigin="0,-5247" coordsize="9978,1018" path="m0,-4229l9978,-4229,9978,-5247,0,-5247,0,-4229xe" filled="true" fillcolor="#003b45" stroked="false">
                <v:path arrowok="t"/>
                <v:fill type="solid"/>
              </v:shape>
            </v:group>
            <v:group style="position:absolute;left:0;top:-4229;width:9978;height:3780" coordorigin="0,-4229" coordsize="9978,3780">
              <v:shape style="position:absolute;left:0;top:-4229;width:9978;height:3780" coordorigin="0,-4229" coordsize="9978,3780" path="m9978,-4229l0,-4229,0,-450,9978,-3272,9978,-4229xe" filled="true" fillcolor="#bfd22b" stroked="false">
                <v:path arrowok="t"/>
                <v:fill type="solid"/>
              </v:shape>
              <v:shape style="position:absolute;left:850;top:-3603;width:2647;height:400" type="#_x0000_t202" filled="false" stroked="false">
                <v:textbox inset="0,0,0,0">
                  <w:txbxContent>
                    <w:p>
                      <w:pPr>
                        <w:spacing w:line="400" w:lineRule="exact" w:before="0"/>
                        <w:ind w:left="0" w:right="0" w:firstLine="0"/>
                        <w:jc w:val="left"/>
                        <w:rPr>
                          <w:rFonts w:ascii="Swis721 BT" w:hAnsi="Swis721 BT" w:cs="Swis721 BT" w:eastAsia="Swis721 BT"/>
                          <w:sz w:val="40"/>
                          <w:szCs w:val="40"/>
                        </w:rPr>
                      </w:pPr>
                      <w:r>
                        <w:rPr>
                          <w:rFonts w:ascii="Swis721 BT"/>
                          <w:b/>
                          <w:color w:val="005E63"/>
                          <w:sz w:val="40"/>
                        </w:rPr>
                        <w:t>ABOUT AITSL</w:t>
                      </w:r>
                      <w:r>
                        <w:rPr>
                          <w:rFonts w:ascii="Swis721 BT"/>
                          <w:sz w:val="40"/>
                        </w:rPr>
                      </w:r>
                    </w:p>
                  </w:txbxContent>
                </v:textbox>
                <w10:wrap type="none"/>
              </v:shape>
            </v:group>
            <w10:wrap type="none"/>
          </v:group>
        </w:pict>
      </w:r>
      <w:bookmarkStart w:name="ABOUT AITSL" w:id="3"/>
      <w:bookmarkEnd w:id="3"/>
      <w:r>
        <w:rPr/>
      </w:r>
      <w:r>
        <w:rPr>
          <w:rFonts w:ascii="Swis721 Lt BT" w:hAnsi="Swis721 Lt BT" w:cs="Swis721 Lt BT" w:eastAsia="Swis721 Lt BT"/>
          <w:color w:val="FFFFFF"/>
          <w:sz w:val="42"/>
          <w:szCs w:val="42"/>
        </w:rPr>
        <w:t>At </w:t>
      </w:r>
      <w:r>
        <w:rPr>
          <w:rFonts w:ascii="Swis721 Lt BT" w:hAnsi="Swis721 Lt BT" w:cs="Swis721 Lt BT" w:eastAsia="Swis721 Lt BT"/>
          <w:color w:val="FFFFFF"/>
          <w:spacing w:val="1"/>
          <w:sz w:val="42"/>
          <w:szCs w:val="42"/>
        </w:rPr>
        <w:t>AITSL,</w:t>
      </w:r>
      <w:r>
        <w:rPr>
          <w:rFonts w:ascii="Swis721 Lt BT" w:hAnsi="Swis721 Lt BT" w:cs="Swis721 Lt BT" w:eastAsia="Swis721 Lt BT"/>
          <w:color w:val="FFFFFF"/>
          <w:sz w:val="42"/>
          <w:szCs w:val="42"/>
        </w:rPr>
        <w:t> we believe student</w:t>
      </w:r>
      <w:r>
        <w:rPr>
          <w:rFonts w:ascii="Swis721 Lt BT" w:hAnsi="Swis721 Lt BT" w:cs="Swis721 Lt BT" w:eastAsia="Swis721 Lt BT"/>
          <w:color w:val="FFFFFF"/>
          <w:spacing w:val="25"/>
          <w:sz w:val="42"/>
          <w:szCs w:val="42"/>
        </w:rPr>
        <w:t> </w:t>
      </w:r>
      <w:r>
        <w:rPr>
          <w:rFonts w:ascii="Swis721 Lt BT" w:hAnsi="Swis721 Lt BT" w:cs="Swis721 Lt BT" w:eastAsia="Swis721 Lt BT"/>
          <w:color w:val="FFFFFF"/>
          <w:sz w:val="42"/>
          <w:szCs w:val="42"/>
        </w:rPr>
        <w:t>learning</w:t>
      </w:r>
      <w:r>
        <w:rPr>
          <w:rFonts w:ascii="Swis721 Lt BT" w:hAnsi="Swis721 Lt BT" w:cs="Swis721 Lt BT" w:eastAsia="Swis721 Lt BT"/>
          <w:color w:val="FFFFFF"/>
          <w:spacing w:val="-3"/>
          <w:sz w:val="42"/>
          <w:szCs w:val="42"/>
        </w:rPr>
        <w:t> </w:t>
      </w:r>
      <w:r>
        <w:rPr>
          <w:rFonts w:ascii="Swis721 Lt BT" w:hAnsi="Swis721 Lt BT" w:cs="Swis721 Lt BT" w:eastAsia="Swis721 Lt BT"/>
          <w:color w:val="FFFFFF"/>
          <w:sz w:val="42"/>
          <w:szCs w:val="42"/>
        </w:rPr>
        <w:t>comes</w:t>
      </w:r>
      <w:r>
        <w:rPr>
          <w:rFonts w:ascii="Swis721 Lt BT" w:hAnsi="Swis721 Lt BT" w:cs="Swis721 Lt BT" w:eastAsia="Swis721 Lt BT"/>
          <w:color w:val="FFFFFF"/>
          <w:spacing w:val="-3"/>
          <w:sz w:val="42"/>
          <w:szCs w:val="42"/>
        </w:rPr>
        <w:t> </w:t>
      </w:r>
      <w:r>
        <w:rPr>
          <w:rFonts w:ascii="Swis721 Lt BT" w:hAnsi="Swis721 Lt BT" w:cs="Swis721 Lt BT" w:eastAsia="Swis721 Lt BT"/>
          <w:color w:val="FFFFFF"/>
          <w:sz w:val="42"/>
          <w:szCs w:val="42"/>
        </w:rPr>
        <w:t>first.</w:t>
      </w:r>
      <w:r>
        <w:rPr>
          <w:rFonts w:ascii="Swis721 Lt BT" w:hAnsi="Swis721 Lt BT" w:cs="Swis721 Lt BT" w:eastAsia="Swis721 Lt BT"/>
          <w:color w:val="FFFFFF"/>
          <w:spacing w:val="-2"/>
          <w:sz w:val="42"/>
          <w:szCs w:val="42"/>
        </w:rPr>
        <w:t> We’re</w:t>
      </w:r>
      <w:r>
        <w:rPr>
          <w:rFonts w:ascii="Swis721 Lt BT" w:hAnsi="Swis721 Lt BT" w:cs="Swis721 Lt BT" w:eastAsia="Swis721 Lt BT"/>
          <w:color w:val="FFFFFF"/>
          <w:spacing w:val="22"/>
          <w:sz w:val="42"/>
          <w:szCs w:val="42"/>
        </w:rPr>
        <w:t> </w:t>
      </w:r>
      <w:r>
        <w:rPr>
          <w:rFonts w:ascii="Swis721 Lt BT" w:hAnsi="Swis721 Lt BT" w:cs="Swis721 Lt BT" w:eastAsia="Swis721 Lt BT"/>
          <w:color w:val="FFFFFF"/>
          <w:sz w:val="42"/>
          <w:szCs w:val="42"/>
        </w:rPr>
        <w:t>committed to improving</w:t>
      </w:r>
      <w:r>
        <w:rPr>
          <w:rFonts w:ascii="Swis721 Lt BT" w:hAnsi="Swis721 Lt BT" w:cs="Swis721 Lt BT" w:eastAsia="Swis721 Lt BT"/>
          <w:color w:val="FFFFFF"/>
          <w:sz w:val="42"/>
          <w:szCs w:val="42"/>
        </w:rPr>
        <w:t> teacher expertise.</w:t>
      </w:r>
      <w:r>
        <w:rPr>
          <w:rFonts w:ascii="Swis721 Lt BT" w:hAnsi="Swis721 Lt BT" w:cs="Swis721 Lt BT" w:eastAsia="Swis721 Lt BT"/>
          <w:sz w:val="42"/>
          <w:szCs w:val="42"/>
        </w:rPr>
      </w:r>
    </w:p>
    <w:p>
      <w:pPr>
        <w:spacing w:line="240" w:lineRule="auto" w:before="3"/>
        <w:rPr>
          <w:rFonts w:ascii="Swis721 Lt BT" w:hAnsi="Swis721 Lt BT" w:cs="Swis721 Lt BT" w:eastAsia="Swis721 Lt BT"/>
          <w:sz w:val="39"/>
          <w:szCs w:val="39"/>
        </w:rPr>
      </w:pPr>
    </w:p>
    <w:p>
      <w:pPr>
        <w:pStyle w:val="Heading5"/>
        <w:spacing w:line="240" w:lineRule="auto"/>
        <w:ind w:left="850" w:right="0"/>
        <w:jc w:val="left"/>
        <w:rPr>
          <w:b w:val="0"/>
          <w:bCs w:val="0"/>
        </w:rPr>
      </w:pPr>
      <w:r>
        <w:rPr>
          <w:color w:val="EBF0C9"/>
        </w:rPr>
        <w:t>AITSL’S VISION</w:t>
      </w:r>
      <w:r>
        <w:rPr>
          <w:b w:val="0"/>
          <w:bCs w:val="0"/>
        </w:rPr>
      </w:r>
    </w:p>
    <w:p>
      <w:pPr>
        <w:spacing w:line="240" w:lineRule="auto" w:before="1"/>
        <w:rPr>
          <w:rFonts w:ascii="Swis721 BT" w:hAnsi="Swis721 BT" w:cs="Swis721 BT" w:eastAsia="Swis721 BT"/>
          <w:b/>
          <w:bCs/>
          <w:sz w:val="19"/>
          <w:szCs w:val="19"/>
        </w:rPr>
      </w:pPr>
    </w:p>
    <w:p>
      <w:pPr>
        <w:pStyle w:val="Heading6"/>
        <w:spacing w:line="240" w:lineRule="auto"/>
        <w:ind w:right="0"/>
        <w:jc w:val="left"/>
      </w:pPr>
      <w:r>
        <w:rPr>
          <w:color w:val="FFFFFF"/>
        </w:rPr>
        <w:t>Australia has a high-quality education system</w:t>
      </w:r>
      <w:r>
        <w:rPr/>
      </w:r>
    </w:p>
    <w:p>
      <w:pPr>
        <w:spacing w:line="241" w:lineRule="auto" w:before="2"/>
        <w:ind w:left="850" w:right="3971" w:firstLine="0"/>
        <w:jc w:val="left"/>
        <w:rPr>
          <w:rFonts w:ascii="Swis721 Lt BT" w:hAnsi="Swis721 Lt BT" w:cs="Swis721 Lt BT" w:eastAsia="Swis721 Lt BT"/>
          <w:sz w:val="24"/>
          <w:szCs w:val="24"/>
        </w:rPr>
      </w:pPr>
      <w:r>
        <w:rPr>
          <w:rFonts w:ascii="Swis721 Lt BT"/>
          <w:color w:val="FFFFFF"/>
          <w:sz w:val="24"/>
        </w:rPr>
        <w:t>in which teachers and leaders have the greatest impact on the educational growth</w:t>
      </w:r>
      <w:r>
        <w:rPr>
          <w:rFonts w:ascii="Swis721 Lt BT"/>
          <w:sz w:val="24"/>
        </w:rPr>
      </w:r>
    </w:p>
    <w:p>
      <w:pPr>
        <w:spacing w:before="0"/>
        <w:ind w:left="850" w:right="0" w:firstLine="0"/>
        <w:jc w:val="left"/>
        <w:rPr>
          <w:rFonts w:ascii="Swis721 Lt BT" w:hAnsi="Swis721 Lt BT" w:cs="Swis721 Lt BT" w:eastAsia="Swis721 Lt BT"/>
          <w:sz w:val="24"/>
          <w:szCs w:val="24"/>
        </w:rPr>
      </w:pPr>
      <w:r>
        <w:rPr>
          <w:rFonts w:ascii="Swis721 Lt BT"/>
          <w:color w:val="FFFFFF"/>
          <w:sz w:val="24"/>
        </w:rPr>
        <w:t>and achievement of every </w:t>
      </w:r>
      <w:r>
        <w:rPr>
          <w:rFonts w:ascii="Swis721 Lt BT"/>
          <w:color w:val="FFFFFF"/>
          <w:spacing w:val="-3"/>
          <w:sz w:val="24"/>
        </w:rPr>
        <w:t>learner.</w:t>
      </w:r>
      <w:r>
        <w:rPr>
          <w:rFonts w:ascii="Swis721 Lt BT"/>
          <w:sz w:val="24"/>
        </w:rPr>
      </w:r>
    </w:p>
    <w:p>
      <w:pPr>
        <w:spacing w:line="240" w:lineRule="auto" w:before="4"/>
        <w:rPr>
          <w:rFonts w:ascii="Swis721 Lt BT" w:hAnsi="Swis721 Lt BT" w:cs="Swis721 Lt BT" w:eastAsia="Swis721 Lt BT"/>
          <w:sz w:val="33"/>
          <w:szCs w:val="33"/>
        </w:rPr>
      </w:pPr>
    </w:p>
    <w:p>
      <w:pPr>
        <w:spacing w:before="0"/>
        <w:ind w:left="850" w:right="0" w:firstLine="0"/>
        <w:jc w:val="left"/>
        <w:rPr>
          <w:rFonts w:ascii="Swis721 BT" w:hAnsi="Swis721 BT" w:cs="Swis721 BT" w:eastAsia="Swis721 BT"/>
          <w:sz w:val="24"/>
          <w:szCs w:val="24"/>
        </w:rPr>
      </w:pPr>
      <w:r>
        <w:rPr>
          <w:rFonts w:ascii="Swis721 BT" w:hAnsi="Swis721 BT" w:cs="Swis721 BT" w:eastAsia="Swis721 BT"/>
          <w:b/>
          <w:bCs/>
          <w:color w:val="EBF0C9"/>
          <w:sz w:val="24"/>
          <w:szCs w:val="24"/>
        </w:rPr>
        <w:t>AITSL’S MISSION</w:t>
      </w:r>
      <w:r>
        <w:rPr>
          <w:rFonts w:ascii="Swis721 BT" w:hAnsi="Swis721 BT" w:cs="Swis721 BT" w:eastAsia="Swis721 BT"/>
          <w:sz w:val="24"/>
          <w:szCs w:val="24"/>
        </w:rPr>
      </w:r>
    </w:p>
    <w:p>
      <w:pPr>
        <w:spacing w:line="240" w:lineRule="auto" w:before="1"/>
        <w:rPr>
          <w:rFonts w:ascii="Swis721 BT" w:hAnsi="Swis721 BT" w:cs="Swis721 BT" w:eastAsia="Swis721 BT"/>
          <w:b/>
          <w:bCs/>
          <w:sz w:val="19"/>
          <w:szCs w:val="19"/>
        </w:rPr>
      </w:pPr>
    </w:p>
    <w:p>
      <w:pPr>
        <w:spacing w:line="241" w:lineRule="auto" w:before="0"/>
        <w:ind w:left="850" w:right="3971" w:firstLine="0"/>
        <w:jc w:val="left"/>
        <w:rPr>
          <w:rFonts w:ascii="Swis721 Lt BT" w:hAnsi="Swis721 Lt BT" w:cs="Swis721 Lt BT" w:eastAsia="Swis721 Lt BT"/>
          <w:sz w:val="24"/>
          <w:szCs w:val="24"/>
        </w:rPr>
      </w:pPr>
      <w:r>
        <w:rPr>
          <w:rFonts w:ascii="Swis721 Lt BT"/>
          <w:color w:val="FFFFFF"/>
          <w:sz w:val="24"/>
        </w:rPr>
        <w:t>Promoting excellence so that teachers and leaders have the maximum impact on learning in </w:t>
      </w:r>
      <w:r>
        <w:rPr>
          <w:rFonts w:ascii="Swis721 Lt BT"/>
          <w:color w:val="FFFFFF"/>
          <w:spacing w:val="-2"/>
          <w:sz w:val="24"/>
        </w:rPr>
        <w:t>all</w:t>
      </w:r>
      <w:r>
        <w:rPr>
          <w:rFonts w:ascii="Swis721 Lt BT"/>
          <w:color w:val="FFFFFF"/>
          <w:spacing w:val="-5"/>
          <w:sz w:val="24"/>
        </w:rPr>
        <w:t> </w:t>
      </w:r>
      <w:r>
        <w:rPr>
          <w:rFonts w:ascii="Swis721 Lt BT"/>
          <w:color w:val="FFFFFF"/>
          <w:spacing w:val="-3"/>
          <w:sz w:val="24"/>
        </w:rPr>
        <w:t>Australian</w:t>
      </w:r>
      <w:r>
        <w:rPr>
          <w:rFonts w:ascii="Swis721 Lt BT"/>
          <w:color w:val="FFFFFF"/>
          <w:spacing w:val="-5"/>
          <w:sz w:val="24"/>
        </w:rPr>
        <w:t> </w:t>
      </w:r>
      <w:r>
        <w:rPr>
          <w:rFonts w:ascii="Swis721 Lt BT"/>
          <w:color w:val="FFFFFF"/>
          <w:spacing w:val="-3"/>
          <w:sz w:val="24"/>
        </w:rPr>
        <w:t>schools</w:t>
      </w:r>
      <w:r>
        <w:rPr>
          <w:rFonts w:ascii="Swis721 Lt BT"/>
          <w:color w:val="FFFFFF"/>
          <w:spacing w:val="-5"/>
          <w:sz w:val="24"/>
        </w:rPr>
        <w:t> </w:t>
      </w:r>
      <w:r>
        <w:rPr>
          <w:rFonts w:ascii="Swis721 Lt BT"/>
          <w:color w:val="FFFFFF"/>
          <w:spacing w:val="-2"/>
          <w:sz w:val="24"/>
        </w:rPr>
        <w:t>and</w:t>
      </w:r>
      <w:r>
        <w:rPr>
          <w:rFonts w:ascii="Swis721 Lt BT"/>
          <w:color w:val="FFFFFF"/>
          <w:spacing w:val="-5"/>
          <w:sz w:val="24"/>
        </w:rPr>
        <w:t> </w:t>
      </w:r>
      <w:r>
        <w:rPr>
          <w:rFonts w:ascii="Swis721 Lt BT"/>
          <w:color w:val="FFFFFF"/>
          <w:spacing w:val="-3"/>
          <w:sz w:val="24"/>
        </w:rPr>
        <w:t>early</w:t>
      </w:r>
      <w:r>
        <w:rPr>
          <w:rFonts w:ascii="Swis721 Lt BT"/>
          <w:color w:val="FFFFFF"/>
          <w:spacing w:val="-5"/>
          <w:sz w:val="24"/>
        </w:rPr>
        <w:t> </w:t>
      </w:r>
      <w:r>
        <w:rPr>
          <w:rFonts w:ascii="Swis721 Lt BT"/>
          <w:color w:val="FFFFFF"/>
          <w:spacing w:val="-3"/>
          <w:sz w:val="24"/>
        </w:rPr>
        <w:t>childhood</w:t>
      </w:r>
      <w:r>
        <w:rPr>
          <w:rFonts w:ascii="Swis721 Lt BT"/>
          <w:color w:val="FFFFFF"/>
          <w:spacing w:val="-5"/>
          <w:sz w:val="24"/>
        </w:rPr>
        <w:t> </w:t>
      </w:r>
      <w:r>
        <w:rPr>
          <w:rFonts w:ascii="Swis721 Lt BT"/>
          <w:color w:val="FFFFFF"/>
          <w:spacing w:val="-3"/>
          <w:sz w:val="24"/>
        </w:rPr>
        <w:t>settings.</w:t>
      </w:r>
      <w:r>
        <w:rPr>
          <w:rFonts w:ascii="Swis721 Lt BT"/>
          <w:sz w:val="24"/>
        </w:rPr>
      </w:r>
    </w:p>
    <w:p>
      <w:pPr>
        <w:spacing w:line="240" w:lineRule="auto" w:before="10"/>
        <w:rPr>
          <w:rFonts w:ascii="Swis721 Lt BT" w:hAnsi="Swis721 Lt BT" w:cs="Swis721 Lt BT" w:eastAsia="Swis721 Lt BT"/>
          <w:sz w:val="34"/>
          <w:szCs w:val="34"/>
        </w:rPr>
      </w:pPr>
    </w:p>
    <w:p>
      <w:pPr>
        <w:pStyle w:val="Heading8"/>
        <w:spacing w:line="260" w:lineRule="exact" w:before="0"/>
        <w:ind w:left="850" w:right="4091"/>
        <w:jc w:val="left"/>
        <w:rPr>
          <w:rFonts w:ascii="Swis721 Lt BT" w:hAnsi="Swis721 Lt BT" w:cs="Swis721 Lt BT" w:eastAsia="Swis721 Lt BT"/>
        </w:rPr>
      </w:pPr>
      <w:r>
        <w:rPr>
          <w:rFonts w:ascii="Swis721 Lt BT"/>
          <w:color w:val="FFFFFF"/>
        </w:rPr>
        <w:t>The Australian Institute for </w:t>
      </w:r>
      <w:r>
        <w:rPr>
          <w:rFonts w:ascii="Swis721 Lt BT"/>
          <w:color w:val="FFFFFF"/>
          <w:spacing w:val="-30"/>
        </w:rPr>
        <w:t>T</w:t>
      </w:r>
      <w:r>
        <w:rPr>
          <w:rFonts w:ascii="Swis721 Lt BT"/>
          <w:color w:val="FFFFFF"/>
        </w:rPr>
        <w:t>eaching and School</w:t>
      </w:r>
      <w:r>
        <w:rPr>
          <w:rFonts w:ascii="Swis721 Lt BT"/>
          <w:color w:val="FFFFFF"/>
        </w:rPr>
        <w:t> Leadership was formed to provide national leadership for the Commonwealth, state, and territory</w:t>
      </w:r>
      <w:r>
        <w:rPr>
          <w:rFonts w:ascii="Swis721 Lt BT"/>
        </w:rPr>
      </w:r>
    </w:p>
    <w:p>
      <w:pPr>
        <w:spacing w:line="260" w:lineRule="exact" w:before="0"/>
        <w:ind w:left="850" w:right="3879" w:firstLine="0"/>
        <w:jc w:val="left"/>
        <w:rPr>
          <w:rFonts w:ascii="Swis721 Lt BT" w:hAnsi="Swis721 Lt BT" w:cs="Swis721 Lt BT" w:eastAsia="Swis721 Lt BT"/>
          <w:sz w:val="22"/>
          <w:szCs w:val="22"/>
        </w:rPr>
      </w:pPr>
      <w:r>
        <w:rPr>
          <w:rFonts w:ascii="Swis721 Lt BT"/>
          <w:color w:val="FFFFFF"/>
          <w:sz w:val="22"/>
        </w:rPr>
        <w:t>governments in promoting excellence in the profession of teaching and school leadership with funding provided by the Australian Government.</w:t>
      </w:r>
      <w:r>
        <w:rPr>
          <w:rFonts w:ascii="Swis721 Lt BT"/>
          <w:sz w:val="22"/>
        </w:rPr>
      </w:r>
    </w:p>
    <w:p>
      <w:pPr>
        <w:spacing w:after="0" w:line="260" w:lineRule="exact"/>
        <w:jc w:val="left"/>
        <w:rPr>
          <w:rFonts w:ascii="Swis721 Lt BT" w:hAnsi="Swis721 Lt BT" w:cs="Swis721 Lt BT" w:eastAsia="Swis721 Lt BT"/>
          <w:sz w:val="22"/>
          <w:szCs w:val="22"/>
        </w:rPr>
        <w:sectPr>
          <w:pgSz w:w="9980" w:h="14180"/>
          <w:pgMar w:header="0" w:footer="452" w:top="0" w:bottom="640" w:left="0" w:right="0"/>
        </w:sectPr>
      </w:pPr>
    </w:p>
    <w:p>
      <w:pPr>
        <w:spacing w:before="58"/>
        <w:ind w:left="0" w:right="108" w:firstLine="0"/>
        <w:jc w:val="right"/>
        <w:rPr>
          <w:rFonts w:ascii="Swis721 Lt BT" w:hAnsi="Swis721 Lt BT" w:cs="Swis721 Lt BT" w:eastAsia="Swis721 Lt BT"/>
          <w:sz w:val="14"/>
          <w:szCs w:val="14"/>
        </w:rPr>
      </w:pPr>
      <w:r>
        <w:rPr>
          <w:rFonts w:ascii="Swis721 Lt BT" w:hAnsi="Swis721 Lt BT" w:cs="Swis721 Lt BT" w:eastAsia="Swis721 Lt BT"/>
          <w:color w:val="FFFFFF"/>
          <w:spacing w:val="-1"/>
          <w:sz w:val="14"/>
          <w:szCs w:val="14"/>
        </w:rPr>
        <w:t>ANNUAL</w:t>
      </w:r>
      <w:r>
        <w:rPr>
          <w:rFonts w:ascii="Swis721 Lt BT" w:hAnsi="Swis721 Lt BT" w:cs="Swis721 Lt BT" w:eastAsia="Swis721 Lt BT"/>
          <w:color w:val="FFFFFF"/>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26"/>
          <w:szCs w:val="26"/>
        </w:rPr>
      </w:pPr>
    </w:p>
    <w:p>
      <w:pPr>
        <w:spacing w:after="0" w:line="240" w:lineRule="auto"/>
        <w:rPr>
          <w:rFonts w:ascii="Swis721 Lt BT" w:hAnsi="Swis721 Lt BT" w:cs="Swis721 Lt BT" w:eastAsia="Swis721 Lt BT"/>
          <w:sz w:val="26"/>
          <w:szCs w:val="26"/>
        </w:rPr>
        <w:sectPr>
          <w:footerReference w:type="default" r:id="rId26"/>
          <w:pgSz w:w="9980" w:h="14180"/>
          <w:pgMar w:footer="0" w:header="0" w:top="360" w:bottom="280" w:left="1020" w:right="740"/>
        </w:sectPr>
      </w:pPr>
    </w:p>
    <w:p>
      <w:pPr>
        <w:pStyle w:val="Heading5"/>
        <w:spacing w:line="240" w:lineRule="auto" w:before="61"/>
        <w:ind w:left="113" w:right="0"/>
        <w:jc w:val="left"/>
        <w:rPr>
          <w:b w:val="0"/>
          <w:bCs w:val="0"/>
        </w:rPr>
      </w:pPr>
      <w:r>
        <w:rPr>
          <w:color w:val="005E63"/>
          <w:spacing w:val="-1"/>
        </w:rPr>
        <w:t>STRATEGIC</w:t>
      </w:r>
      <w:r>
        <w:rPr>
          <w:color w:val="005E63"/>
        </w:rPr>
        <w:t> PLAN 2019–2022</w:t>
      </w:r>
      <w:r>
        <w:rPr>
          <w:b w:val="0"/>
          <w:bCs w:val="0"/>
        </w:rPr>
      </w:r>
    </w:p>
    <w:p>
      <w:pPr>
        <w:pStyle w:val="BodyText"/>
        <w:spacing w:line="240" w:lineRule="auto" w:before="215"/>
        <w:ind w:left="113" w:right="32"/>
        <w:jc w:val="left"/>
      </w:pPr>
      <w:r>
        <w:rPr>
          <w:color w:val="231F20"/>
        </w:rPr>
        <w:t>Ensuring children receive the very best education is one of the most important things we can do for them. It is also one of the most important government investments made in this </w:t>
      </w:r>
      <w:r>
        <w:rPr>
          <w:color w:val="231F20"/>
          <w:spacing w:val="-2"/>
        </w:rPr>
        <w:t>country.</w:t>
      </w:r>
      <w:r>
        <w:rPr/>
      </w:r>
    </w:p>
    <w:p>
      <w:pPr>
        <w:pStyle w:val="BodyText"/>
        <w:spacing w:line="240" w:lineRule="auto"/>
        <w:ind w:left="113" w:right="32"/>
        <w:jc w:val="left"/>
      </w:pPr>
      <w:r>
        <w:rPr>
          <w:color w:val="231F20"/>
        </w:rPr>
        <w:t>AITSL has worked hard to build its reputation, deliver quality work and form strong relationships in the education </w:t>
      </w:r>
      <w:r>
        <w:rPr>
          <w:color w:val="231F20"/>
          <w:spacing w:val="-3"/>
        </w:rPr>
        <w:t>sector.</w:t>
      </w:r>
      <w:r>
        <w:rPr>
          <w:color w:val="231F20"/>
        </w:rPr>
        <w:t> AITSL’s</w:t>
      </w:r>
      <w:r>
        <w:rPr>
          <w:color w:val="231F20"/>
          <w:spacing w:val="23"/>
        </w:rPr>
        <w:t> </w:t>
      </w:r>
      <w:r>
        <w:rPr>
          <w:rFonts w:ascii="Swis721 Lt BT" w:hAnsi="Swis721 Lt BT" w:cs="Swis721 Lt BT" w:eastAsia="Swis721 Lt BT"/>
          <w:i/>
          <w:color w:val="231F20"/>
        </w:rPr>
        <w:t>Strategic Plan 2019–2022 </w:t>
      </w:r>
      <w:r>
        <w:rPr>
          <w:color w:val="231F20"/>
        </w:rPr>
        <w:t>builds on that</w:t>
      </w:r>
      <w:r>
        <w:rPr>
          <w:color w:val="231F20"/>
        </w:rPr>
        <w:t> foundation to develop guiding principles and clear focus areas, actions and goals.</w:t>
      </w:r>
      <w:r>
        <w:rPr/>
      </w:r>
    </w:p>
    <w:p>
      <w:pPr>
        <w:pStyle w:val="BodyText"/>
        <w:spacing w:line="240" w:lineRule="auto"/>
        <w:ind w:left="113" w:right="32"/>
        <w:jc w:val="left"/>
      </w:pPr>
      <w:r>
        <w:rPr>
          <w:color w:val="231F20"/>
        </w:rPr>
        <w:t>AITSL’s forward planning has traditionally been limited to a one-year cycle through an annual statement of intent document, outlining our mission, aspiration and areas of focus.</w:t>
      </w:r>
      <w:r>
        <w:rPr/>
      </w:r>
    </w:p>
    <w:p>
      <w:pPr>
        <w:pStyle w:val="BodyText"/>
        <w:spacing w:line="240" w:lineRule="auto" w:before="0"/>
        <w:ind w:left="113" w:right="5"/>
        <w:jc w:val="both"/>
      </w:pPr>
      <w:r>
        <w:rPr>
          <w:color w:val="231F20"/>
          <w:spacing w:val="-3"/>
        </w:rPr>
        <w:t>However,</w:t>
      </w:r>
      <w:r>
        <w:rPr>
          <w:color w:val="231F20"/>
          <w:spacing w:val="-1"/>
        </w:rPr>
        <w:t> </w:t>
      </w:r>
      <w:r>
        <w:rPr>
          <w:color w:val="231F20"/>
        </w:rPr>
        <w:t>with</w:t>
      </w:r>
      <w:r>
        <w:rPr>
          <w:color w:val="231F20"/>
          <w:spacing w:val="-1"/>
        </w:rPr>
        <w:t> </w:t>
      </w:r>
      <w:r>
        <w:rPr>
          <w:color w:val="231F20"/>
        </w:rPr>
        <w:t>the</w:t>
      </w:r>
      <w:r>
        <w:rPr>
          <w:color w:val="231F20"/>
          <w:spacing w:val="-1"/>
        </w:rPr>
        <w:t> </w:t>
      </w:r>
      <w:r>
        <w:rPr>
          <w:color w:val="231F20"/>
        </w:rPr>
        <w:t>benefit</w:t>
      </w:r>
      <w:r>
        <w:rPr>
          <w:color w:val="231F20"/>
          <w:spacing w:val="-1"/>
        </w:rPr>
        <w:t> </w:t>
      </w:r>
      <w:r>
        <w:rPr>
          <w:color w:val="231F20"/>
        </w:rPr>
        <w:t>of extended</w:t>
      </w:r>
      <w:r>
        <w:rPr>
          <w:color w:val="231F20"/>
          <w:spacing w:val="-1"/>
        </w:rPr>
        <w:t> </w:t>
      </w:r>
      <w:r>
        <w:rPr>
          <w:color w:val="231F20"/>
        </w:rPr>
        <w:t>funding,</w:t>
      </w:r>
      <w:r>
        <w:rPr>
          <w:color w:val="231F20"/>
          <w:spacing w:val="26"/>
        </w:rPr>
        <w:t> </w:t>
      </w:r>
      <w:r>
        <w:rPr>
          <w:color w:val="231F20"/>
        </w:rPr>
        <w:t>a </w:t>
      </w:r>
      <w:r>
        <w:rPr>
          <w:color w:val="231F20"/>
          <w:spacing w:val="-1"/>
        </w:rPr>
        <w:t>longer-term</w:t>
      </w:r>
      <w:r>
        <w:rPr>
          <w:color w:val="231F20"/>
        </w:rPr>
        <w:t> strategic planning approach was</w:t>
      </w:r>
      <w:r>
        <w:rPr>
          <w:color w:val="231F20"/>
          <w:spacing w:val="20"/>
        </w:rPr>
        <w:t> </w:t>
      </w:r>
      <w:r>
        <w:rPr>
          <w:color w:val="231F20"/>
        </w:rPr>
        <w:t>identified</w:t>
      </w:r>
      <w:r>
        <w:rPr>
          <w:color w:val="231F20"/>
          <w:spacing w:val="-8"/>
        </w:rPr>
        <w:t> </w:t>
      </w:r>
      <w:r>
        <w:rPr>
          <w:color w:val="231F20"/>
        </w:rPr>
        <w:t>to:</w:t>
      </w:r>
      <w:r>
        <w:rPr/>
      </w:r>
    </w:p>
    <w:p>
      <w:pPr>
        <w:pStyle w:val="BodyText"/>
        <w:spacing w:line="240" w:lineRule="auto"/>
        <w:ind w:left="340" w:right="32" w:hanging="227"/>
        <w:jc w:val="left"/>
      </w:pPr>
      <w:r>
        <w:rPr>
          <w:rFonts w:ascii="Arial" w:hAnsi="Arial"/>
          <w:color w:val="00757A"/>
        </w:rPr>
        <w:t>ϐ </w:t>
      </w:r>
      <w:r>
        <w:rPr>
          <w:rFonts w:ascii="Arial" w:hAnsi="Arial"/>
          <w:color w:val="00757A"/>
          <w:spacing w:val="8"/>
        </w:rPr>
        <w:t> </w:t>
      </w:r>
      <w:r>
        <w:rPr>
          <w:color w:val="231F20"/>
        </w:rPr>
        <w:t>support planning</w:t>
      </w:r>
      <w:r>
        <w:rPr>
          <w:color w:val="231F20"/>
          <w:spacing w:val="1"/>
        </w:rPr>
        <w:t> </w:t>
      </w:r>
      <w:r>
        <w:rPr>
          <w:color w:val="231F20"/>
        </w:rPr>
        <w:t>and</w:t>
      </w:r>
      <w:r>
        <w:rPr>
          <w:color w:val="231F20"/>
          <w:spacing w:val="1"/>
        </w:rPr>
        <w:t> </w:t>
      </w:r>
      <w:r>
        <w:rPr>
          <w:color w:val="231F20"/>
        </w:rPr>
        <w:t>scoping of</w:t>
      </w:r>
      <w:r>
        <w:rPr>
          <w:color w:val="231F20"/>
          <w:spacing w:val="1"/>
        </w:rPr>
        <w:t> </w:t>
      </w:r>
      <w:r>
        <w:rPr>
          <w:color w:val="231F20"/>
        </w:rPr>
        <w:t>work</w:t>
      </w:r>
      <w:r>
        <w:rPr>
          <w:color w:val="231F20"/>
        </w:rPr>
        <w:t> beyond the yearly funding cycle and work plan</w:t>
      </w:r>
      <w:r>
        <w:rPr/>
      </w:r>
    </w:p>
    <w:p>
      <w:pPr>
        <w:pStyle w:val="BodyText"/>
        <w:spacing w:line="240" w:lineRule="auto"/>
        <w:ind w:left="340" w:right="0" w:hanging="227"/>
        <w:jc w:val="left"/>
      </w:pPr>
      <w:r>
        <w:rPr>
          <w:rFonts w:ascii="Arial" w:hAnsi="Arial" w:cs="Arial" w:eastAsia="Arial"/>
          <w:color w:val="00757A"/>
        </w:rPr>
        <w:t>ϐ </w:t>
      </w:r>
      <w:r>
        <w:rPr>
          <w:rFonts w:ascii="Arial" w:hAnsi="Arial" w:cs="Arial" w:eastAsia="Arial"/>
          <w:color w:val="00757A"/>
          <w:spacing w:val="8"/>
        </w:rPr>
        <w:t> </w:t>
      </w:r>
      <w:r>
        <w:rPr>
          <w:color w:val="231F20"/>
        </w:rPr>
        <w:t>make clear</w:t>
      </w:r>
      <w:r>
        <w:rPr>
          <w:color w:val="231F20"/>
          <w:spacing w:val="1"/>
        </w:rPr>
        <w:t> </w:t>
      </w:r>
      <w:r>
        <w:rPr>
          <w:color w:val="231F20"/>
        </w:rPr>
        <w:t>AITSL’s</w:t>
      </w:r>
      <w:r>
        <w:rPr>
          <w:color w:val="231F20"/>
          <w:spacing w:val="1"/>
        </w:rPr>
        <w:t> </w:t>
      </w:r>
      <w:r>
        <w:rPr>
          <w:color w:val="231F20"/>
        </w:rPr>
        <w:t>position within</w:t>
      </w:r>
      <w:r>
        <w:rPr>
          <w:color w:val="231F20"/>
          <w:spacing w:val="1"/>
        </w:rPr>
        <w:t> </w:t>
      </w:r>
      <w:r>
        <w:rPr>
          <w:color w:val="231F20"/>
        </w:rPr>
        <w:t>the</w:t>
      </w:r>
      <w:r>
        <w:rPr>
          <w:color w:val="231F20"/>
        </w:rPr>
        <w:t> education landscape</w:t>
      </w:r>
      <w:r>
        <w:rPr/>
      </w:r>
    </w:p>
    <w:p>
      <w:pPr>
        <w:pStyle w:val="BodyText"/>
        <w:spacing w:line="240" w:lineRule="auto"/>
        <w:ind w:left="341" w:right="44" w:hanging="227"/>
        <w:jc w:val="left"/>
      </w:pPr>
      <w:r>
        <w:rPr>
          <w:rFonts w:ascii="Arial" w:hAnsi="Arial"/>
          <w:color w:val="00757A"/>
        </w:rPr>
        <w:t>ϐ </w:t>
      </w:r>
      <w:r>
        <w:rPr>
          <w:rFonts w:ascii="Arial" w:hAnsi="Arial"/>
          <w:color w:val="00757A"/>
          <w:spacing w:val="8"/>
        </w:rPr>
        <w:t> </w:t>
      </w:r>
      <w:r>
        <w:rPr>
          <w:color w:val="231F20"/>
        </w:rPr>
        <w:t>articulate a</w:t>
      </w:r>
      <w:r>
        <w:rPr>
          <w:color w:val="231F20"/>
          <w:spacing w:val="1"/>
        </w:rPr>
        <w:t> </w:t>
      </w:r>
      <w:r>
        <w:rPr>
          <w:color w:val="231F20"/>
        </w:rPr>
        <w:t>plan for</w:t>
      </w:r>
      <w:r>
        <w:rPr>
          <w:color w:val="231F20"/>
          <w:spacing w:val="1"/>
        </w:rPr>
        <w:t> </w:t>
      </w:r>
      <w:r>
        <w:rPr>
          <w:color w:val="231F20"/>
        </w:rPr>
        <w:t>how the</w:t>
      </w:r>
      <w:r>
        <w:rPr>
          <w:color w:val="231F20"/>
          <w:spacing w:val="1"/>
        </w:rPr>
        <w:t> </w:t>
      </w:r>
      <w:r>
        <w:rPr>
          <w:color w:val="231F20"/>
        </w:rPr>
        <w:t>organisation</w:t>
      </w:r>
      <w:r>
        <w:rPr>
          <w:color w:val="231F20"/>
        </w:rPr>
        <w:t> will support education reform</w:t>
      </w:r>
      <w:r>
        <w:rPr/>
      </w:r>
    </w:p>
    <w:p>
      <w:pPr>
        <w:pStyle w:val="BodyText"/>
        <w:spacing w:line="240" w:lineRule="auto"/>
        <w:ind w:left="114" w:right="0"/>
        <w:jc w:val="left"/>
      </w:pPr>
      <w:r>
        <w:rPr>
          <w:rFonts w:ascii="Arial" w:hAnsi="Arial"/>
          <w:color w:val="00757A"/>
        </w:rPr>
        <w:t>ϐ </w:t>
      </w:r>
      <w:r>
        <w:rPr>
          <w:rFonts w:ascii="Arial" w:hAnsi="Arial"/>
          <w:color w:val="00757A"/>
          <w:spacing w:val="9"/>
        </w:rPr>
        <w:t> </w:t>
      </w:r>
      <w:r>
        <w:rPr>
          <w:color w:val="231F20"/>
        </w:rPr>
        <w:t>set</w:t>
      </w:r>
      <w:r>
        <w:rPr>
          <w:color w:val="231F20"/>
          <w:spacing w:val="1"/>
        </w:rPr>
        <w:t> </w:t>
      </w:r>
      <w:r>
        <w:rPr>
          <w:color w:val="231F20"/>
          <w:spacing w:val="-1"/>
        </w:rPr>
        <w:t>longer-term</w:t>
      </w:r>
      <w:r>
        <w:rPr>
          <w:color w:val="231F20"/>
          <w:spacing w:val="1"/>
        </w:rPr>
        <w:t> </w:t>
      </w:r>
      <w:r>
        <w:rPr>
          <w:color w:val="231F20"/>
        </w:rPr>
        <w:t>goals</w:t>
      </w:r>
      <w:r>
        <w:rPr/>
      </w:r>
    </w:p>
    <w:p>
      <w:pPr>
        <w:pStyle w:val="BodyText"/>
        <w:spacing w:line="240" w:lineRule="auto"/>
        <w:ind w:left="114" w:right="0"/>
        <w:jc w:val="left"/>
      </w:pPr>
      <w:r>
        <w:rPr>
          <w:rFonts w:ascii="Arial" w:hAnsi="Arial"/>
          <w:color w:val="00757A"/>
        </w:rPr>
        <w:t>ϐ </w:t>
      </w:r>
      <w:r>
        <w:rPr>
          <w:rFonts w:ascii="Arial" w:hAnsi="Arial"/>
          <w:color w:val="00757A"/>
          <w:spacing w:val="8"/>
        </w:rPr>
        <w:t> </w:t>
      </w:r>
      <w:r>
        <w:rPr>
          <w:color w:val="231F20"/>
        </w:rPr>
        <w:t>replace</w:t>
      </w:r>
      <w:r>
        <w:rPr>
          <w:color w:val="231F20"/>
          <w:spacing w:val="1"/>
        </w:rPr>
        <w:t> </w:t>
      </w:r>
      <w:r>
        <w:rPr>
          <w:color w:val="231F20"/>
        </w:rPr>
        <w:t>the Statement</w:t>
      </w:r>
      <w:r>
        <w:rPr>
          <w:color w:val="231F20"/>
          <w:spacing w:val="1"/>
        </w:rPr>
        <w:t> </w:t>
      </w:r>
      <w:r>
        <w:rPr>
          <w:color w:val="231F20"/>
        </w:rPr>
        <w:t>of</w:t>
      </w:r>
      <w:r>
        <w:rPr>
          <w:color w:val="231F20"/>
          <w:spacing w:val="1"/>
        </w:rPr>
        <w:t> </w:t>
      </w:r>
      <w:r>
        <w:rPr>
          <w:color w:val="231F20"/>
        </w:rPr>
        <w:t>Intent.</w:t>
      </w:r>
      <w:r>
        <w:rPr/>
      </w:r>
    </w:p>
    <w:p>
      <w:pPr>
        <w:pStyle w:val="BodyText"/>
        <w:spacing w:line="240" w:lineRule="auto"/>
        <w:ind w:left="114" w:right="0"/>
        <w:jc w:val="left"/>
      </w:pPr>
      <w:r>
        <w:rPr>
          <w:color w:val="231F20"/>
        </w:rPr>
        <w:t>The AITSL </w:t>
      </w:r>
      <w:r>
        <w:rPr>
          <w:rFonts w:ascii="Swis721 Lt BT" w:hAnsi="Swis721 Lt BT" w:cs="Swis721 Lt BT" w:eastAsia="Swis721 Lt BT"/>
          <w:i/>
          <w:color w:val="231F20"/>
        </w:rPr>
        <w:t>Strategic Plan 2019–2022 </w:t>
      </w:r>
      <w:r>
        <w:rPr>
          <w:color w:val="231F20"/>
        </w:rPr>
        <w:t>includes</w:t>
      </w:r>
      <w:r>
        <w:rPr>
          <w:color w:val="231F20"/>
        </w:rPr>
        <w:t> a one-page outline of AITSL’s goals, focus areas, guiding principles, areas for action, and a more detailed account of the actions that will address</w:t>
      </w:r>
      <w:r>
        <w:rPr>
          <w:color w:val="231F20"/>
          <w:spacing w:val="-1"/>
        </w:rPr>
        <w:t> </w:t>
      </w:r>
      <w:r>
        <w:rPr>
          <w:color w:val="231F20"/>
        </w:rPr>
        <w:t>AITSL’s</w:t>
      </w:r>
      <w:r>
        <w:rPr>
          <w:color w:val="231F20"/>
          <w:spacing w:val="-1"/>
        </w:rPr>
        <w:t> </w:t>
      </w:r>
      <w:r>
        <w:rPr>
          <w:color w:val="231F20"/>
        </w:rPr>
        <w:t>priorities.</w:t>
      </w:r>
      <w:r>
        <w:rPr>
          <w:color w:val="231F20"/>
          <w:spacing w:val="-1"/>
        </w:rPr>
        <w:t> </w:t>
      </w:r>
      <w:r>
        <w:rPr>
          <w:color w:val="231F20"/>
        </w:rPr>
        <w:t>The</w:t>
      </w:r>
      <w:r>
        <w:rPr>
          <w:color w:val="231F20"/>
          <w:spacing w:val="-1"/>
        </w:rPr>
        <w:t> </w:t>
      </w:r>
      <w:r>
        <w:rPr>
          <w:color w:val="231F20"/>
        </w:rPr>
        <w:t>long-term</w:t>
      </w:r>
      <w:r>
        <w:rPr>
          <w:color w:val="231F20"/>
          <w:spacing w:val="-1"/>
        </w:rPr>
        <w:t> </w:t>
      </w:r>
      <w:r>
        <w:rPr>
          <w:color w:val="231F20"/>
        </w:rPr>
        <w:t>goals</w:t>
      </w:r>
      <w:r>
        <w:rPr>
          <w:color w:val="231F20"/>
        </w:rPr>
        <w:t> articulated in the Strategic Plan have been developed into </w:t>
      </w:r>
      <w:r>
        <w:rPr>
          <w:color w:val="231F20"/>
          <w:spacing w:val="-1"/>
        </w:rPr>
        <w:t>shorter-term</w:t>
      </w:r>
      <w:r>
        <w:rPr>
          <w:color w:val="231F20"/>
        </w:rPr>
        <w:t> and medium-term</w:t>
      </w:r>
      <w:r>
        <w:rPr>
          <w:color w:val="231F20"/>
          <w:spacing w:val="21"/>
        </w:rPr>
        <w:t> </w:t>
      </w:r>
      <w:r>
        <w:rPr>
          <w:color w:val="231F20"/>
        </w:rPr>
        <w:t>organisational performance measures. These</w:t>
      </w:r>
      <w:r>
        <w:rPr>
          <w:color w:val="231F20"/>
        </w:rPr>
        <w:t> measures</w:t>
      </w:r>
      <w:r>
        <w:rPr>
          <w:color w:val="231F20"/>
          <w:spacing w:val="-2"/>
        </w:rPr>
        <w:t> </w:t>
      </w:r>
      <w:r>
        <w:rPr>
          <w:color w:val="231F20"/>
        </w:rPr>
        <w:t>are</w:t>
      </w:r>
      <w:r>
        <w:rPr>
          <w:color w:val="231F20"/>
          <w:spacing w:val="-1"/>
        </w:rPr>
        <w:t> </w:t>
      </w:r>
      <w:r>
        <w:rPr>
          <w:color w:val="231F20"/>
        </w:rPr>
        <w:t>reflected</w:t>
      </w:r>
      <w:r>
        <w:rPr>
          <w:color w:val="231F20"/>
          <w:spacing w:val="-1"/>
        </w:rPr>
        <w:t> </w:t>
      </w:r>
      <w:r>
        <w:rPr>
          <w:color w:val="231F20"/>
        </w:rPr>
        <w:t>in</w:t>
      </w:r>
      <w:r>
        <w:rPr>
          <w:color w:val="231F20"/>
          <w:spacing w:val="-1"/>
        </w:rPr>
        <w:t> </w:t>
      </w:r>
      <w:r>
        <w:rPr>
          <w:color w:val="231F20"/>
        </w:rPr>
        <w:t>the</w:t>
      </w:r>
      <w:r>
        <w:rPr>
          <w:color w:val="231F20"/>
          <w:spacing w:val="-1"/>
        </w:rPr>
        <w:t> </w:t>
      </w:r>
      <w:r>
        <w:rPr>
          <w:rFonts w:ascii="Swis721 Lt BT" w:hAnsi="Swis721 Lt BT" w:cs="Swis721 Lt BT" w:eastAsia="Swis721 Lt BT"/>
          <w:i/>
          <w:color w:val="231F20"/>
        </w:rPr>
        <w:t>Corporate</w:t>
      </w:r>
      <w:r>
        <w:rPr>
          <w:rFonts w:ascii="Swis721 Lt BT" w:hAnsi="Swis721 Lt BT" w:cs="Swis721 Lt BT" w:eastAsia="Swis721 Lt BT"/>
          <w:i/>
          <w:color w:val="231F20"/>
          <w:spacing w:val="-2"/>
        </w:rPr>
        <w:t> </w:t>
      </w:r>
      <w:r>
        <w:rPr>
          <w:rFonts w:ascii="Swis721 Lt BT" w:hAnsi="Swis721 Lt BT" w:cs="Swis721 Lt BT" w:eastAsia="Swis721 Lt BT"/>
          <w:i/>
          <w:color w:val="231F20"/>
        </w:rPr>
        <w:t>Plan</w:t>
      </w:r>
      <w:r>
        <w:rPr>
          <w:rFonts w:ascii="Swis721 Lt BT" w:hAnsi="Swis721 Lt BT" w:cs="Swis721 Lt BT" w:eastAsia="Swis721 Lt BT"/>
          <w:i/>
          <w:color w:val="231F20"/>
        </w:rPr>
        <w:t> 2019–2022</w:t>
      </w:r>
      <w:r>
        <w:rPr>
          <w:color w:val="231F20"/>
        </w:rPr>
        <w:t>.</w:t>
      </w:r>
      <w:r>
        <w:rPr/>
      </w:r>
    </w:p>
    <w:p>
      <w:pPr>
        <w:spacing w:before="113"/>
        <w:ind w:left="114" w:right="32"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The AITSL </w:t>
      </w:r>
      <w:r>
        <w:rPr>
          <w:rFonts w:ascii="Swis721 Lt BT" w:hAnsi="Swis721 Lt BT" w:cs="Swis721 Lt BT" w:eastAsia="Swis721 Lt BT"/>
          <w:i/>
          <w:color w:val="231F20"/>
          <w:sz w:val="19"/>
          <w:szCs w:val="19"/>
        </w:rPr>
        <w:t>Strategic Plan 2019–2022 </w:t>
      </w:r>
      <w:r>
        <w:rPr>
          <w:rFonts w:ascii="Swis721 Lt BT" w:hAnsi="Swis721 Lt BT" w:cs="Swis721 Lt BT" w:eastAsia="Swis721 Lt BT"/>
          <w:color w:val="231F20"/>
          <w:sz w:val="19"/>
          <w:szCs w:val="19"/>
        </w:rPr>
        <w:t>can be</w:t>
      </w:r>
      <w:hyperlink r:id="rId11">
        <w:r>
          <w:rPr>
            <w:rFonts w:ascii="Swis721 Lt BT" w:hAnsi="Swis721 Lt BT" w:cs="Swis721 Lt BT" w:eastAsia="Swis721 Lt BT"/>
            <w:color w:val="231F20"/>
            <w:sz w:val="19"/>
            <w:szCs w:val="19"/>
          </w:rPr>
          <w:t> found at </w:t>
        </w:r>
        <w:r>
          <w:rPr>
            <w:rFonts w:ascii="Swis721 Lt BT" w:hAnsi="Swis721 Lt BT" w:cs="Swis721 Lt BT" w:eastAsia="Swis721 Lt BT"/>
            <w:color w:val="231F20"/>
            <w:spacing w:val="-1"/>
            <w:sz w:val="19"/>
            <w:szCs w:val="19"/>
          </w:rPr>
          <w:t>www.aitsl.edu.au</w:t>
        </w:r>
        <w:r>
          <w:rPr>
            <w:rFonts w:ascii="Swis721 Lt BT" w:hAnsi="Swis721 Lt BT" w:cs="Swis721 Lt BT" w:eastAsia="Swis721 Lt BT"/>
            <w:sz w:val="19"/>
            <w:szCs w:val="19"/>
          </w:rPr>
        </w:r>
      </w:hyperlink>
    </w:p>
    <w:p>
      <w:pPr>
        <w:pStyle w:val="Heading8"/>
        <w:spacing w:line="240" w:lineRule="auto" w:before="65"/>
        <w:ind w:left="113" w:right="0"/>
        <w:jc w:val="left"/>
      </w:pPr>
      <w:r>
        <w:rPr/>
        <w:br w:type="column"/>
      </w:r>
      <w:r>
        <w:rPr>
          <w:color w:val="00757A"/>
        </w:rPr>
        <w:t>Guiding principles</w:t>
      </w:r>
      <w:r>
        <w:rPr/>
      </w:r>
    </w:p>
    <w:p>
      <w:pPr>
        <w:pStyle w:val="BodyText"/>
        <w:spacing w:line="240" w:lineRule="auto" w:before="106"/>
        <w:ind w:left="113" w:right="0"/>
        <w:jc w:val="left"/>
      </w:pPr>
      <w:r>
        <w:rPr>
          <w:rFonts w:ascii="Arial" w:hAnsi="Arial"/>
          <w:color w:val="00757A"/>
        </w:rPr>
        <w:t>ϐ </w:t>
      </w:r>
      <w:r>
        <w:rPr>
          <w:rFonts w:ascii="Arial" w:hAnsi="Arial"/>
          <w:color w:val="00757A"/>
          <w:spacing w:val="8"/>
        </w:rPr>
        <w:t> </w:t>
      </w:r>
      <w:r>
        <w:rPr>
          <w:color w:val="231F20"/>
        </w:rPr>
        <w:t>Every child</w:t>
      </w:r>
      <w:r>
        <w:rPr>
          <w:color w:val="231F20"/>
          <w:spacing w:val="1"/>
        </w:rPr>
        <w:t> </w:t>
      </w:r>
      <w:r>
        <w:rPr>
          <w:color w:val="231F20"/>
        </w:rPr>
        <w:t>experiences</w:t>
      </w:r>
      <w:r>
        <w:rPr>
          <w:color w:val="231F20"/>
          <w:spacing w:val="1"/>
        </w:rPr>
        <w:t> </w:t>
      </w:r>
      <w:r>
        <w:rPr>
          <w:color w:val="231F20"/>
        </w:rPr>
        <w:t>a quality</w:t>
      </w:r>
      <w:r>
        <w:rPr>
          <w:color w:val="231F20"/>
          <w:spacing w:val="1"/>
        </w:rPr>
        <w:t> </w:t>
      </w:r>
      <w:r>
        <w:rPr>
          <w:color w:val="231F20"/>
        </w:rPr>
        <w:t>education</w:t>
      </w:r>
      <w:r>
        <w:rPr/>
      </w:r>
    </w:p>
    <w:p>
      <w:pPr>
        <w:pStyle w:val="BodyText"/>
        <w:spacing w:line="240" w:lineRule="auto"/>
        <w:ind w:left="340" w:right="53" w:hanging="227"/>
        <w:jc w:val="left"/>
      </w:pPr>
      <w:r>
        <w:rPr>
          <w:rFonts w:ascii="Arial" w:hAnsi="Arial"/>
          <w:color w:val="00757A"/>
        </w:rPr>
        <w:t>ϐ </w:t>
      </w:r>
      <w:r>
        <w:rPr>
          <w:rFonts w:ascii="Arial" w:hAnsi="Arial"/>
          <w:color w:val="00757A"/>
          <w:spacing w:val="8"/>
        </w:rPr>
        <w:t> </w:t>
      </w:r>
      <w:r>
        <w:rPr>
          <w:color w:val="231F20"/>
        </w:rPr>
        <w:t>Graduate</w:t>
      </w:r>
      <w:r>
        <w:rPr>
          <w:color w:val="231F20"/>
          <w:spacing w:val="1"/>
        </w:rPr>
        <w:t> </w:t>
      </w:r>
      <w:r>
        <w:rPr>
          <w:color w:val="231F20"/>
        </w:rPr>
        <w:t>teachers are</w:t>
      </w:r>
      <w:r>
        <w:rPr>
          <w:color w:val="231F20"/>
          <w:spacing w:val="1"/>
        </w:rPr>
        <w:t> </w:t>
      </w:r>
      <w:r>
        <w:rPr>
          <w:color w:val="231F20"/>
        </w:rPr>
        <w:t>well-prepared</w:t>
      </w:r>
      <w:r>
        <w:rPr>
          <w:color w:val="231F20"/>
          <w:spacing w:val="1"/>
        </w:rPr>
        <w:t> </w:t>
      </w:r>
      <w:r>
        <w:rPr>
          <w:color w:val="231F20"/>
        </w:rPr>
        <w:t>to</w:t>
      </w:r>
      <w:r>
        <w:rPr>
          <w:color w:val="231F20"/>
        </w:rPr>
        <w:t> teach when they enter the profession</w:t>
      </w:r>
      <w:r>
        <w:rPr/>
      </w:r>
    </w:p>
    <w:p>
      <w:pPr>
        <w:pStyle w:val="BodyText"/>
        <w:spacing w:line="240" w:lineRule="auto"/>
        <w:ind w:left="341" w:right="121" w:hanging="227"/>
        <w:jc w:val="left"/>
      </w:pPr>
      <w:r>
        <w:rPr>
          <w:rFonts w:ascii="Arial" w:hAnsi="Arial"/>
          <w:color w:val="00757A"/>
        </w:rPr>
        <w:t>ϐ </w:t>
      </w:r>
      <w:r>
        <w:rPr>
          <w:rFonts w:ascii="Arial" w:hAnsi="Arial"/>
          <w:color w:val="00757A"/>
          <w:spacing w:val="8"/>
        </w:rPr>
        <w:t> </w:t>
      </w:r>
      <w:r>
        <w:rPr>
          <w:color w:val="231F20"/>
        </w:rPr>
        <w:t>Improving professional</w:t>
      </w:r>
      <w:r>
        <w:rPr>
          <w:color w:val="231F20"/>
          <w:spacing w:val="1"/>
        </w:rPr>
        <w:t> </w:t>
      </w:r>
      <w:r>
        <w:rPr>
          <w:color w:val="231F20"/>
        </w:rPr>
        <w:t>practice</w:t>
      </w:r>
      <w:r>
        <w:rPr>
          <w:color w:val="231F20"/>
          <w:spacing w:val="1"/>
        </w:rPr>
        <w:t> </w:t>
      </w:r>
      <w:r>
        <w:rPr>
          <w:color w:val="231F20"/>
        </w:rPr>
        <w:t>is central</w:t>
      </w:r>
      <w:r>
        <w:rPr>
          <w:color w:val="231F20"/>
          <w:spacing w:val="1"/>
        </w:rPr>
        <w:t> </w:t>
      </w:r>
      <w:r>
        <w:rPr>
          <w:color w:val="231F20"/>
        </w:rPr>
        <w:t>to</w:t>
      </w:r>
      <w:r>
        <w:rPr>
          <w:color w:val="231F20"/>
        </w:rPr>
        <w:t> maximising impact on learners</w:t>
      </w:r>
      <w:r>
        <w:rPr/>
      </w:r>
    </w:p>
    <w:p>
      <w:pPr>
        <w:pStyle w:val="BodyText"/>
        <w:spacing w:line="240" w:lineRule="auto"/>
        <w:ind w:left="114" w:right="0"/>
        <w:jc w:val="left"/>
      </w:pPr>
      <w:r>
        <w:rPr>
          <w:rFonts w:ascii="Arial" w:hAnsi="Arial"/>
          <w:color w:val="00757A"/>
        </w:rPr>
        <w:t>ϐ </w:t>
      </w:r>
      <w:r>
        <w:rPr>
          <w:rFonts w:ascii="Arial" w:hAnsi="Arial"/>
          <w:color w:val="00757A"/>
          <w:spacing w:val="8"/>
        </w:rPr>
        <w:t> </w:t>
      </w:r>
      <w:r>
        <w:rPr>
          <w:color w:val="231F20"/>
        </w:rPr>
        <w:t>Leadership is</w:t>
      </w:r>
      <w:r>
        <w:rPr>
          <w:color w:val="231F20"/>
          <w:spacing w:val="1"/>
        </w:rPr>
        <w:t> </w:t>
      </w:r>
      <w:r>
        <w:rPr>
          <w:color w:val="231F20"/>
        </w:rPr>
        <w:t>a team effort</w:t>
      </w:r>
      <w:r>
        <w:rPr>
          <w:color w:val="231F20"/>
          <w:spacing w:val="1"/>
        </w:rPr>
        <w:t> </w:t>
      </w:r>
      <w:r>
        <w:rPr>
          <w:color w:val="231F20"/>
        </w:rPr>
        <w:t>at all</w:t>
      </w:r>
      <w:r>
        <w:rPr>
          <w:color w:val="231F20"/>
          <w:spacing w:val="1"/>
        </w:rPr>
        <w:t> </w:t>
      </w:r>
      <w:r>
        <w:rPr>
          <w:color w:val="231F20"/>
        </w:rPr>
        <w:t>levels</w:t>
      </w:r>
      <w:r>
        <w:rPr/>
      </w:r>
    </w:p>
    <w:p>
      <w:pPr>
        <w:pStyle w:val="BodyText"/>
        <w:spacing w:line="240" w:lineRule="auto"/>
        <w:ind w:left="341" w:right="53" w:hanging="227"/>
        <w:jc w:val="left"/>
      </w:pPr>
      <w:r>
        <w:rPr>
          <w:rFonts w:ascii="Arial" w:hAnsi="Arial"/>
          <w:color w:val="00757A"/>
        </w:rPr>
        <w:t>ϐ </w:t>
      </w:r>
      <w:r>
        <w:rPr>
          <w:rFonts w:ascii="Arial" w:hAnsi="Arial"/>
          <w:color w:val="00757A"/>
          <w:spacing w:val="8"/>
        </w:rPr>
        <w:t> </w:t>
      </w:r>
      <w:r>
        <w:rPr>
          <w:color w:val="231F20"/>
        </w:rPr>
        <w:t>Aboriginal</w:t>
      </w:r>
      <w:r>
        <w:rPr>
          <w:color w:val="231F20"/>
          <w:spacing w:val="1"/>
        </w:rPr>
        <w:t> </w:t>
      </w:r>
      <w:r>
        <w:rPr>
          <w:color w:val="231F20"/>
        </w:rPr>
        <w:t>and </w:t>
      </w:r>
      <w:r>
        <w:rPr>
          <w:color w:val="231F20"/>
          <w:spacing w:val="-26"/>
        </w:rPr>
        <w:t>T</w:t>
      </w:r>
      <w:r>
        <w:rPr>
          <w:color w:val="231F20"/>
        </w:rPr>
        <w:t>orres</w:t>
      </w:r>
      <w:r>
        <w:rPr>
          <w:color w:val="231F20"/>
          <w:spacing w:val="1"/>
        </w:rPr>
        <w:t> </w:t>
      </w:r>
      <w:r>
        <w:rPr>
          <w:color w:val="231F20"/>
        </w:rPr>
        <w:t>Strait</w:t>
      </w:r>
      <w:r>
        <w:rPr>
          <w:color w:val="231F20"/>
          <w:spacing w:val="1"/>
        </w:rPr>
        <w:t> </w:t>
      </w:r>
      <w:r>
        <w:rPr>
          <w:color w:val="231F20"/>
        </w:rPr>
        <w:t>Islander</w:t>
      </w:r>
      <w:r>
        <w:rPr>
          <w:color w:val="231F20"/>
        </w:rPr>
        <w:t> education needs are understood, respected and supported in all actions</w:t>
      </w:r>
      <w:r>
        <w:rPr/>
      </w:r>
    </w:p>
    <w:p>
      <w:pPr>
        <w:pStyle w:val="BodyText"/>
        <w:spacing w:line="240" w:lineRule="auto"/>
        <w:ind w:left="341" w:right="121" w:hanging="227"/>
        <w:jc w:val="left"/>
      </w:pPr>
      <w:r>
        <w:rPr>
          <w:rFonts w:ascii="Arial" w:hAnsi="Arial"/>
          <w:color w:val="00757A"/>
        </w:rPr>
        <w:t>ϐ </w:t>
      </w:r>
      <w:r>
        <w:rPr>
          <w:rFonts w:ascii="Arial" w:hAnsi="Arial"/>
          <w:color w:val="00757A"/>
          <w:spacing w:val="8"/>
        </w:rPr>
        <w:t> </w:t>
      </w:r>
      <w:r>
        <w:rPr>
          <w:color w:val="231F20"/>
        </w:rPr>
        <w:t>Evidence</w:t>
      </w:r>
      <w:r>
        <w:rPr>
          <w:color w:val="231F20"/>
          <w:spacing w:val="1"/>
        </w:rPr>
        <w:t> </w:t>
      </w:r>
      <w:r>
        <w:rPr>
          <w:color w:val="231F20"/>
        </w:rPr>
        <w:t>and knowledge</w:t>
      </w:r>
      <w:r>
        <w:rPr>
          <w:color w:val="231F20"/>
          <w:spacing w:val="1"/>
        </w:rPr>
        <w:t> </w:t>
      </w:r>
      <w:r>
        <w:rPr>
          <w:color w:val="231F20"/>
        </w:rPr>
        <w:t>drive</w:t>
      </w:r>
      <w:r>
        <w:rPr>
          <w:color w:val="231F20"/>
          <w:spacing w:val="1"/>
        </w:rPr>
        <w:t> </w:t>
      </w:r>
      <w:r>
        <w:rPr>
          <w:color w:val="231F20"/>
        </w:rPr>
        <w:t>our</w:t>
      </w:r>
      <w:r>
        <w:rPr>
          <w:color w:val="231F20"/>
        </w:rPr>
        <w:t> decisions and we evaluate and learn as we progress</w:t>
      </w:r>
      <w:r>
        <w:rPr/>
      </w:r>
    </w:p>
    <w:p>
      <w:pPr>
        <w:spacing w:line="240" w:lineRule="auto" w:before="0"/>
        <w:rPr>
          <w:rFonts w:ascii="Swis721 Lt BT" w:hAnsi="Swis721 Lt BT" w:cs="Swis721 Lt BT" w:eastAsia="Swis721 Lt BT"/>
          <w:sz w:val="18"/>
          <w:szCs w:val="18"/>
        </w:rPr>
      </w:pPr>
    </w:p>
    <w:p>
      <w:pPr>
        <w:pStyle w:val="Heading8"/>
        <w:spacing w:line="240" w:lineRule="auto"/>
        <w:ind w:left="113" w:right="0"/>
        <w:jc w:val="left"/>
      </w:pPr>
      <w:r>
        <w:rPr>
          <w:color w:val="00757A"/>
          <w:spacing w:val="-2"/>
        </w:rPr>
        <w:t>Focus</w:t>
      </w:r>
      <w:r>
        <w:rPr>
          <w:color w:val="00757A"/>
        </w:rPr>
        <w:t> areas</w:t>
      </w:r>
      <w:r>
        <w:rPr/>
      </w:r>
    </w:p>
    <w:p>
      <w:pPr>
        <w:pStyle w:val="BodyText"/>
        <w:spacing w:line="240" w:lineRule="auto" w:before="106"/>
        <w:ind w:left="340" w:right="121" w:hanging="227"/>
        <w:jc w:val="left"/>
      </w:pPr>
      <w:r>
        <w:rPr>
          <w:rFonts w:ascii="Arial" w:hAnsi="Arial"/>
          <w:color w:val="00757A"/>
        </w:rPr>
        <w:t>ϐ </w:t>
      </w:r>
      <w:r>
        <w:rPr>
          <w:rFonts w:ascii="Arial" w:hAnsi="Arial"/>
          <w:color w:val="00757A"/>
          <w:spacing w:val="8"/>
        </w:rPr>
        <w:t> </w:t>
      </w:r>
      <w:r>
        <w:rPr>
          <w:color w:val="231F20"/>
        </w:rPr>
        <w:t>Placing impact</w:t>
      </w:r>
      <w:r>
        <w:rPr>
          <w:color w:val="231F20"/>
          <w:spacing w:val="1"/>
        </w:rPr>
        <w:t> </w:t>
      </w:r>
      <w:r>
        <w:rPr>
          <w:color w:val="231F20"/>
        </w:rPr>
        <w:t>of</w:t>
      </w:r>
      <w:r>
        <w:rPr>
          <w:color w:val="231F20"/>
          <w:spacing w:val="1"/>
        </w:rPr>
        <w:t> </w:t>
      </w:r>
      <w:r>
        <w:rPr>
          <w:color w:val="231F20"/>
        </w:rPr>
        <w:t>initial teacher</w:t>
      </w:r>
      <w:r>
        <w:rPr>
          <w:color w:val="231F20"/>
          <w:spacing w:val="1"/>
        </w:rPr>
        <w:t> </w:t>
      </w:r>
      <w:r>
        <w:rPr>
          <w:color w:val="231F20"/>
        </w:rPr>
        <w:t>education,</w:t>
      </w:r>
      <w:r>
        <w:rPr>
          <w:color w:val="231F20"/>
        </w:rPr>
        <w:t> teaching and leadership at the centre of our work</w:t>
      </w:r>
      <w:r>
        <w:rPr/>
      </w:r>
    </w:p>
    <w:p>
      <w:pPr>
        <w:pStyle w:val="BodyText"/>
        <w:spacing w:line="240" w:lineRule="auto"/>
        <w:ind w:left="340" w:right="53" w:hanging="227"/>
        <w:jc w:val="left"/>
      </w:pPr>
      <w:r>
        <w:rPr>
          <w:rFonts w:ascii="Arial" w:hAnsi="Arial"/>
          <w:color w:val="00757A"/>
        </w:rPr>
        <w:t>ϐ </w:t>
      </w:r>
      <w:r>
        <w:rPr>
          <w:rFonts w:ascii="Arial" w:hAnsi="Arial"/>
          <w:color w:val="00757A"/>
          <w:spacing w:val="8"/>
        </w:rPr>
        <w:t> </w:t>
      </w:r>
      <w:r>
        <w:rPr>
          <w:color w:val="231F20"/>
          <w:spacing w:val="-2"/>
        </w:rPr>
        <w:t>Building,</w:t>
      </w:r>
      <w:r>
        <w:rPr>
          <w:color w:val="231F20"/>
          <w:spacing w:val="-3"/>
        </w:rPr>
        <w:t> </w:t>
      </w:r>
      <w:r>
        <w:rPr>
          <w:color w:val="231F20"/>
          <w:spacing w:val="-2"/>
        </w:rPr>
        <w:t>enhancing,</w:t>
      </w:r>
      <w:r>
        <w:rPr>
          <w:color w:val="231F20"/>
          <w:spacing w:val="-3"/>
        </w:rPr>
        <w:t> </w:t>
      </w:r>
      <w:r>
        <w:rPr>
          <w:color w:val="231F20"/>
          <w:spacing w:val="-2"/>
        </w:rPr>
        <w:t>and</w:t>
      </w:r>
      <w:r>
        <w:rPr>
          <w:color w:val="231F20"/>
          <w:spacing w:val="-4"/>
        </w:rPr>
        <w:t> </w:t>
      </w:r>
      <w:r>
        <w:rPr>
          <w:color w:val="231F20"/>
          <w:spacing w:val="-2"/>
        </w:rPr>
        <w:t>sustaining</w:t>
      </w:r>
      <w:r>
        <w:rPr>
          <w:color w:val="231F20"/>
          <w:spacing w:val="-3"/>
        </w:rPr>
        <w:t> </w:t>
      </w:r>
      <w:r>
        <w:rPr>
          <w:color w:val="231F20"/>
          <w:spacing w:val="-2"/>
        </w:rPr>
        <w:t>effective</w:t>
      </w:r>
      <w:r>
        <w:rPr>
          <w:color w:val="231F20"/>
          <w:spacing w:val="27"/>
        </w:rPr>
        <w:t> </w:t>
      </w:r>
      <w:r>
        <w:rPr>
          <w:color w:val="231F20"/>
        </w:rPr>
        <w:t>teaching and leadership at every level</w:t>
      </w:r>
      <w:r>
        <w:rPr/>
      </w:r>
    </w:p>
    <w:p>
      <w:pPr>
        <w:pStyle w:val="BodyText"/>
        <w:spacing w:line="240" w:lineRule="auto"/>
        <w:ind w:left="341" w:right="546" w:hanging="227"/>
        <w:jc w:val="both"/>
      </w:pPr>
      <w:r>
        <w:rPr>
          <w:rFonts w:ascii="Arial" w:hAnsi="Arial"/>
          <w:color w:val="00757A"/>
        </w:rPr>
        <w:t>ϐ</w:t>
      </w:r>
      <w:r>
        <w:rPr>
          <w:rFonts w:ascii="Arial" w:hAnsi="Arial"/>
          <w:color w:val="00757A"/>
          <w:spacing w:val="8"/>
        </w:rPr>
        <w:t> </w:t>
      </w:r>
      <w:r>
        <w:rPr>
          <w:color w:val="231F20"/>
        </w:rPr>
        <w:t>Advocating for</w:t>
      </w:r>
      <w:r>
        <w:rPr>
          <w:color w:val="231F20"/>
          <w:spacing w:val="1"/>
        </w:rPr>
        <w:t> </w:t>
      </w:r>
      <w:r>
        <w:rPr>
          <w:color w:val="231F20"/>
        </w:rPr>
        <w:t>quality and</w:t>
      </w:r>
      <w:r>
        <w:rPr>
          <w:color w:val="231F20"/>
          <w:spacing w:val="1"/>
        </w:rPr>
        <w:t> </w:t>
      </w:r>
      <w:r>
        <w:rPr>
          <w:color w:val="231F20"/>
        </w:rPr>
        <w:t>rigour in</w:t>
      </w:r>
      <w:r>
        <w:rPr>
          <w:color w:val="231F20"/>
          <w:spacing w:val="1"/>
        </w:rPr>
        <w:t> </w:t>
      </w:r>
      <w:r>
        <w:rPr>
          <w:color w:val="231F20"/>
        </w:rPr>
        <w:t>the</w:t>
      </w:r>
      <w:r>
        <w:rPr>
          <w:color w:val="231F20"/>
        </w:rPr>
        <w:t> design and implementation of national policies, tools and resources</w:t>
      </w:r>
      <w:r>
        <w:rPr/>
      </w:r>
    </w:p>
    <w:p>
      <w:pPr>
        <w:pStyle w:val="BodyText"/>
        <w:spacing w:line="240" w:lineRule="auto"/>
        <w:ind w:left="341" w:right="121" w:hanging="227"/>
        <w:jc w:val="left"/>
      </w:pPr>
      <w:r>
        <w:rPr>
          <w:rFonts w:ascii="Arial" w:hAnsi="Arial"/>
          <w:color w:val="00757A"/>
        </w:rPr>
        <w:t>ϐ </w:t>
      </w:r>
      <w:r>
        <w:rPr>
          <w:rFonts w:ascii="Arial" w:hAnsi="Arial"/>
          <w:color w:val="00757A"/>
          <w:spacing w:val="8"/>
        </w:rPr>
        <w:t> </w:t>
      </w:r>
      <w:r>
        <w:rPr>
          <w:color w:val="231F20"/>
        </w:rPr>
        <w:t>Supporting</w:t>
      </w:r>
      <w:r>
        <w:rPr>
          <w:color w:val="231F20"/>
          <w:spacing w:val="1"/>
        </w:rPr>
        <w:t> </w:t>
      </w:r>
      <w:r>
        <w:rPr>
          <w:color w:val="231F20"/>
        </w:rPr>
        <w:t>the</w:t>
      </w:r>
      <w:r>
        <w:rPr>
          <w:color w:val="231F20"/>
          <w:spacing w:val="1"/>
        </w:rPr>
        <w:t> </w:t>
      </w:r>
      <w:r>
        <w:rPr>
          <w:color w:val="231F20"/>
        </w:rPr>
        <w:t>professional</w:t>
      </w:r>
      <w:r>
        <w:rPr>
          <w:color w:val="231F20"/>
          <w:spacing w:val="1"/>
        </w:rPr>
        <w:t> </w:t>
      </w:r>
      <w:r>
        <w:rPr>
          <w:color w:val="231F20"/>
        </w:rPr>
        <w:t>education</w:t>
      </w:r>
      <w:r>
        <w:rPr>
          <w:color w:val="231F20"/>
        </w:rPr>
        <w:t> community to make evidence-based decisions</w:t>
      </w:r>
      <w:r>
        <w:rPr/>
      </w:r>
    </w:p>
    <w:p>
      <w:pPr>
        <w:pStyle w:val="BodyText"/>
        <w:spacing w:line="240" w:lineRule="auto"/>
        <w:ind w:left="113" w:right="0"/>
        <w:jc w:val="left"/>
      </w:pPr>
      <w:r>
        <w:rPr>
          <w:rFonts w:ascii="Arial" w:hAnsi="Arial"/>
          <w:color w:val="00757A"/>
        </w:rPr>
        <w:t>ϐ </w:t>
      </w:r>
      <w:r>
        <w:rPr>
          <w:rFonts w:ascii="Arial" w:hAnsi="Arial"/>
          <w:color w:val="00757A"/>
          <w:spacing w:val="6"/>
        </w:rPr>
        <w:t> </w:t>
      </w:r>
      <w:r>
        <w:rPr>
          <w:color w:val="231F20"/>
        </w:rPr>
        <w:t>Affirming</w:t>
      </w:r>
      <w:r>
        <w:rPr>
          <w:color w:val="231F20"/>
          <w:spacing w:val="-1"/>
        </w:rPr>
        <w:t> </w:t>
      </w:r>
      <w:r>
        <w:rPr>
          <w:color w:val="231F20"/>
        </w:rPr>
        <w:t>the status</w:t>
      </w:r>
      <w:r>
        <w:rPr>
          <w:color w:val="231F20"/>
          <w:spacing w:val="-1"/>
        </w:rPr>
        <w:t> </w:t>
      </w:r>
      <w:r>
        <w:rPr>
          <w:color w:val="231F20"/>
        </w:rPr>
        <w:t>of the profession</w:t>
      </w:r>
      <w:r>
        <w:rPr/>
      </w:r>
    </w:p>
    <w:p>
      <w:pPr>
        <w:spacing w:line="240" w:lineRule="auto" w:before="8"/>
        <w:rPr>
          <w:rFonts w:ascii="Swis721 Lt BT" w:hAnsi="Swis721 Lt BT" w:cs="Swis721 Lt BT" w:eastAsia="Swis721 Lt BT"/>
          <w:sz w:val="28"/>
          <w:szCs w:val="28"/>
        </w:rPr>
      </w:pPr>
    </w:p>
    <w:p>
      <w:pPr>
        <w:pStyle w:val="Heading8"/>
        <w:spacing w:line="240" w:lineRule="auto" w:before="0"/>
        <w:ind w:left="113" w:right="0"/>
        <w:jc w:val="left"/>
      </w:pPr>
      <w:r>
        <w:rPr>
          <w:color w:val="00757A"/>
        </w:rPr>
        <w:t>Actions</w:t>
      </w:r>
      <w:r>
        <w:rPr/>
      </w:r>
    </w:p>
    <w:p>
      <w:pPr>
        <w:spacing w:before="106"/>
        <w:ind w:left="340" w:right="296" w:hanging="227"/>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8"/>
          <w:sz w:val="19"/>
        </w:rPr>
        <w:t> </w:t>
      </w:r>
      <w:r>
        <w:rPr>
          <w:rFonts w:ascii="Swis721 Lt BT" w:hAnsi="Swis721 Lt BT"/>
          <w:color w:val="231F20"/>
          <w:sz w:val="19"/>
        </w:rPr>
        <w:t>Promote</w:t>
      </w:r>
      <w:r>
        <w:rPr>
          <w:rFonts w:ascii="Swis721 Lt BT" w:hAnsi="Swis721 Lt BT"/>
          <w:color w:val="231F20"/>
          <w:spacing w:val="1"/>
          <w:sz w:val="19"/>
        </w:rPr>
        <w:t> </w:t>
      </w:r>
      <w:r>
        <w:rPr>
          <w:rFonts w:ascii="Swis721 Lt BT" w:hAnsi="Swis721 Lt BT"/>
          <w:color w:val="231F20"/>
          <w:sz w:val="19"/>
        </w:rPr>
        <w:t>and support</w:t>
      </w:r>
      <w:r>
        <w:rPr>
          <w:rFonts w:ascii="Swis721 Lt BT" w:hAnsi="Swis721 Lt BT"/>
          <w:color w:val="231F20"/>
          <w:spacing w:val="1"/>
          <w:sz w:val="19"/>
        </w:rPr>
        <w:t> </w:t>
      </w:r>
      <w:r>
        <w:rPr>
          <w:rFonts w:ascii="Swis721 Lt BT" w:hAnsi="Swis721 Lt BT"/>
          <w:color w:val="231F20"/>
          <w:sz w:val="19"/>
        </w:rPr>
        <w:t>implementation</w:t>
      </w:r>
      <w:r>
        <w:rPr>
          <w:rFonts w:ascii="Swis721 Lt BT" w:hAnsi="Swis721 Lt BT"/>
          <w:color w:val="231F20"/>
          <w:spacing w:val="1"/>
          <w:sz w:val="19"/>
        </w:rPr>
        <w:t> </w:t>
      </w:r>
      <w:r>
        <w:rPr>
          <w:rFonts w:ascii="Swis721 Lt BT" w:hAnsi="Swis721 Lt BT"/>
          <w:color w:val="231F20"/>
          <w:sz w:val="19"/>
        </w:rPr>
        <w:t>of</w:t>
      </w:r>
      <w:r>
        <w:rPr>
          <w:rFonts w:ascii="Swis721 Lt BT" w:hAnsi="Swis721 Lt BT"/>
          <w:color w:val="231F20"/>
          <w:sz w:val="19"/>
        </w:rPr>
        <w:t> the </w:t>
      </w:r>
      <w:r>
        <w:rPr>
          <w:rFonts w:ascii="Swis721 Lt BT" w:hAnsi="Swis721 Lt BT"/>
          <w:i/>
          <w:color w:val="231F20"/>
          <w:sz w:val="19"/>
        </w:rPr>
        <w:t>Australian Professional Standards for</w:t>
      </w:r>
      <w:r>
        <w:rPr>
          <w:rFonts w:ascii="Swis721 Lt BT" w:hAnsi="Swis721 Lt BT"/>
          <w:i/>
          <w:color w:val="231F20"/>
          <w:sz w:val="19"/>
        </w:rPr>
        <w:t> </w:t>
      </w:r>
      <w:r>
        <w:rPr>
          <w:rFonts w:ascii="Swis721 Lt BT" w:hAnsi="Swis721 Lt BT"/>
          <w:i/>
          <w:color w:val="231F20"/>
          <w:spacing w:val="-3"/>
          <w:sz w:val="19"/>
        </w:rPr>
        <w:t>Teachers</w:t>
      </w:r>
      <w:r>
        <w:rPr>
          <w:rFonts w:ascii="Swis721 Lt BT" w:hAnsi="Swis721 Lt BT"/>
          <w:i/>
          <w:color w:val="231F20"/>
          <w:sz w:val="19"/>
        </w:rPr>
        <w:t> </w:t>
      </w:r>
      <w:r>
        <w:rPr>
          <w:rFonts w:ascii="Swis721 Lt BT" w:hAnsi="Swis721 Lt BT"/>
          <w:color w:val="231F20"/>
          <w:sz w:val="19"/>
        </w:rPr>
        <w:t>and the </w:t>
      </w:r>
      <w:r>
        <w:rPr>
          <w:rFonts w:ascii="Swis721 Lt BT" w:hAnsi="Swis721 Lt BT"/>
          <w:i/>
          <w:color w:val="231F20"/>
          <w:sz w:val="19"/>
        </w:rPr>
        <w:t>Australian Professional</w:t>
      </w:r>
      <w:r>
        <w:rPr>
          <w:rFonts w:ascii="Swis721 Lt BT" w:hAnsi="Swis721 Lt BT"/>
          <w:i/>
          <w:color w:val="231F20"/>
          <w:spacing w:val="21"/>
          <w:sz w:val="19"/>
        </w:rPr>
        <w:t> </w:t>
      </w:r>
      <w:r>
        <w:rPr>
          <w:rFonts w:ascii="Swis721 Lt BT" w:hAnsi="Swis721 Lt BT"/>
          <w:i/>
          <w:color w:val="231F20"/>
          <w:sz w:val="19"/>
        </w:rPr>
        <w:t>Standard for Principals </w:t>
      </w:r>
      <w:r>
        <w:rPr>
          <w:rFonts w:ascii="Swis721 Lt BT" w:hAnsi="Swis721 Lt BT"/>
          <w:color w:val="231F20"/>
          <w:sz w:val="19"/>
        </w:rPr>
        <w:t>in partnership with</w:t>
      </w:r>
      <w:r>
        <w:rPr>
          <w:rFonts w:ascii="Swis721 Lt BT" w:hAnsi="Swis721 Lt BT"/>
          <w:color w:val="231F20"/>
          <w:sz w:val="19"/>
        </w:rPr>
        <w:t> jurisdictions to increase their impact</w:t>
      </w:r>
      <w:r>
        <w:rPr>
          <w:rFonts w:ascii="Swis721 Lt BT" w:hAnsi="Swis721 Lt BT"/>
          <w:sz w:val="19"/>
        </w:rPr>
      </w:r>
    </w:p>
    <w:p>
      <w:pPr>
        <w:pStyle w:val="BodyText"/>
        <w:spacing w:line="240" w:lineRule="auto"/>
        <w:ind w:left="340" w:right="444" w:hanging="227"/>
        <w:jc w:val="left"/>
      </w:pPr>
      <w:r>
        <w:rPr>
          <w:rFonts w:ascii="Arial" w:hAnsi="Arial"/>
          <w:color w:val="00757A"/>
        </w:rPr>
        <w:t>ϐ </w:t>
      </w:r>
      <w:r>
        <w:rPr>
          <w:rFonts w:ascii="Arial" w:hAnsi="Arial"/>
          <w:color w:val="00757A"/>
          <w:spacing w:val="9"/>
        </w:rPr>
        <w:t> </w:t>
      </w:r>
      <w:r>
        <w:rPr>
          <w:color w:val="231F20"/>
        </w:rPr>
        <w:t>Strengthen</w:t>
      </w:r>
      <w:r>
        <w:rPr>
          <w:color w:val="231F20"/>
          <w:spacing w:val="1"/>
        </w:rPr>
        <w:t> </w:t>
      </w:r>
      <w:r>
        <w:rPr>
          <w:color w:val="231F20"/>
        </w:rPr>
        <w:t>leadership</w:t>
      </w:r>
      <w:r>
        <w:rPr>
          <w:color w:val="231F20"/>
          <w:spacing w:val="1"/>
        </w:rPr>
        <w:t> </w:t>
      </w:r>
      <w:r>
        <w:rPr>
          <w:color w:val="231F20"/>
        </w:rPr>
        <w:t>engagement,</w:t>
      </w:r>
      <w:r>
        <w:rPr>
          <w:color w:val="231F20"/>
        </w:rPr>
        <w:t> broaden participation in leadership, and enhance the capability of aspiring and emerging leaders</w:t>
      </w:r>
      <w:r>
        <w:rPr/>
      </w:r>
    </w:p>
    <w:p>
      <w:pPr>
        <w:spacing w:after="0" w:line="240" w:lineRule="auto"/>
        <w:jc w:val="left"/>
        <w:sectPr>
          <w:type w:val="continuous"/>
          <w:pgSz w:w="9980" w:h="14180"/>
          <w:pgMar w:top="0" w:bottom="280" w:left="1020" w:right="740"/>
          <w:cols w:num="2" w:equalWidth="0">
            <w:col w:w="3942" w:space="225"/>
            <w:col w:w="4053"/>
          </w:cols>
        </w:sectPr>
      </w:pPr>
    </w:p>
    <w:p>
      <w:pPr>
        <w:spacing w:line="240" w:lineRule="auto" w:before="0"/>
        <w:rPr>
          <w:rFonts w:ascii="Swis721 Lt BT" w:hAnsi="Swis721 Lt BT" w:cs="Swis721 Lt BT" w:eastAsia="Swis721 Lt BT"/>
          <w:sz w:val="12"/>
          <w:szCs w:val="12"/>
        </w:rPr>
      </w:pPr>
      <w:r>
        <w:rPr/>
        <w:pict>
          <v:shape style="position:absolute;margin-left:0pt;margin-top:.000011pt;width:498.9pt;height:50.9pt;mso-position-horizontal-relative:page;mso-position-vertical-relative:page;z-index:-184192" type="#_x0000_t202" filled="false" stroked="false">
            <v:textbox inset="0,0,0,0">
              <w:txbxContent>
                <w:p>
                  <w:pPr>
                    <w:spacing w:line="240" w:lineRule="auto" w:before="0"/>
                    <w:rPr>
                      <w:rFonts w:ascii="Swis721 Lt BT" w:hAnsi="Swis721 Lt BT" w:cs="Swis721 Lt BT" w:eastAsia="Swis721 Lt BT"/>
                      <w:sz w:val="14"/>
                      <w:szCs w:val="14"/>
                    </w:rPr>
                  </w:pPr>
                </w:p>
                <w:p>
                  <w:pPr>
                    <w:spacing w:line="240" w:lineRule="auto" w:before="0"/>
                    <w:rPr>
                      <w:rFonts w:ascii="Swis721 Lt BT" w:hAnsi="Swis721 Lt BT" w:cs="Swis721 Lt BT" w:eastAsia="Swis721 Lt BT"/>
                      <w:sz w:val="14"/>
                      <w:szCs w:val="14"/>
                    </w:rPr>
                  </w:pPr>
                </w:p>
                <w:p>
                  <w:pPr>
                    <w:spacing w:before="95"/>
                    <w:ind w:left="0" w:right="84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2018–2019</w:t>
                  </w:r>
                  <w:r>
                    <w:rPr>
                      <w:rFonts w:ascii="Swis721 Lt BT" w:hAnsi="Swis721 Lt BT" w:cs="Swis721 Lt BT" w:eastAsia="Swis721 Lt BT"/>
                      <w:sz w:val="14"/>
                      <w:szCs w:val="14"/>
                    </w:rPr>
                  </w:r>
                </w:p>
              </w:txbxContent>
            </v:textbox>
            <w10:wrap type="none"/>
          </v:shape>
        </w:pict>
      </w:r>
      <w:r>
        <w:rPr/>
        <w:pict>
          <v:group style="position:absolute;margin-left:-.05pt;margin-top:-.050789pt;width:498.95pt;height:708.8pt;mso-position-horizontal-relative:page;mso-position-vertical-relative:page;z-index:-184168" coordorigin="-1,-1" coordsize="9979,14176">
            <v:group style="position:absolute;left:0;top:0;width:2;height:14174" coordorigin="0,0" coordsize="2,14174">
              <v:shape style="position:absolute;left:0;top:0;width:2;height:14174" coordorigin="0,0" coordsize="0,14174" path="m0,0l0,14173e" filled="false" stroked="true" strokeweight=".1pt" strokecolor="#005e63">
                <v:path arrowok="t"/>
              </v:shape>
            </v:group>
            <v:group style="position:absolute;left:0;top:0;width:9978;height:1018" coordorigin="0,0" coordsize="9978,1018">
              <v:shape style="position:absolute;left:0;top:0;width:9978;height:1018" coordorigin="0,0" coordsize="9978,1018" path="m0,1018l9978,1018,9978,0,0,0,0,1018xe" filled="true" fillcolor="#003b45" stroked="false">
                <v:path arrowok="t"/>
                <v:fill type="solid"/>
              </v:shape>
            </v:group>
            <v:group style="position:absolute;left:0;top:1018;width:3385;height:958" coordorigin="0,1018" coordsize="3385,958">
              <v:shape style="position:absolute;left:0;top:1018;width:3385;height:958" coordorigin="0,1018" coordsize="3385,958" path="m3384,1018l0,1018,0,1975,3384,1018xe" filled="true" fillcolor="#bfd22b" stroked="false">
                <v:path arrowok="t"/>
                <v:fill type="solid"/>
              </v:shape>
            </v:group>
            <v:group style="position:absolute;left:3384;top:0;width:6594;height:1018" coordorigin="3384,0" coordsize="6594,1018">
              <v:shape style="position:absolute;left:3384;top:0;width:6594;height:1018" coordorigin="3384,0" coordsize="6594,1018" path="m6982,0l3384,1018,9978,1018,9978,0,6982,0e" filled="true" fillcolor="#005e63" stroked="false">
                <v:path arrowok="t"/>
                <v:fill type="solid"/>
              </v:shape>
            </v:group>
            <w10:wrap type="none"/>
          </v:group>
        </w:pict>
      </w:r>
    </w:p>
    <w:p>
      <w:pPr>
        <w:spacing w:before="0"/>
        <w:ind w:left="0" w:right="108" w:firstLine="0"/>
        <w:jc w:val="right"/>
        <w:rPr>
          <w:rFonts w:ascii="Swis721 Lt BT" w:hAnsi="Swis721 Lt BT" w:cs="Swis721 Lt BT" w:eastAsia="Swis721 Lt BT"/>
          <w:sz w:val="16"/>
          <w:szCs w:val="16"/>
        </w:rPr>
      </w:pPr>
      <w:r>
        <w:rPr>
          <w:rFonts w:ascii="Swis721 Lt BT"/>
          <w:color w:val="231F20"/>
          <w:w w:val="95"/>
          <w:sz w:val="16"/>
        </w:rPr>
        <w:t>9</w:t>
      </w:r>
      <w:r>
        <w:rPr>
          <w:rFonts w:ascii="Swis721 Lt BT"/>
          <w:sz w:val="16"/>
        </w:rPr>
      </w:r>
    </w:p>
    <w:p>
      <w:pPr>
        <w:spacing w:after="0"/>
        <w:jc w:val="right"/>
        <w:rPr>
          <w:rFonts w:ascii="Swis721 Lt BT" w:hAnsi="Swis721 Lt BT" w:cs="Swis721 Lt BT" w:eastAsia="Swis721 Lt BT"/>
          <w:sz w:val="16"/>
          <w:szCs w:val="16"/>
        </w:rPr>
        <w:sectPr>
          <w:type w:val="continuous"/>
          <w:pgSz w:w="9980" w:h="14180"/>
          <w:pgMar w:top="0" w:bottom="280" w:left="1020" w:right="740"/>
        </w:sectPr>
      </w:pPr>
    </w:p>
    <w:p>
      <w:pPr>
        <w:spacing w:before="48"/>
        <w:ind w:left="110" w:right="0" w:firstLine="0"/>
        <w:jc w:val="left"/>
        <w:rPr>
          <w:rFonts w:ascii="Swis721 Lt BT" w:hAnsi="Swis721 Lt BT" w:cs="Swis721 Lt BT" w:eastAsia="Swis721 Lt BT"/>
          <w:sz w:val="16"/>
          <w:szCs w:val="16"/>
        </w:rPr>
      </w:pPr>
      <w:r>
        <w:rPr>
          <w:rFonts w:ascii="Swis721 BT"/>
          <w:b/>
          <w:color w:val="00757A"/>
          <w:sz w:val="16"/>
        </w:rPr>
        <w:t>ABOUT AITSL </w:t>
      </w:r>
      <w:r>
        <w:rPr>
          <w:rFonts w:ascii="Swis721 Lt BT"/>
          <w:color w:val="00757A"/>
          <w:sz w:val="16"/>
        </w:rPr>
        <w:t>CONTINUED</w:t>
      </w:r>
      <w:r>
        <w:rPr>
          <w:rFonts w:ascii="Swis721 Lt BT"/>
          <w:sz w:val="16"/>
        </w:rPr>
      </w:r>
    </w:p>
    <w:p>
      <w:pPr>
        <w:spacing w:line="240" w:lineRule="auto" w:before="0"/>
        <w:rPr>
          <w:rFonts w:ascii="Swis721 Lt BT" w:hAnsi="Swis721 Lt BT" w:cs="Swis721 Lt BT" w:eastAsia="Swis721 Lt BT"/>
          <w:sz w:val="20"/>
          <w:szCs w:val="20"/>
        </w:rPr>
      </w:pPr>
    </w:p>
    <w:p>
      <w:pPr>
        <w:spacing w:line="240" w:lineRule="auto" w:before="8"/>
        <w:rPr>
          <w:rFonts w:ascii="Swis721 Lt BT" w:hAnsi="Swis721 Lt BT" w:cs="Swis721 Lt BT" w:eastAsia="Swis721 Lt BT"/>
          <w:sz w:val="25"/>
          <w:szCs w:val="25"/>
        </w:rPr>
      </w:pPr>
    </w:p>
    <w:p>
      <w:pPr>
        <w:spacing w:after="0" w:line="240" w:lineRule="auto"/>
        <w:rPr>
          <w:rFonts w:ascii="Swis721 Lt BT" w:hAnsi="Swis721 Lt BT" w:cs="Swis721 Lt BT" w:eastAsia="Swis721 Lt BT"/>
          <w:sz w:val="25"/>
          <w:szCs w:val="25"/>
        </w:rPr>
        <w:sectPr>
          <w:footerReference w:type="even" r:id="rId27"/>
          <w:footerReference w:type="default" r:id="rId28"/>
          <w:pgSz w:w="9980" w:h="14180"/>
          <w:pgMar w:footer="452" w:header="0" w:top="800" w:bottom="640" w:left="740" w:right="1020"/>
          <w:pgNumType w:start="10"/>
        </w:sectPr>
      </w:pPr>
    </w:p>
    <w:p>
      <w:pPr>
        <w:pStyle w:val="BodyText"/>
        <w:spacing w:line="240" w:lineRule="auto" w:before="69"/>
        <w:ind w:left="337" w:right="46" w:hanging="227"/>
        <w:jc w:val="left"/>
      </w:pPr>
      <w:r>
        <w:rPr>
          <w:rFonts w:ascii="Arial" w:hAnsi="Arial"/>
          <w:color w:val="00757A"/>
        </w:rPr>
        <w:t>ϐ </w:t>
      </w:r>
      <w:r>
        <w:rPr>
          <w:rFonts w:ascii="Arial" w:hAnsi="Arial"/>
          <w:color w:val="00757A"/>
          <w:spacing w:val="8"/>
        </w:rPr>
        <w:t> </w:t>
      </w:r>
      <w:r>
        <w:rPr>
          <w:color w:val="231F20"/>
        </w:rPr>
        <w:t>Consult</w:t>
      </w:r>
      <w:r>
        <w:rPr>
          <w:color w:val="231F20"/>
          <w:spacing w:val="1"/>
        </w:rPr>
        <w:t> </w:t>
      </w:r>
      <w:r>
        <w:rPr>
          <w:color w:val="231F20"/>
        </w:rPr>
        <w:t>with the</w:t>
      </w:r>
      <w:r>
        <w:rPr>
          <w:color w:val="231F20"/>
          <w:spacing w:val="1"/>
        </w:rPr>
        <w:t> </w:t>
      </w:r>
      <w:r>
        <w:rPr>
          <w:color w:val="231F20"/>
        </w:rPr>
        <w:t>Indigenous</w:t>
      </w:r>
      <w:r>
        <w:rPr>
          <w:color w:val="231F20"/>
          <w:spacing w:val="1"/>
        </w:rPr>
        <w:t> </w:t>
      </w:r>
      <w:r>
        <w:rPr>
          <w:color w:val="231F20"/>
        </w:rPr>
        <w:t>community</w:t>
      </w:r>
      <w:r>
        <w:rPr>
          <w:color w:val="231F20"/>
        </w:rPr>
        <w:t> and stakeholders to identify services to benefit</w:t>
      </w:r>
      <w:r>
        <w:rPr>
          <w:color w:val="231F20"/>
          <w:spacing w:val="-2"/>
        </w:rPr>
        <w:t> </w:t>
      </w:r>
      <w:r>
        <w:rPr>
          <w:color w:val="231F20"/>
        </w:rPr>
        <w:t>Indigenous</w:t>
      </w:r>
      <w:r>
        <w:rPr>
          <w:color w:val="231F20"/>
          <w:spacing w:val="-1"/>
        </w:rPr>
        <w:t> </w:t>
      </w:r>
      <w:r>
        <w:rPr>
          <w:color w:val="231F20"/>
        </w:rPr>
        <w:t>teachers</w:t>
      </w:r>
      <w:r>
        <w:rPr>
          <w:color w:val="231F20"/>
          <w:spacing w:val="-2"/>
        </w:rPr>
        <w:t> </w:t>
      </w:r>
      <w:r>
        <w:rPr>
          <w:color w:val="231F20"/>
        </w:rPr>
        <w:t>and</w:t>
      </w:r>
      <w:r>
        <w:rPr>
          <w:color w:val="231F20"/>
          <w:spacing w:val="-1"/>
        </w:rPr>
        <w:t> </w:t>
      </w:r>
      <w:r>
        <w:rPr>
          <w:color w:val="231F20"/>
        </w:rPr>
        <w:t>teachers</w:t>
      </w:r>
      <w:r>
        <w:rPr>
          <w:color w:val="231F20"/>
        </w:rPr>
        <w:t> of Indigenous students and studies</w:t>
      </w:r>
      <w:r>
        <w:rPr/>
      </w:r>
    </w:p>
    <w:p>
      <w:pPr>
        <w:pStyle w:val="BodyText"/>
        <w:spacing w:line="240" w:lineRule="auto"/>
        <w:ind w:left="337" w:right="118" w:hanging="227"/>
        <w:jc w:val="left"/>
      </w:pPr>
      <w:r>
        <w:rPr>
          <w:rFonts w:ascii="Arial" w:hAnsi="Arial"/>
          <w:color w:val="00757A"/>
        </w:rPr>
        <w:t>ϐ </w:t>
      </w:r>
      <w:r>
        <w:rPr>
          <w:rFonts w:ascii="Arial" w:hAnsi="Arial"/>
          <w:color w:val="00757A"/>
          <w:spacing w:val="8"/>
        </w:rPr>
        <w:t> </w:t>
      </w:r>
      <w:r>
        <w:rPr>
          <w:color w:val="231F20"/>
        </w:rPr>
        <w:t>Play a</w:t>
      </w:r>
      <w:r>
        <w:rPr>
          <w:color w:val="231F20"/>
          <w:spacing w:val="1"/>
        </w:rPr>
        <w:t> </w:t>
      </w:r>
      <w:r>
        <w:rPr>
          <w:color w:val="231F20"/>
        </w:rPr>
        <w:t>key role in</w:t>
      </w:r>
      <w:r>
        <w:rPr>
          <w:color w:val="231F20"/>
          <w:spacing w:val="1"/>
        </w:rPr>
        <w:t> </w:t>
      </w:r>
      <w:r>
        <w:rPr>
          <w:color w:val="231F20"/>
        </w:rPr>
        <w:t>national initiatives</w:t>
      </w:r>
      <w:r>
        <w:rPr>
          <w:color w:val="231F20"/>
          <w:spacing w:val="1"/>
        </w:rPr>
        <w:t> </w:t>
      </w:r>
      <w:r>
        <w:rPr>
          <w:color w:val="231F20"/>
        </w:rPr>
        <w:t>to</w:t>
      </w:r>
      <w:r>
        <w:rPr>
          <w:color w:val="231F20"/>
        </w:rPr>
        <w:t> support quality teaching and leadership</w:t>
      </w:r>
      <w:r>
        <w:rPr/>
      </w:r>
    </w:p>
    <w:p>
      <w:pPr>
        <w:pStyle w:val="BodyText"/>
        <w:spacing w:line="240" w:lineRule="auto"/>
        <w:ind w:left="337" w:right="0" w:hanging="227"/>
        <w:jc w:val="left"/>
      </w:pPr>
      <w:r>
        <w:rPr>
          <w:rFonts w:ascii="Arial" w:hAnsi="Arial"/>
          <w:color w:val="00757A"/>
        </w:rPr>
        <w:t>ϐ </w:t>
      </w:r>
      <w:r>
        <w:rPr>
          <w:rFonts w:ascii="Arial" w:hAnsi="Arial"/>
          <w:color w:val="00757A"/>
          <w:spacing w:val="9"/>
        </w:rPr>
        <w:t> </w:t>
      </w:r>
      <w:r>
        <w:rPr>
          <w:color w:val="231F20"/>
        </w:rPr>
        <w:t>Promote</w:t>
      </w:r>
      <w:r>
        <w:rPr>
          <w:color w:val="231F20"/>
          <w:spacing w:val="1"/>
        </w:rPr>
        <w:t> </w:t>
      </w:r>
      <w:r>
        <w:rPr>
          <w:color w:val="231F20"/>
        </w:rPr>
        <w:t>Australian,</w:t>
      </w:r>
      <w:r>
        <w:rPr>
          <w:color w:val="231F20"/>
          <w:spacing w:val="1"/>
        </w:rPr>
        <w:t> </w:t>
      </w:r>
      <w:r>
        <w:rPr>
          <w:color w:val="231F20"/>
        </w:rPr>
        <w:t>curriculum-mapped</w:t>
      </w:r>
      <w:r>
        <w:rPr>
          <w:color w:val="231F20"/>
        </w:rPr>
        <w:t> formative and diagnostic tools to better enable teachers and leaders to understand more clearly their impact and support individual learner progress</w:t>
      </w:r>
      <w:r>
        <w:rPr/>
      </w:r>
    </w:p>
    <w:p>
      <w:pPr>
        <w:pStyle w:val="BodyText"/>
        <w:spacing w:line="240" w:lineRule="auto"/>
        <w:ind w:left="337" w:right="0" w:hanging="227"/>
        <w:jc w:val="left"/>
      </w:pPr>
      <w:r>
        <w:rPr>
          <w:rFonts w:ascii="Arial" w:hAnsi="Arial"/>
          <w:color w:val="00757A"/>
        </w:rPr>
        <w:t>ϐ </w:t>
      </w:r>
      <w:r>
        <w:rPr>
          <w:rFonts w:ascii="Arial" w:hAnsi="Arial"/>
          <w:color w:val="00757A"/>
          <w:spacing w:val="8"/>
        </w:rPr>
        <w:t> </w:t>
      </w:r>
      <w:r>
        <w:rPr>
          <w:color w:val="231F20"/>
        </w:rPr>
        <w:t>Strengthen the</w:t>
      </w:r>
      <w:r>
        <w:rPr>
          <w:color w:val="231F20"/>
          <w:spacing w:val="1"/>
        </w:rPr>
        <w:t> </w:t>
      </w:r>
      <w:r>
        <w:rPr>
          <w:color w:val="231F20"/>
        </w:rPr>
        <w:t>evidence</w:t>
      </w:r>
      <w:r>
        <w:rPr>
          <w:color w:val="231F20"/>
          <w:spacing w:val="1"/>
        </w:rPr>
        <w:t> </w:t>
      </w:r>
      <w:r>
        <w:rPr>
          <w:color w:val="231F20"/>
        </w:rPr>
        <w:t>base about</w:t>
      </w:r>
      <w:r>
        <w:rPr>
          <w:color w:val="231F20"/>
          <w:spacing w:val="1"/>
        </w:rPr>
        <w:t> </w:t>
      </w:r>
      <w:r>
        <w:rPr>
          <w:color w:val="231F20"/>
        </w:rPr>
        <w:t>the</w:t>
      </w:r>
      <w:r>
        <w:rPr>
          <w:color w:val="231F20"/>
        </w:rPr>
        <w:t> teaching profession, sponsor research, and support the use of evidence in decision making and professional practice</w:t>
      </w:r>
      <w:r>
        <w:rPr/>
      </w:r>
    </w:p>
    <w:p>
      <w:pPr>
        <w:pStyle w:val="BodyText"/>
        <w:spacing w:line="240" w:lineRule="auto"/>
        <w:ind w:left="338" w:right="0" w:hanging="227"/>
        <w:jc w:val="left"/>
      </w:pPr>
      <w:r>
        <w:rPr>
          <w:rFonts w:ascii="Arial" w:hAnsi="Arial"/>
          <w:color w:val="00757A"/>
        </w:rPr>
        <w:t>ϐ </w:t>
      </w:r>
      <w:r>
        <w:rPr>
          <w:rFonts w:ascii="Arial" w:hAnsi="Arial"/>
          <w:color w:val="00757A"/>
          <w:spacing w:val="8"/>
        </w:rPr>
        <w:t> </w:t>
      </w:r>
      <w:r>
        <w:rPr>
          <w:color w:val="231F20"/>
        </w:rPr>
        <w:t>Drive and</w:t>
      </w:r>
      <w:r>
        <w:rPr>
          <w:color w:val="231F20"/>
          <w:spacing w:val="1"/>
        </w:rPr>
        <w:t> </w:t>
      </w:r>
      <w:r>
        <w:rPr>
          <w:color w:val="231F20"/>
        </w:rPr>
        <w:t>support</w:t>
      </w:r>
      <w:r>
        <w:rPr>
          <w:color w:val="231F20"/>
          <w:spacing w:val="1"/>
        </w:rPr>
        <w:t> </w:t>
      </w:r>
      <w:r>
        <w:rPr>
          <w:color w:val="231F20"/>
        </w:rPr>
        <w:t>improvement of</w:t>
      </w:r>
      <w:r>
        <w:rPr>
          <w:color w:val="231F20"/>
          <w:spacing w:val="1"/>
        </w:rPr>
        <w:t> </w:t>
      </w:r>
      <w:r>
        <w:rPr>
          <w:color w:val="231F20"/>
        </w:rPr>
        <w:t>excellent</w:t>
      </w:r>
      <w:r>
        <w:rPr>
          <w:color w:val="231F20"/>
        </w:rPr>
        <w:t> initial teacher education</w:t>
      </w:r>
      <w:r>
        <w:rPr/>
      </w:r>
    </w:p>
    <w:p>
      <w:pPr>
        <w:pStyle w:val="BodyText"/>
        <w:spacing w:line="240" w:lineRule="auto"/>
        <w:ind w:left="338" w:right="0" w:hanging="227"/>
        <w:jc w:val="left"/>
      </w:pPr>
      <w:r>
        <w:rPr>
          <w:rFonts w:ascii="Arial" w:hAnsi="Arial"/>
          <w:color w:val="00757A"/>
        </w:rPr>
        <w:t>ϐ </w:t>
      </w:r>
      <w:r>
        <w:rPr>
          <w:rFonts w:ascii="Arial" w:hAnsi="Arial"/>
          <w:color w:val="00757A"/>
          <w:spacing w:val="6"/>
        </w:rPr>
        <w:t> </w:t>
      </w:r>
      <w:r>
        <w:rPr>
          <w:color w:val="231F20"/>
        </w:rPr>
        <w:t>Develop and implement a strategy to affirm</w:t>
      </w:r>
      <w:r>
        <w:rPr>
          <w:color w:val="231F20"/>
          <w:w w:val="99"/>
        </w:rPr>
        <w:t> </w:t>
      </w:r>
      <w:r>
        <w:rPr>
          <w:color w:val="231F20"/>
        </w:rPr>
        <w:t>the status of the teaching profession and</w:t>
      </w:r>
      <w:r>
        <w:rPr>
          <w:color w:val="231F20"/>
        </w:rPr>
        <w:t> seek to enhance teacher professionalism through all projects and initiatives</w:t>
      </w:r>
      <w:r>
        <w:rPr/>
      </w:r>
    </w:p>
    <w:p>
      <w:pPr>
        <w:pStyle w:val="BodyText"/>
        <w:spacing w:line="240" w:lineRule="auto"/>
        <w:ind w:left="338" w:right="118" w:hanging="227"/>
        <w:jc w:val="left"/>
      </w:pPr>
      <w:r>
        <w:rPr>
          <w:rFonts w:ascii="Arial" w:hAnsi="Arial"/>
          <w:color w:val="00757A"/>
        </w:rPr>
        <w:t>ϐ </w:t>
      </w:r>
      <w:r>
        <w:rPr>
          <w:rFonts w:ascii="Arial" w:hAnsi="Arial"/>
          <w:color w:val="00757A"/>
          <w:spacing w:val="6"/>
        </w:rPr>
        <w:t> </w:t>
      </w:r>
      <w:r>
        <w:rPr>
          <w:color w:val="231F20"/>
        </w:rPr>
        <w:t>Provide accurate</w:t>
      </w:r>
      <w:r>
        <w:rPr>
          <w:color w:val="231F20"/>
          <w:spacing w:val="-1"/>
        </w:rPr>
        <w:t> </w:t>
      </w:r>
      <w:r>
        <w:rPr>
          <w:color w:val="231F20"/>
        </w:rPr>
        <w:t>and efficient skills</w:t>
      </w:r>
      <w:r>
        <w:rPr>
          <w:color w:val="231F20"/>
        </w:rPr>
        <w:t> assessments for teacher migration to Australia</w:t>
      </w:r>
      <w:r>
        <w:rPr/>
      </w:r>
    </w:p>
    <w:p>
      <w:pPr>
        <w:pStyle w:val="BodyText"/>
        <w:spacing w:line="240" w:lineRule="auto"/>
        <w:ind w:left="338" w:right="46" w:hanging="227"/>
        <w:jc w:val="left"/>
      </w:pPr>
      <w:r>
        <w:rPr>
          <w:rFonts w:ascii="Arial" w:hAnsi="Arial"/>
          <w:color w:val="00757A"/>
        </w:rPr>
        <w:t>ϐ </w:t>
      </w:r>
      <w:r>
        <w:rPr>
          <w:rFonts w:ascii="Arial" w:hAnsi="Arial"/>
          <w:color w:val="00757A"/>
          <w:spacing w:val="8"/>
        </w:rPr>
        <w:t> </w:t>
      </w:r>
      <w:r>
        <w:rPr>
          <w:color w:val="231F20"/>
        </w:rPr>
        <w:t>Strengthen</w:t>
      </w:r>
      <w:r>
        <w:rPr>
          <w:color w:val="231F20"/>
          <w:spacing w:val="1"/>
        </w:rPr>
        <w:t> </w:t>
      </w:r>
      <w:r>
        <w:rPr>
          <w:color w:val="231F20"/>
        </w:rPr>
        <w:t>collaboration</w:t>
      </w:r>
      <w:r>
        <w:rPr>
          <w:color w:val="231F20"/>
          <w:spacing w:val="1"/>
        </w:rPr>
        <w:t> </w:t>
      </w:r>
      <w:r>
        <w:rPr>
          <w:color w:val="231F20"/>
        </w:rPr>
        <w:t>and</w:t>
      </w:r>
      <w:r>
        <w:rPr>
          <w:color w:val="231F20"/>
          <w:spacing w:val="1"/>
        </w:rPr>
        <w:t> </w:t>
      </w:r>
      <w:r>
        <w:rPr>
          <w:color w:val="231F20"/>
        </w:rPr>
        <w:t>cooperation</w:t>
      </w:r>
      <w:r>
        <w:rPr>
          <w:color w:val="231F20"/>
        </w:rPr>
        <w:t> with stakeholders and all educators</w:t>
      </w:r>
      <w:r>
        <w:rPr/>
      </w:r>
    </w:p>
    <w:p>
      <w:pPr>
        <w:pStyle w:val="BodyText"/>
        <w:spacing w:line="240" w:lineRule="auto"/>
        <w:ind w:left="338" w:right="493" w:hanging="227"/>
        <w:jc w:val="left"/>
      </w:pPr>
      <w:r>
        <w:rPr>
          <w:rFonts w:ascii="Arial" w:hAnsi="Arial" w:cs="Arial" w:eastAsia="Arial"/>
          <w:color w:val="00757A"/>
        </w:rPr>
        <w:t>ϐ </w:t>
      </w:r>
      <w:r>
        <w:rPr>
          <w:rFonts w:ascii="Arial" w:hAnsi="Arial" w:cs="Arial" w:eastAsia="Arial"/>
          <w:color w:val="00757A"/>
          <w:spacing w:val="8"/>
        </w:rPr>
        <w:t> </w:t>
      </w:r>
      <w:r>
        <w:rPr>
          <w:color w:val="231F20"/>
        </w:rPr>
        <w:t>Use</w:t>
      </w:r>
      <w:r>
        <w:rPr>
          <w:color w:val="231F20"/>
          <w:spacing w:val="1"/>
        </w:rPr>
        <w:t> </w:t>
      </w:r>
      <w:r>
        <w:rPr>
          <w:color w:val="231F20"/>
        </w:rPr>
        <w:t>new technologies</w:t>
      </w:r>
      <w:r>
        <w:rPr>
          <w:color w:val="231F20"/>
          <w:spacing w:val="1"/>
        </w:rPr>
        <w:t> </w:t>
      </w:r>
      <w:r>
        <w:rPr>
          <w:color w:val="231F20"/>
        </w:rPr>
        <w:t>to</w:t>
      </w:r>
      <w:r>
        <w:rPr>
          <w:color w:val="231F20"/>
          <w:spacing w:val="1"/>
        </w:rPr>
        <w:t> </w:t>
      </w:r>
      <w:r>
        <w:rPr>
          <w:color w:val="231F20"/>
        </w:rPr>
        <w:t>enhance</w:t>
      </w:r>
      <w:r>
        <w:rPr>
          <w:color w:val="231F20"/>
        </w:rPr>
        <w:t> and strengthen AITSL’s capacity and capabilities</w:t>
      </w:r>
      <w:r>
        <w:rPr/>
      </w:r>
    </w:p>
    <w:p>
      <w:pPr>
        <w:pStyle w:val="BodyText"/>
        <w:spacing w:line="240" w:lineRule="auto"/>
        <w:ind w:left="338" w:right="118" w:hanging="227"/>
        <w:jc w:val="left"/>
      </w:pPr>
      <w:r>
        <w:rPr>
          <w:rFonts w:ascii="Arial" w:hAnsi="Arial"/>
          <w:color w:val="00757A"/>
        </w:rPr>
        <w:t>ϐ </w:t>
      </w:r>
      <w:r>
        <w:rPr>
          <w:rFonts w:ascii="Arial" w:hAnsi="Arial"/>
          <w:color w:val="00757A"/>
          <w:spacing w:val="8"/>
        </w:rPr>
        <w:t> </w:t>
      </w:r>
      <w:r>
        <w:rPr>
          <w:color w:val="231F20"/>
        </w:rPr>
        <w:t>Consolidate</w:t>
      </w:r>
      <w:r>
        <w:rPr>
          <w:color w:val="231F20"/>
          <w:spacing w:val="1"/>
        </w:rPr>
        <w:t> </w:t>
      </w:r>
      <w:r>
        <w:rPr>
          <w:color w:val="231F20"/>
        </w:rPr>
        <w:t>and strengthen</w:t>
      </w:r>
      <w:r>
        <w:rPr>
          <w:color w:val="231F20"/>
          <w:spacing w:val="1"/>
        </w:rPr>
        <w:t> </w:t>
      </w:r>
      <w:r>
        <w:rPr>
          <w:color w:val="231F20"/>
        </w:rPr>
        <w:t>our</w:t>
      </w:r>
      <w:r>
        <w:rPr>
          <w:color w:val="231F20"/>
          <w:spacing w:val="1"/>
        </w:rPr>
        <w:t> </w:t>
      </w:r>
      <w:r>
        <w:rPr>
          <w:color w:val="231F20"/>
        </w:rPr>
        <w:t>resource</w:t>
      </w:r>
      <w:r>
        <w:rPr>
          <w:color w:val="231F20"/>
        </w:rPr>
        <w:t> base</w:t>
      </w:r>
      <w:r>
        <w:rPr>
          <w:color w:val="231F20"/>
          <w:spacing w:val="-2"/>
        </w:rPr>
        <w:t> </w:t>
      </w:r>
      <w:r>
        <w:rPr>
          <w:color w:val="231F20"/>
        </w:rPr>
        <w:t>and</w:t>
      </w:r>
      <w:r>
        <w:rPr>
          <w:color w:val="231F20"/>
          <w:spacing w:val="-2"/>
        </w:rPr>
        <w:t> </w:t>
      </w:r>
      <w:r>
        <w:rPr>
          <w:color w:val="231F20"/>
        </w:rPr>
        <w:t>use</w:t>
      </w:r>
      <w:r>
        <w:rPr>
          <w:color w:val="231F20"/>
          <w:spacing w:val="-1"/>
        </w:rPr>
        <w:t> </w:t>
      </w:r>
      <w:r>
        <w:rPr>
          <w:color w:val="231F20"/>
        </w:rPr>
        <w:t>resources</w:t>
      </w:r>
      <w:r>
        <w:rPr>
          <w:color w:val="231F20"/>
          <w:spacing w:val="-2"/>
        </w:rPr>
        <w:t> </w:t>
      </w:r>
      <w:r>
        <w:rPr>
          <w:color w:val="231F20"/>
        </w:rPr>
        <w:t>efficiently</w:t>
      </w:r>
      <w:r>
        <w:rPr>
          <w:color w:val="231F20"/>
          <w:spacing w:val="-1"/>
        </w:rPr>
        <w:t> </w:t>
      </w:r>
      <w:r>
        <w:rPr>
          <w:color w:val="231F20"/>
        </w:rPr>
        <w:t>to</w:t>
      </w:r>
      <w:r>
        <w:rPr>
          <w:color w:val="231F20"/>
        </w:rPr>
        <w:t> maximise our impact</w:t>
      </w:r>
      <w:r>
        <w:rPr/>
      </w:r>
    </w:p>
    <w:p>
      <w:pPr>
        <w:spacing w:line="240" w:lineRule="auto" w:before="0"/>
        <w:rPr>
          <w:rFonts w:ascii="Swis721 Lt BT" w:hAnsi="Swis721 Lt BT" w:cs="Swis721 Lt BT" w:eastAsia="Swis721 Lt BT"/>
          <w:sz w:val="18"/>
          <w:szCs w:val="18"/>
        </w:rPr>
      </w:pPr>
    </w:p>
    <w:p>
      <w:pPr>
        <w:pStyle w:val="Heading8"/>
        <w:spacing w:line="240" w:lineRule="auto"/>
        <w:ind w:right="0"/>
        <w:jc w:val="left"/>
      </w:pPr>
      <w:r>
        <w:rPr>
          <w:color w:val="00757A"/>
        </w:rPr>
        <w:t>Goals</w:t>
      </w:r>
      <w:r>
        <w:rPr/>
      </w:r>
    </w:p>
    <w:p>
      <w:pPr>
        <w:pStyle w:val="BodyText"/>
        <w:spacing w:line="240" w:lineRule="auto" w:before="106"/>
        <w:ind w:left="337" w:right="118" w:hanging="227"/>
        <w:jc w:val="left"/>
      </w:pPr>
      <w:r>
        <w:rPr>
          <w:rFonts w:ascii="Arial" w:hAnsi="Arial"/>
          <w:color w:val="00757A"/>
        </w:rPr>
        <w:t>ϐ </w:t>
      </w:r>
      <w:r>
        <w:rPr>
          <w:rFonts w:ascii="Arial" w:hAnsi="Arial"/>
          <w:color w:val="00757A"/>
          <w:spacing w:val="8"/>
        </w:rPr>
        <w:t> </w:t>
      </w:r>
      <w:r>
        <w:rPr>
          <w:color w:val="231F20"/>
        </w:rPr>
        <w:t>Strengthened</w:t>
      </w:r>
      <w:r>
        <w:rPr>
          <w:color w:val="231F20"/>
          <w:spacing w:val="1"/>
        </w:rPr>
        <w:t> </w:t>
      </w:r>
      <w:r>
        <w:rPr>
          <w:color w:val="231F20"/>
        </w:rPr>
        <w:t>capability and</w:t>
      </w:r>
      <w:r>
        <w:rPr>
          <w:color w:val="231F20"/>
          <w:spacing w:val="1"/>
        </w:rPr>
        <w:t> </w:t>
      </w:r>
      <w:r>
        <w:rPr>
          <w:color w:val="231F20"/>
        </w:rPr>
        <w:t>a</w:t>
      </w:r>
      <w:r>
        <w:rPr>
          <w:color w:val="231F20"/>
          <w:spacing w:val="1"/>
        </w:rPr>
        <w:t> </w:t>
      </w:r>
      <w:r>
        <w:rPr>
          <w:color w:val="231F20"/>
        </w:rPr>
        <w:t>shared</w:t>
      </w:r>
      <w:r>
        <w:rPr>
          <w:color w:val="231F20"/>
        </w:rPr>
        <w:t> commitment to professional growth</w:t>
      </w:r>
      <w:r>
        <w:rPr/>
      </w:r>
    </w:p>
    <w:p>
      <w:pPr>
        <w:pStyle w:val="BodyText"/>
        <w:spacing w:line="240" w:lineRule="auto"/>
        <w:ind w:left="337" w:right="46" w:hanging="227"/>
        <w:jc w:val="left"/>
      </w:pPr>
      <w:r>
        <w:rPr>
          <w:rFonts w:ascii="Arial" w:hAnsi="Arial"/>
          <w:color w:val="00757A"/>
        </w:rPr>
        <w:t>ϐ </w:t>
      </w:r>
      <w:r>
        <w:rPr>
          <w:rFonts w:ascii="Arial" w:hAnsi="Arial"/>
          <w:color w:val="00757A"/>
          <w:spacing w:val="8"/>
        </w:rPr>
        <w:t> </w:t>
      </w:r>
      <w:r>
        <w:rPr>
          <w:color w:val="231F20"/>
        </w:rPr>
        <w:t>Use evidence</w:t>
      </w:r>
      <w:r>
        <w:rPr>
          <w:color w:val="231F20"/>
          <w:spacing w:val="1"/>
        </w:rPr>
        <w:t> </w:t>
      </w:r>
      <w:r>
        <w:rPr>
          <w:color w:val="231F20"/>
        </w:rPr>
        <w:t>to</w:t>
      </w:r>
      <w:r>
        <w:rPr>
          <w:color w:val="231F20"/>
          <w:spacing w:val="1"/>
        </w:rPr>
        <w:t> </w:t>
      </w:r>
      <w:r>
        <w:rPr>
          <w:color w:val="231F20"/>
        </w:rPr>
        <w:t>inform practice</w:t>
      </w:r>
      <w:r>
        <w:rPr>
          <w:color w:val="231F20"/>
          <w:spacing w:val="1"/>
        </w:rPr>
        <w:t> </w:t>
      </w:r>
      <w:r>
        <w:rPr>
          <w:color w:val="231F20"/>
        </w:rPr>
        <w:t>and</w:t>
      </w:r>
      <w:r>
        <w:rPr>
          <w:color w:val="231F20"/>
        </w:rPr>
        <w:t> improve learner outcomes</w:t>
      </w:r>
      <w:r>
        <w:rPr/>
      </w:r>
    </w:p>
    <w:p>
      <w:pPr>
        <w:pStyle w:val="BodyText"/>
        <w:spacing w:line="240" w:lineRule="auto"/>
        <w:ind w:right="0"/>
        <w:jc w:val="left"/>
      </w:pPr>
      <w:r>
        <w:rPr>
          <w:rFonts w:ascii="Arial" w:hAnsi="Arial"/>
          <w:color w:val="00757A"/>
        </w:rPr>
        <w:t>ϐ </w:t>
      </w:r>
      <w:r>
        <w:rPr>
          <w:rFonts w:ascii="Arial" w:hAnsi="Arial"/>
          <w:color w:val="00757A"/>
          <w:spacing w:val="9"/>
        </w:rPr>
        <w:t> </w:t>
      </w:r>
      <w:r>
        <w:rPr>
          <w:color w:val="231F20"/>
        </w:rPr>
        <w:t>A</w:t>
      </w:r>
      <w:r>
        <w:rPr>
          <w:color w:val="231F20"/>
          <w:spacing w:val="1"/>
        </w:rPr>
        <w:t> </w:t>
      </w:r>
      <w:r>
        <w:rPr>
          <w:color w:val="231F20"/>
        </w:rPr>
        <w:t>valued</w:t>
      </w:r>
      <w:r>
        <w:rPr>
          <w:color w:val="231F20"/>
          <w:spacing w:val="1"/>
        </w:rPr>
        <w:t> </w:t>
      </w:r>
      <w:r>
        <w:rPr>
          <w:color w:val="231F20"/>
        </w:rPr>
        <w:t>profession</w:t>
      </w:r>
      <w:r>
        <w:rPr/>
      </w:r>
    </w:p>
    <w:p>
      <w:pPr>
        <w:pStyle w:val="Heading5"/>
        <w:spacing w:line="241" w:lineRule="auto" w:before="61"/>
        <w:ind w:right="121"/>
        <w:jc w:val="left"/>
        <w:rPr>
          <w:b w:val="0"/>
          <w:bCs w:val="0"/>
        </w:rPr>
      </w:pPr>
      <w:r>
        <w:rPr>
          <w:b w:val="0"/>
          <w:bCs w:val="0"/>
        </w:rPr>
        <w:br w:type="column"/>
      </w:r>
      <w:r>
        <w:rPr>
          <w:color w:val="005E63"/>
        </w:rPr>
        <w:t>PERFORMANCE MEASURES</w:t>
      </w:r>
      <w:r>
        <w:rPr>
          <w:color w:val="005E63"/>
        </w:rPr>
        <w:t> 2018–19</w:t>
      </w:r>
      <w:r>
        <w:rPr>
          <w:b w:val="0"/>
          <w:bCs w:val="0"/>
        </w:rPr>
      </w:r>
    </w:p>
    <w:p>
      <w:pPr>
        <w:pStyle w:val="BodyText"/>
        <w:spacing w:line="240" w:lineRule="auto" w:before="213"/>
        <w:ind w:right="164"/>
        <w:jc w:val="left"/>
      </w:pPr>
      <w:r>
        <w:rPr>
          <w:color w:val="231F20"/>
        </w:rPr>
        <w:t>AITSL has established performance measures and targets to ensure it delivers on its priorities and has maximum impact. AITSL’s performance against these measures for 2018–19 was as follows:</w:t>
      </w:r>
      <w:r>
        <w:rPr/>
      </w:r>
    </w:p>
    <w:p>
      <w:pPr>
        <w:spacing w:line="240" w:lineRule="auto" w:before="5"/>
        <w:rPr>
          <w:rFonts w:ascii="Swis721 Lt BT" w:hAnsi="Swis721 Lt BT" w:cs="Swis721 Lt BT" w:eastAsia="Swis721 Lt BT"/>
          <w:sz w:val="12"/>
          <w:szCs w:val="12"/>
        </w:rPr>
      </w:pPr>
    </w:p>
    <w:p>
      <w:pPr>
        <w:spacing w:line="200" w:lineRule="atLeast"/>
        <w:ind w:left="110"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shape style="width:191.35pt;height:81.650pt;mso-position-horizontal-relative:char;mso-position-vertical-relative:line" type="#_x0000_t202" filled="true" fillcolor="#ebf0c9" stroked="false">
            <v:textbox inset="0,0,0,0">
              <w:txbxContent>
                <w:p>
                  <w:pPr>
                    <w:spacing w:before="139"/>
                    <w:ind w:left="226" w:right="349"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AITSL plays a key role in successfully delivering the government’s response to the </w:t>
                  </w:r>
                  <w:r>
                    <w:rPr>
                      <w:rFonts w:ascii="Swis721 Lt BT" w:hAnsi="Swis721 Lt BT" w:cs="Swis721 Lt BT" w:eastAsia="Swis721 Lt BT"/>
                      <w:color w:val="231F20"/>
                      <w:spacing w:val="-26"/>
                      <w:sz w:val="19"/>
                      <w:szCs w:val="19"/>
                    </w:rPr>
                    <w:t>T</w:t>
                  </w:r>
                  <w:r>
                    <w:rPr>
                      <w:rFonts w:ascii="Swis721 Lt BT" w:hAnsi="Swis721 Lt BT" w:cs="Swis721 Lt BT" w:eastAsia="Swis721 Lt BT"/>
                      <w:color w:val="231F20"/>
                      <w:sz w:val="19"/>
                      <w:szCs w:val="19"/>
                    </w:rPr>
                    <w:t>eacher Education Ministerial</w:t>
                  </w:r>
                  <w:r>
                    <w:rPr>
                      <w:rFonts w:ascii="Swis721 Lt BT" w:hAnsi="Swis721 Lt BT" w:cs="Swis721 Lt BT" w:eastAsia="Swis721 Lt BT"/>
                      <w:color w:val="231F20"/>
                      <w:sz w:val="19"/>
                      <w:szCs w:val="19"/>
                    </w:rPr>
                    <w:t> Advisory Group (TEMAG) report, measured through progress against the agreed workplan.</w:t>
                  </w:r>
                  <w:r>
                    <w:rPr>
                      <w:rFonts w:ascii="Swis721 Lt BT" w:hAnsi="Swis721 Lt BT" w:cs="Swis721 Lt BT" w:eastAsia="Swis721 Lt BT"/>
                      <w:sz w:val="19"/>
                      <w:szCs w:val="19"/>
                    </w:rPr>
                  </w:r>
                </w:p>
              </w:txbxContent>
            </v:textbox>
            <v:fill type="solid"/>
            <w10:wrap type="none"/>
          </v:shape>
        </w:pict>
      </w:r>
      <w:r>
        <w:rPr>
          <w:rFonts w:ascii="Swis721 Lt BT" w:hAnsi="Swis721 Lt BT" w:cs="Swis721 Lt BT" w:eastAsia="Swis721 Lt BT"/>
          <w:sz w:val="20"/>
          <w:szCs w:val="20"/>
        </w:rPr>
      </w:r>
    </w:p>
    <w:p>
      <w:pPr>
        <w:pStyle w:val="BodyText"/>
        <w:spacing w:line="240" w:lineRule="auto" w:before="78"/>
        <w:ind w:right="255"/>
        <w:jc w:val="left"/>
      </w:pPr>
      <w:r>
        <w:rPr>
          <w:color w:val="231F20"/>
        </w:rPr>
        <w:t>The work related to TEMAG covers six key reform areas: selection, quality assurance, robust assessment, induction, professional experience, and national research and workforce planning. </w:t>
      </w:r>
      <w:r>
        <w:rPr>
          <w:color w:val="231F20"/>
          <w:spacing w:val="-2"/>
        </w:rPr>
        <w:t>Key</w:t>
      </w:r>
      <w:r>
        <w:rPr>
          <w:color w:val="231F20"/>
        </w:rPr>
        <w:t> progress against</w:t>
      </w:r>
      <w:r>
        <w:rPr>
          <w:color w:val="231F20"/>
          <w:spacing w:val="22"/>
        </w:rPr>
        <w:t> </w:t>
      </w:r>
      <w:r>
        <w:rPr>
          <w:color w:val="231F20"/>
        </w:rPr>
        <w:t>these measures in 2018–19 includes:</w:t>
      </w:r>
      <w:r>
        <w:rPr/>
      </w:r>
    </w:p>
    <w:p>
      <w:pPr>
        <w:pStyle w:val="BodyText"/>
        <w:spacing w:line="240" w:lineRule="auto"/>
        <w:ind w:left="337" w:right="296" w:hanging="227"/>
        <w:jc w:val="left"/>
      </w:pPr>
      <w:r>
        <w:rPr>
          <w:rFonts w:ascii="Arial" w:hAnsi="Arial"/>
          <w:color w:val="00757A"/>
        </w:rPr>
        <w:t>ϐ </w:t>
      </w:r>
      <w:r>
        <w:rPr>
          <w:rFonts w:ascii="Arial" w:hAnsi="Arial"/>
          <w:color w:val="00757A"/>
          <w:spacing w:val="8"/>
        </w:rPr>
        <w:t> </w:t>
      </w:r>
      <w:r>
        <w:rPr>
          <w:rFonts w:ascii="Swis721 BT" w:hAnsi="Swis721 BT"/>
          <w:b/>
          <w:color w:val="231F20"/>
        </w:rPr>
        <w:t>Selection:</w:t>
      </w:r>
      <w:r>
        <w:rPr>
          <w:rFonts w:ascii="Swis721 BT" w:hAnsi="Swis721 BT"/>
          <w:b/>
          <w:color w:val="231F20"/>
          <w:spacing w:val="-4"/>
        </w:rPr>
        <w:t> </w:t>
      </w:r>
      <w:r>
        <w:rPr>
          <w:color w:val="231F20"/>
        </w:rPr>
        <w:t>37</w:t>
      </w:r>
      <w:r>
        <w:rPr>
          <w:color w:val="231F20"/>
          <w:spacing w:val="1"/>
        </w:rPr>
        <w:t> </w:t>
      </w:r>
      <w:r>
        <w:rPr>
          <w:color w:val="231F20"/>
        </w:rPr>
        <w:t>out of</w:t>
      </w:r>
      <w:r>
        <w:rPr>
          <w:color w:val="231F20"/>
          <w:spacing w:val="1"/>
        </w:rPr>
        <w:t> </w:t>
      </w:r>
      <w:r>
        <w:rPr>
          <w:color w:val="231F20"/>
        </w:rPr>
        <w:t>48 ITE</w:t>
      </w:r>
      <w:r>
        <w:rPr>
          <w:color w:val="231F20"/>
          <w:spacing w:val="1"/>
        </w:rPr>
        <w:t> </w:t>
      </w:r>
      <w:r>
        <w:rPr>
          <w:color w:val="231F20"/>
        </w:rPr>
        <w:t>providers</w:t>
      </w:r>
      <w:r>
        <w:rPr>
          <w:color w:val="231F20"/>
        </w:rPr>
        <w:t> have updated their websites to include information on the inclusion of non- academic capabilities in their selection processes.</w:t>
      </w:r>
      <w:r>
        <w:rPr/>
      </w:r>
    </w:p>
    <w:p>
      <w:pPr>
        <w:pStyle w:val="BodyText"/>
        <w:spacing w:line="240" w:lineRule="auto"/>
        <w:ind w:left="337" w:right="121" w:hanging="227"/>
        <w:jc w:val="left"/>
      </w:pPr>
      <w:r>
        <w:rPr>
          <w:rFonts w:ascii="Arial" w:hAnsi="Arial"/>
          <w:color w:val="00757A"/>
        </w:rPr>
        <w:t>ϐ </w:t>
      </w:r>
      <w:r>
        <w:rPr>
          <w:rFonts w:ascii="Arial" w:hAnsi="Arial"/>
          <w:color w:val="00757A"/>
          <w:spacing w:val="8"/>
        </w:rPr>
        <w:t> </w:t>
      </w:r>
      <w:r>
        <w:rPr>
          <w:rFonts w:ascii="Swis721 BT" w:hAnsi="Swis721 BT"/>
          <w:b/>
          <w:color w:val="231F20"/>
        </w:rPr>
        <w:t>Quality</w:t>
      </w:r>
      <w:r>
        <w:rPr>
          <w:rFonts w:ascii="Swis721 BT" w:hAnsi="Swis721 BT"/>
          <w:b/>
          <w:color w:val="231F20"/>
          <w:spacing w:val="1"/>
        </w:rPr>
        <w:t> </w:t>
      </w:r>
      <w:r>
        <w:rPr>
          <w:rFonts w:ascii="Swis721 BT" w:hAnsi="Swis721 BT"/>
          <w:b/>
          <w:color w:val="231F20"/>
        </w:rPr>
        <w:t>Assurance:</w:t>
      </w:r>
      <w:r>
        <w:rPr>
          <w:rFonts w:ascii="Swis721 BT" w:hAnsi="Swis721 BT"/>
          <w:b/>
          <w:color w:val="231F20"/>
          <w:spacing w:val="-4"/>
        </w:rPr>
        <w:t> </w:t>
      </w:r>
      <w:r>
        <w:rPr>
          <w:color w:val="231F20"/>
        </w:rPr>
        <w:t>AITSL</w:t>
      </w:r>
      <w:r>
        <w:rPr>
          <w:color w:val="231F20"/>
          <w:spacing w:val="1"/>
        </w:rPr>
        <w:t> </w:t>
      </w:r>
      <w:r>
        <w:rPr>
          <w:color w:val="231F20"/>
        </w:rPr>
        <w:t>has</w:t>
      </w:r>
      <w:r>
        <w:rPr>
          <w:color w:val="231F20"/>
          <w:spacing w:val="1"/>
        </w:rPr>
        <w:t> </w:t>
      </w:r>
      <w:r>
        <w:rPr>
          <w:color w:val="231F20"/>
        </w:rPr>
        <w:t>established</w:t>
      </w:r>
      <w:r>
        <w:rPr>
          <w:color w:val="231F20"/>
        </w:rPr>
        <w:t> and convenes a Standard Setting Advisory Group, which provides independent</w:t>
      </w:r>
      <w:r>
        <w:rPr/>
      </w:r>
    </w:p>
    <w:p>
      <w:pPr>
        <w:pStyle w:val="BodyText"/>
        <w:spacing w:line="240" w:lineRule="auto" w:before="0"/>
        <w:ind w:left="337" w:right="255"/>
        <w:jc w:val="left"/>
      </w:pPr>
      <w:r>
        <w:rPr>
          <w:color w:val="231F20"/>
        </w:rPr>
        <w:t>expert advice across the range of AITSL’s standards-based assessment work. The group has provided advice to AITSL on the operational principles for the Expert Advisory Group (EAG) and methodologies for accreditation, standard-setting, and teaching performance assessment </w:t>
      </w:r>
      <w:r>
        <w:rPr>
          <w:color w:val="231F20"/>
          <w:spacing w:val="-3"/>
        </w:rPr>
        <w:t>(TPA)</w:t>
      </w:r>
      <w:r>
        <w:rPr>
          <w:color w:val="231F20"/>
        </w:rPr>
        <w:t> benchmarking.</w:t>
      </w:r>
      <w:r>
        <w:rPr/>
      </w:r>
    </w:p>
    <w:p>
      <w:pPr>
        <w:pStyle w:val="BodyText"/>
        <w:spacing w:line="240" w:lineRule="auto"/>
        <w:ind w:left="337" w:right="255" w:hanging="227"/>
        <w:jc w:val="left"/>
      </w:pPr>
      <w:r>
        <w:rPr>
          <w:rFonts w:ascii="Arial" w:hAnsi="Arial"/>
          <w:color w:val="00757A"/>
        </w:rPr>
        <w:t>ϐ </w:t>
      </w:r>
      <w:r>
        <w:rPr>
          <w:rFonts w:ascii="Arial" w:hAnsi="Arial"/>
          <w:color w:val="00757A"/>
          <w:spacing w:val="8"/>
        </w:rPr>
        <w:t> </w:t>
      </w:r>
      <w:r>
        <w:rPr>
          <w:rFonts w:ascii="Swis721 BT" w:hAnsi="Swis721 BT"/>
          <w:b/>
          <w:color w:val="231F20"/>
        </w:rPr>
        <w:t>Robust</w:t>
      </w:r>
      <w:r>
        <w:rPr>
          <w:rFonts w:ascii="Swis721 BT" w:hAnsi="Swis721 BT"/>
          <w:b/>
          <w:color w:val="231F20"/>
          <w:spacing w:val="1"/>
        </w:rPr>
        <w:t> </w:t>
      </w:r>
      <w:r>
        <w:rPr>
          <w:rFonts w:ascii="Swis721 BT" w:hAnsi="Swis721 BT"/>
          <w:b/>
          <w:color w:val="231F20"/>
        </w:rPr>
        <w:t>Assessment:</w:t>
      </w:r>
      <w:r>
        <w:rPr>
          <w:rFonts w:ascii="Swis721 BT" w:hAnsi="Swis721 BT"/>
          <w:b/>
          <w:color w:val="231F20"/>
          <w:spacing w:val="-3"/>
        </w:rPr>
        <w:t> </w:t>
      </w:r>
      <w:r>
        <w:rPr>
          <w:color w:val="231F20"/>
        </w:rPr>
        <w:t>AITSL</w:t>
      </w:r>
      <w:r>
        <w:rPr>
          <w:color w:val="231F20"/>
          <w:spacing w:val="1"/>
        </w:rPr>
        <w:t> </w:t>
      </w:r>
      <w:r>
        <w:rPr>
          <w:color w:val="231F20"/>
        </w:rPr>
        <w:t>has</w:t>
      </w:r>
      <w:r>
        <w:rPr>
          <w:color w:val="231F20"/>
        </w:rPr>
        <w:t> established and convenes a </w:t>
      </w:r>
      <w:r>
        <w:rPr>
          <w:color w:val="231F20"/>
          <w:spacing w:val="-26"/>
        </w:rPr>
        <w:t>T</w:t>
      </w:r>
      <w:r>
        <w:rPr>
          <w:color w:val="231F20"/>
        </w:rPr>
        <w:t>eaching</w:t>
      </w:r>
      <w:r>
        <w:rPr>
          <w:color w:val="231F20"/>
        </w:rPr>
        <w:t> </w:t>
      </w:r>
      <w:r>
        <w:rPr>
          <w:color w:val="231F20"/>
          <w:spacing w:val="-1"/>
        </w:rPr>
        <w:t>Performance</w:t>
      </w:r>
      <w:r>
        <w:rPr>
          <w:color w:val="231F20"/>
        </w:rPr>
        <w:t> Assessment EAG to ensure</w:t>
      </w:r>
      <w:r>
        <w:rPr>
          <w:color w:val="231F20"/>
          <w:spacing w:val="25"/>
        </w:rPr>
        <w:t> </w:t>
      </w:r>
      <w:r>
        <w:rPr>
          <w:color w:val="231F20"/>
        </w:rPr>
        <w:t>that all </w:t>
      </w:r>
      <w:r>
        <w:rPr>
          <w:color w:val="231F20"/>
          <w:spacing w:val="-4"/>
        </w:rPr>
        <w:t>TPAs</w:t>
      </w:r>
      <w:r>
        <w:rPr>
          <w:color w:val="231F20"/>
        </w:rPr>
        <w:t> used by ITE providers deliver</w:t>
      </w:r>
      <w:r>
        <w:rPr>
          <w:color w:val="231F20"/>
          <w:spacing w:val="21"/>
        </w:rPr>
        <w:t> </w:t>
      </w:r>
      <w:r>
        <w:rPr>
          <w:color w:val="231F20"/>
        </w:rPr>
        <w:t>an equivalent level of rigour and align with</w:t>
      </w:r>
      <w:r>
        <w:rPr>
          <w:color w:val="231F20"/>
        </w:rPr>
        <w:t> the requirements of Program Standard</w:t>
      </w:r>
      <w:r>
        <w:rPr/>
      </w:r>
    </w:p>
    <w:p>
      <w:pPr>
        <w:spacing w:before="0"/>
        <w:ind w:left="337" w:right="121" w:firstLine="0"/>
        <w:jc w:val="left"/>
        <w:rPr>
          <w:rFonts w:ascii="Swis721 Lt BT" w:hAnsi="Swis721 Lt BT" w:cs="Swis721 Lt BT" w:eastAsia="Swis721 Lt BT"/>
          <w:sz w:val="19"/>
          <w:szCs w:val="19"/>
        </w:rPr>
      </w:pPr>
      <w:r>
        <w:rPr>
          <w:rFonts w:ascii="Swis721 Lt BT"/>
          <w:color w:val="231F20"/>
          <w:sz w:val="19"/>
        </w:rPr>
        <w:t>1.2 of the </w:t>
      </w:r>
      <w:r>
        <w:rPr>
          <w:rFonts w:ascii="Swis721 Lt BT"/>
          <w:i/>
          <w:color w:val="231F20"/>
          <w:sz w:val="19"/>
        </w:rPr>
        <w:t>Accreditation of initial teacher</w:t>
      </w:r>
      <w:r>
        <w:rPr>
          <w:rFonts w:ascii="Swis721 Lt BT"/>
          <w:i/>
          <w:color w:val="231F20"/>
          <w:sz w:val="19"/>
        </w:rPr>
        <w:t> education programs in Australia: Standards and Procedures</w:t>
      </w:r>
      <w:r>
        <w:rPr>
          <w:rFonts w:ascii="Swis721 Lt BT"/>
          <w:color w:val="231F20"/>
          <w:sz w:val="19"/>
        </w:rPr>
        <w:t>.</w:t>
      </w:r>
      <w:r>
        <w:rPr>
          <w:rFonts w:ascii="Swis721 Lt BT"/>
          <w:sz w:val="19"/>
        </w:rPr>
      </w:r>
    </w:p>
    <w:p>
      <w:pPr>
        <w:spacing w:after="0"/>
        <w:jc w:val="left"/>
        <w:rPr>
          <w:rFonts w:ascii="Swis721 Lt BT" w:hAnsi="Swis721 Lt BT" w:cs="Swis721 Lt BT" w:eastAsia="Swis721 Lt BT"/>
          <w:sz w:val="19"/>
          <w:szCs w:val="19"/>
        </w:rPr>
        <w:sectPr>
          <w:type w:val="continuous"/>
          <w:pgSz w:w="9980" w:h="14180"/>
          <w:pgMar w:top="0" w:bottom="280" w:left="740" w:right="1020"/>
          <w:cols w:num="2" w:equalWidth="0">
            <w:col w:w="3906" w:space="261"/>
            <w:col w:w="4053"/>
          </w:cols>
        </w:sectPr>
      </w:pPr>
    </w:p>
    <w:p>
      <w:pPr>
        <w:spacing w:before="58"/>
        <w:ind w:left="0" w:right="108" w:firstLine="0"/>
        <w:jc w:val="right"/>
        <w:rPr>
          <w:rFonts w:ascii="Swis721 Lt BT" w:hAnsi="Swis721 Lt BT" w:cs="Swis721 Lt BT" w:eastAsia="Swis721 Lt BT"/>
          <w:sz w:val="14"/>
          <w:szCs w:val="14"/>
        </w:rPr>
      </w:pPr>
      <w:bookmarkStart w:name="STAKEHOLDER GUIDE" w:id="4"/>
      <w:bookmarkEnd w:id="4"/>
      <w:r>
        <w:rPr/>
      </w: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7"/>
        <w:rPr>
          <w:rFonts w:ascii="Swis721 Lt BT" w:hAnsi="Swis721 Lt BT" w:cs="Swis721 Lt BT" w:eastAsia="Swis721 Lt BT"/>
          <w:sz w:val="23"/>
          <w:szCs w:val="23"/>
        </w:rPr>
      </w:pPr>
    </w:p>
    <w:p>
      <w:pPr>
        <w:spacing w:after="0" w:line="240" w:lineRule="auto"/>
        <w:rPr>
          <w:rFonts w:ascii="Swis721 Lt BT" w:hAnsi="Swis721 Lt BT" w:cs="Swis721 Lt BT" w:eastAsia="Swis721 Lt BT"/>
          <w:sz w:val="23"/>
          <w:szCs w:val="23"/>
        </w:rPr>
        <w:sectPr>
          <w:pgSz w:w="9980" w:h="14180"/>
          <w:pgMar w:header="0" w:footer="452" w:top="360" w:bottom="640" w:left="1020" w:right="740"/>
        </w:sectPr>
      </w:pPr>
    </w:p>
    <w:p>
      <w:pPr>
        <w:spacing w:before="69"/>
        <w:ind w:left="340" w:right="0" w:hanging="227"/>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8"/>
          <w:sz w:val="19"/>
        </w:rPr>
        <w:t> </w:t>
      </w:r>
      <w:r>
        <w:rPr>
          <w:rFonts w:ascii="Swis721 BT" w:hAnsi="Swis721 BT"/>
          <w:b/>
          <w:color w:val="231F20"/>
          <w:sz w:val="19"/>
        </w:rPr>
        <w:t>Induction: </w:t>
      </w:r>
      <w:r>
        <w:rPr>
          <w:rFonts w:ascii="Swis721 Lt BT" w:hAnsi="Swis721 Lt BT"/>
          <w:color w:val="231F20"/>
          <w:sz w:val="19"/>
        </w:rPr>
        <w:t>Baseline</w:t>
      </w:r>
      <w:r>
        <w:rPr>
          <w:rFonts w:ascii="Swis721 Lt BT" w:hAnsi="Swis721 Lt BT"/>
          <w:color w:val="231F20"/>
          <w:spacing w:val="1"/>
          <w:sz w:val="19"/>
        </w:rPr>
        <w:t> </w:t>
      </w:r>
      <w:r>
        <w:rPr>
          <w:rFonts w:ascii="Swis721 Lt BT" w:hAnsi="Swis721 Lt BT"/>
          <w:color w:val="231F20"/>
          <w:sz w:val="19"/>
        </w:rPr>
        <w:t>data on</w:t>
      </w:r>
      <w:r>
        <w:rPr>
          <w:rFonts w:ascii="Swis721 Lt BT" w:hAnsi="Swis721 Lt BT"/>
          <w:color w:val="231F20"/>
          <w:spacing w:val="1"/>
          <w:sz w:val="19"/>
        </w:rPr>
        <w:t> </w:t>
      </w:r>
      <w:r>
        <w:rPr>
          <w:rFonts w:ascii="Swis721 Lt BT" w:hAnsi="Swis721 Lt BT"/>
          <w:color w:val="231F20"/>
          <w:sz w:val="19"/>
        </w:rPr>
        <w:t>the four</w:t>
      </w:r>
      <w:r>
        <w:rPr>
          <w:rFonts w:ascii="Swis721 Lt BT" w:hAnsi="Swis721 Lt BT"/>
          <w:color w:val="231F20"/>
          <w:spacing w:val="1"/>
          <w:sz w:val="19"/>
        </w:rPr>
        <w:t> </w:t>
      </w:r>
      <w:r>
        <w:rPr>
          <w:rFonts w:ascii="Swis721 Lt BT" w:hAnsi="Swis721 Lt BT"/>
          <w:color w:val="231F20"/>
          <w:sz w:val="19"/>
        </w:rPr>
        <w:t>key</w:t>
      </w:r>
      <w:r>
        <w:rPr>
          <w:rFonts w:ascii="Swis721 Lt BT" w:hAnsi="Swis721 Lt BT"/>
          <w:color w:val="231F20"/>
          <w:sz w:val="19"/>
        </w:rPr>
        <w:t> focus areas of Professional Practices, Professional Knowledge, </w:t>
      </w:r>
      <w:r>
        <w:rPr>
          <w:rFonts w:ascii="Swis721 Lt BT" w:hAnsi="Swis721 Lt BT"/>
          <w:color w:val="231F20"/>
          <w:spacing w:val="-1"/>
          <w:sz w:val="19"/>
        </w:rPr>
        <w:t>Wellbeing,</w:t>
      </w:r>
      <w:r>
        <w:rPr>
          <w:rFonts w:ascii="Swis721 Lt BT" w:hAnsi="Swis721 Lt BT"/>
          <w:color w:val="231F20"/>
          <w:sz w:val="19"/>
        </w:rPr>
        <w:t> and</w:t>
      </w:r>
      <w:r>
        <w:rPr>
          <w:rFonts w:ascii="Swis721 Lt BT" w:hAnsi="Swis721 Lt BT"/>
          <w:color w:val="231F20"/>
          <w:spacing w:val="26"/>
          <w:sz w:val="19"/>
        </w:rPr>
        <w:t> </w:t>
      </w:r>
      <w:r>
        <w:rPr>
          <w:rFonts w:ascii="Swis721 Lt BT" w:hAnsi="Swis721 Lt BT"/>
          <w:color w:val="231F20"/>
          <w:sz w:val="19"/>
        </w:rPr>
        <w:t>Orientation (as outlined in </w:t>
      </w:r>
      <w:r>
        <w:rPr>
          <w:rFonts w:ascii="Swis721 Lt BT" w:hAnsi="Swis721 Lt BT"/>
          <w:i/>
          <w:color w:val="231F20"/>
          <w:sz w:val="19"/>
        </w:rPr>
        <w:t>Graduate to</w:t>
      </w:r>
      <w:r>
        <w:rPr>
          <w:rFonts w:ascii="Swis721 Lt BT" w:hAnsi="Swis721 Lt BT"/>
          <w:i/>
          <w:color w:val="231F20"/>
          <w:sz w:val="19"/>
        </w:rPr>
        <w:t> Proficient: Australian guidelines for teacher induction into the profession</w:t>
      </w:r>
      <w:r>
        <w:rPr>
          <w:rFonts w:ascii="Swis721 Lt BT" w:hAnsi="Swis721 Lt BT"/>
          <w:color w:val="231F20"/>
          <w:sz w:val="19"/>
        </w:rPr>
        <w:t>), gathered</w:t>
      </w:r>
      <w:r>
        <w:rPr>
          <w:rFonts w:ascii="Swis721 Lt BT" w:hAnsi="Swis721 Lt BT"/>
          <w:color w:val="231F20"/>
          <w:sz w:val="19"/>
        </w:rPr>
        <w:t> through the 2016 AITSL Stakeholder Survey and reported in the ITE Data Report 2018, show that induction practices align quite strongly with these areas, but improvement is needed in supporting teacher wellbeing.</w:t>
      </w:r>
      <w:r>
        <w:rPr>
          <w:rFonts w:ascii="Swis721 Lt BT" w:hAnsi="Swis721 Lt BT"/>
          <w:sz w:val="19"/>
        </w:rPr>
      </w:r>
    </w:p>
    <w:p>
      <w:pPr>
        <w:spacing w:before="113"/>
        <w:ind w:left="340" w:right="39" w:hanging="227"/>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8"/>
          <w:sz w:val="19"/>
        </w:rPr>
        <w:t> </w:t>
      </w:r>
      <w:r>
        <w:rPr>
          <w:rFonts w:ascii="Swis721 BT" w:hAnsi="Swis721 BT"/>
          <w:b/>
          <w:color w:val="231F20"/>
          <w:sz w:val="19"/>
        </w:rPr>
        <w:t>Professional</w:t>
      </w:r>
      <w:r>
        <w:rPr>
          <w:rFonts w:ascii="Swis721 BT" w:hAnsi="Swis721 BT"/>
          <w:b/>
          <w:color w:val="231F20"/>
          <w:spacing w:val="1"/>
          <w:sz w:val="19"/>
        </w:rPr>
        <w:t> </w:t>
      </w:r>
      <w:r>
        <w:rPr>
          <w:rFonts w:ascii="Swis721 BT" w:hAnsi="Swis721 BT"/>
          <w:b/>
          <w:color w:val="231F20"/>
          <w:sz w:val="19"/>
        </w:rPr>
        <w:t>Experience:</w:t>
      </w:r>
      <w:r>
        <w:rPr>
          <w:rFonts w:ascii="Swis721 BT" w:hAnsi="Swis721 BT"/>
          <w:b/>
          <w:color w:val="231F20"/>
          <w:spacing w:val="1"/>
          <w:sz w:val="19"/>
        </w:rPr>
        <w:t> </w:t>
      </w:r>
      <w:r>
        <w:rPr>
          <w:rFonts w:ascii="Swis721 Lt BT" w:hAnsi="Swis721 Lt BT"/>
          <w:color w:val="231F20"/>
          <w:sz w:val="19"/>
        </w:rPr>
        <w:t>The</w:t>
      </w:r>
      <w:r>
        <w:rPr>
          <w:rFonts w:ascii="Swis721 Lt BT" w:hAnsi="Swis721 Lt BT"/>
          <w:color w:val="231F20"/>
          <w:spacing w:val="1"/>
          <w:sz w:val="19"/>
        </w:rPr>
        <w:t> </w:t>
      </w:r>
      <w:r>
        <w:rPr>
          <w:rFonts w:ascii="Swis721 Lt BT" w:hAnsi="Swis721 Lt BT"/>
          <w:color w:val="231F20"/>
          <w:sz w:val="19"/>
        </w:rPr>
        <w:t>2018</w:t>
      </w:r>
      <w:r>
        <w:rPr>
          <w:rFonts w:ascii="Swis721 Lt BT" w:hAnsi="Swis721 Lt BT"/>
          <w:color w:val="231F20"/>
          <w:sz w:val="19"/>
        </w:rPr>
        <w:t> report, </w:t>
      </w:r>
      <w:r>
        <w:rPr>
          <w:rFonts w:ascii="Swis721 Lt BT" w:hAnsi="Swis721 Lt BT"/>
          <w:i/>
          <w:color w:val="231F20"/>
          <w:sz w:val="19"/>
        </w:rPr>
        <w:t>TEMAG evaluation: school-university</w:t>
      </w:r>
      <w:r>
        <w:rPr>
          <w:rFonts w:ascii="Swis721 Lt BT" w:hAnsi="Swis721 Lt BT"/>
          <w:i/>
          <w:color w:val="231F20"/>
          <w:sz w:val="19"/>
        </w:rPr>
        <w:t> partnerships </w:t>
      </w:r>
      <w:r>
        <w:rPr>
          <w:rFonts w:ascii="Swis721 Lt BT" w:hAnsi="Swis721 Lt BT"/>
          <w:color w:val="231F20"/>
          <w:sz w:val="19"/>
        </w:rPr>
        <w:t>(PTR Consulting Pty Ltd,</w:t>
      </w:r>
      <w:r>
        <w:rPr>
          <w:rFonts w:ascii="Swis721 Lt BT" w:hAnsi="Swis721 Lt BT"/>
          <w:color w:val="231F20"/>
          <w:sz w:val="19"/>
        </w:rPr>
        <w:t> 2018), highlights that stakeholders</w:t>
      </w:r>
      <w:r>
        <w:rPr>
          <w:rFonts w:ascii="Swis721 Lt BT" w:hAnsi="Swis721 Lt BT"/>
          <w:sz w:val="19"/>
        </w:rPr>
      </w:r>
    </w:p>
    <w:p>
      <w:pPr>
        <w:pStyle w:val="BodyText"/>
        <w:spacing w:line="240" w:lineRule="auto" w:before="0"/>
        <w:ind w:left="340" w:right="319"/>
        <w:jc w:val="left"/>
      </w:pPr>
      <w:r>
        <w:rPr>
          <w:color w:val="231F20"/>
        </w:rPr>
        <w:t>believe good progress is being made in establishing partnership agreements, determining professional experience models and building sustainable relationships.</w:t>
      </w:r>
      <w:r>
        <w:rPr/>
      </w:r>
    </w:p>
    <w:p>
      <w:pPr>
        <w:pStyle w:val="BodyText"/>
        <w:spacing w:line="240" w:lineRule="auto"/>
        <w:ind w:left="341" w:right="78" w:hanging="227"/>
        <w:jc w:val="left"/>
      </w:pPr>
      <w:r>
        <w:rPr>
          <w:rFonts w:ascii="Arial" w:hAnsi="Arial"/>
          <w:color w:val="00757A"/>
        </w:rPr>
        <w:t>ϐ </w:t>
      </w:r>
      <w:r>
        <w:rPr>
          <w:rFonts w:ascii="Arial" w:hAnsi="Arial"/>
          <w:color w:val="00757A"/>
          <w:spacing w:val="8"/>
        </w:rPr>
        <w:t> </w:t>
      </w:r>
      <w:r>
        <w:rPr>
          <w:rFonts w:ascii="Swis721 BT" w:hAnsi="Swis721 BT"/>
          <w:b/>
          <w:color w:val="231F20"/>
          <w:spacing w:val="-1"/>
        </w:rPr>
        <w:t>Workforce</w:t>
      </w:r>
      <w:r>
        <w:rPr>
          <w:rFonts w:ascii="Swis721 BT" w:hAnsi="Swis721 BT"/>
          <w:b/>
          <w:color w:val="231F20"/>
          <w:spacing w:val="1"/>
        </w:rPr>
        <w:t> </w:t>
      </w:r>
      <w:r>
        <w:rPr>
          <w:rFonts w:ascii="Swis721 BT" w:hAnsi="Swis721 BT"/>
          <w:b/>
          <w:color w:val="231F20"/>
        </w:rPr>
        <w:t>Planning:</w:t>
      </w:r>
      <w:r>
        <w:rPr>
          <w:rFonts w:ascii="Swis721 BT" w:hAnsi="Swis721 BT"/>
          <w:b/>
          <w:color w:val="231F20"/>
          <w:spacing w:val="-3"/>
        </w:rPr>
        <w:t> </w:t>
      </w:r>
      <w:r>
        <w:rPr>
          <w:color w:val="231F20"/>
          <w:spacing w:val="-2"/>
        </w:rPr>
        <w:t>Four</w:t>
      </w:r>
      <w:r>
        <w:rPr>
          <w:color w:val="231F20"/>
          <w:spacing w:val="1"/>
        </w:rPr>
        <w:t> </w:t>
      </w:r>
      <w:r>
        <w:rPr>
          <w:color w:val="231F20"/>
        </w:rPr>
        <w:t>jurisdictions</w:t>
      </w:r>
      <w:r>
        <w:rPr>
          <w:color w:val="231F20"/>
          <w:spacing w:val="26"/>
        </w:rPr>
        <w:t> </w:t>
      </w:r>
      <w:r>
        <w:rPr>
          <w:color w:val="231F20"/>
        </w:rPr>
        <w:t>provided data to the Australian </w:t>
      </w:r>
      <w:r>
        <w:rPr>
          <w:color w:val="231F20"/>
          <w:spacing w:val="-26"/>
        </w:rPr>
        <w:t>T</w:t>
      </w:r>
      <w:r>
        <w:rPr>
          <w:color w:val="231F20"/>
        </w:rPr>
        <w:t>eacher</w:t>
      </w:r>
      <w:r>
        <w:rPr>
          <w:color w:val="231F20"/>
        </w:rPr>
        <w:t> </w:t>
      </w:r>
      <w:r>
        <w:rPr>
          <w:color w:val="231F20"/>
          <w:spacing w:val="-1"/>
        </w:rPr>
        <w:t>Workforce</w:t>
      </w:r>
      <w:r>
        <w:rPr>
          <w:color w:val="231F20"/>
        </w:rPr>
        <w:t> Data </w:t>
      </w:r>
      <w:r>
        <w:rPr>
          <w:color w:val="231F20"/>
          <w:spacing w:val="-2"/>
        </w:rPr>
        <w:t>(ATWD)</w:t>
      </w:r>
      <w:r>
        <w:rPr>
          <w:color w:val="231F20"/>
        </w:rPr>
        <w:t> Strategy in 2018,</w:t>
      </w:r>
      <w:r>
        <w:rPr>
          <w:color w:val="231F20"/>
          <w:spacing w:val="30"/>
        </w:rPr>
        <w:t> </w:t>
      </w:r>
      <w:r>
        <w:rPr>
          <w:color w:val="231F20"/>
        </w:rPr>
        <w:t>and</w:t>
      </w:r>
      <w:r>
        <w:rPr>
          <w:color w:val="231F20"/>
          <w:spacing w:val="-1"/>
        </w:rPr>
        <w:t> </w:t>
      </w:r>
      <w:r>
        <w:rPr>
          <w:color w:val="231F20"/>
        </w:rPr>
        <w:t>a fifth</w:t>
      </w:r>
      <w:r>
        <w:rPr>
          <w:color w:val="231F20"/>
          <w:spacing w:val="-1"/>
        </w:rPr>
        <w:t> </w:t>
      </w:r>
      <w:r>
        <w:rPr>
          <w:color w:val="231F20"/>
        </w:rPr>
        <w:t>will join in</w:t>
      </w:r>
      <w:r>
        <w:rPr>
          <w:color w:val="231F20"/>
          <w:spacing w:val="-1"/>
        </w:rPr>
        <w:t> </w:t>
      </w:r>
      <w:r>
        <w:rPr>
          <w:color w:val="231F20"/>
        </w:rPr>
        <w:t>2019. The remaining</w:t>
      </w:r>
      <w:r>
        <w:rPr>
          <w:color w:val="231F20"/>
        </w:rPr>
        <w:t> three will submit data once the necessary legislative changes have been made.</w:t>
      </w:r>
      <w:r>
        <w:rPr/>
      </w:r>
    </w:p>
    <w:p>
      <w:pPr>
        <w:spacing w:line="240" w:lineRule="auto" w:before="1"/>
        <w:rPr>
          <w:rFonts w:ascii="Swis721 Lt BT" w:hAnsi="Swis721 Lt BT" w:cs="Swis721 Lt BT" w:eastAsia="Swis721 Lt BT"/>
          <w:sz w:val="24"/>
          <w:szCs w:val="24"/>
        </w:rPr>
      </w:pPr>
    </w:p>
    <w:p>
      <w:pPr>
        <w:spacing w:before="0"/>
        <w:ind w:left="340" w:right="319" w:firstLine="0"/>
        <w:jc w:val="left"/>
        <w:rPr>
          <w:rFonts w:ascii="Swis721 Lt BT" w:hAnsi="Swis721 Lt BT" w:cs="Swis721 Lt BT" w:eastAsia="Swis721 Lt BT"/>
          <w:sz w:val="19"/>
          <w:szCs w:val="19"/>
        </w:rPr>
      </w:pPr>
      <w:r>
        <w:rPr/>
        <w:pict>
          <v:group style="position:absolute;margin-left:56.693001pt;margin-top:-6.989728pt;width:191.35pt;height:81.650pt;mso-position-horizontal-relative:page;mso-position-vertical-relative:paragraph;z-index:-184072" coordorigin="1134,-140" coordsize="3827,1633">
            <v:shape style="position:absolute;left:1134;top:-140;width:3827;height:1633" coordorigin="1134,-140" coordsize="3827,1633" path="m1134,-140l4961,-140,4961,1493,1134,1493,1134,-140xe" filled="true" fillcolor="#ebf0c9" stroked="false">
              <v:path arrowok="t"/>
              <v:fill type="solid"/>
            </v:shape>
            <w10:wrap type="none"/>
          </v:group>
        </w:pict>
      </w:r>
      <w:r>
        <w:rPr>
          <w:rFonts w:ascii="Swis721 Lt BT"/>
          <w:color w:val="231F20"/>
          <w:sz w:val="19"/>
        </w:rPr>
        <w:t>Increased awareness, positive attitudes toward, knowledge and use of the </w:t>
      </w:r>
      <w:r>
        <w:rPr>
          <w:rFonts w:ascii="Swis721 Lt BT"/>
          <w:i/>
          <w:color w:val="231F20"/>
          <w:sz w:val="19"/>
        </w:rPr>
        <w:t>Australian Professional Standards for</w:t>
      </w:r>
      <w:r>
        <w:rPr>
          <w:rFonts w:ascii="Swis721 Lt BT"/>
          <w:i/>
          <w:color w:val="231F20"/>
          <w:sz w:val="19"/>
        </w:rPr>
        <w:t> </w:t>
      </w:r>
      <w:r>
        <w:rPr>
          <w:rFonts w:ascii="Swis721 Lt BT"/>
          <w:i/>
          <w:color w:val="231F20"/>
          <w:spacing w:val="-3"/>
          <w:sz w:val="19"/>
        </w:rPr>
        <w:t>Teachers</w:t>
      </w:r>
      <w:r>
        <w:rPr>
          <w:rFonts w:ascii="Swis721 Lt BT"/>
          <w:color w:val="231F20"/>
          <w:spacing w:val="-3"/>
          <w:sz w:val="19"/>
        </w:rPr>
        <w:t>,</w:t>
      </w:r>
      <w:r>
        <w:rPr>
          <w:rFonts w:ascii="Swis721 Lt BT"/>
          <w:color w:val="231F20"/>
          <w:sz w:val="19"/>
        </w:rPr>
        <w:t> the </w:t>
      </w:r>
      <w:r>
        <w:rPr>
          <w:rFonts w:ascii="Swis721 Lt BT"/>
          <w:i/>
          <w:color w:val="231F20"/>
          <w:sz w:val="19"/>
        </w:rPr>
        <w:t>Australian Professional</w:t>
      </w:r>
      <w:r>
        <w:rPr>
          <w:rFonts w:ascii="Swis721 Lt BT"/>
          <w:i/>
          <w:color w:val="231F20"/>
          <w:spacing w:val="24"/>
          <w:sz w:val="19"/>
        </w:rPr>
        <w:t> </w:t>
      </w:r>
      <w:r>
        <w:rPr>
          <w:rFonts w:ascii="Swis721 Lt BT"/>
          <w:i/>
          <w:color w:val="231F20"/>
          <w:sz w:val="19"/>
        </w:rPr>
        <w:t>Standard for Principals and AITSL tools</w:t>
      </w:r>
      <w:r>
        <w:rPr>
          <w:rFonts w:ascii="Swis721 Lt BT"/>
          <w:color w:val="231F20"/>
          <w:sz w:val="19"/>
        </w:rPr>
        <w:t>,</w:t>
      </w:r>
      <w:r>
        <w:rPr>
          <w:rFonts w:ascii="Swis721 Lt BT"/>
          <w:color w:val="231F20"/>
          <w:sz w:val="19"/>
        </w:rPr>
        <w:t> measured through a </w:t>
      </w:r>
      <w:r>
        <w:rPr>
          <w:rFonts w:ascii="Swis721 Lt BT"/>
          <w:color w:val="231F20"/>
          <w:spacing w:val="-3"/>
          <w:sz w:val="19"/>
        </w:rPr>
        <w:t>survey.</w:t>
      </w:r>
      <w:r>
        <w:rPr>
          <w:rFonts w:ascii="Swis721 Lt BT"/>
          <w:sz w:val="19"/>
        </w:rPr>
      </w:r>
    </w:p>
    <w:p>
      <w:pPr>
        <w:spacing w:line="240" w:lineRule="auto" w:before="12"/>
        <w:rPr>
          <w:rFonts w:ascii="Swis721 Lt BT" w:hAnsi="Swis721 Lt BT" w:cs="Swis721 Lt BT" w:eastAsia="Swis721 Lt BT"/>
          <w:sz w:val="16"/>
          <w:szCs w:val="16"/>
        </w:rPr>
      </w:pPr>
    </w:p>
    <w:p>
      <w:pPr>
        <w:pStyle w:val="BodyText"/>
        <w:spacing w:line="240" w:lineRule="auto" w:before="0"/>
        <w:ind w:left="113" w:right="81"/>
        <w:jc w:val="both"/>
      </w:pPr>
      <w:r>
        <w:rPr>
          <w:color w:val="231F20"/>
        </w:rPr>
        <w:t>The 2019 AITSL Stakeholder Survey revealed an</w:t>
      </w:r>
      <w:r>
        <w:rPr>
          <w:color w:val="231F20"/>
          <w:spacing w:val="-2"/>
        </w:rPr>
        <w:t> </w:t>
      </w:r>
      <w:r>
        <w:rPr>
          <w:color w:val="231F20"/>
        </w:rPr>
        <w:t>overall</w:t>
      </w:r>
      <w:r>
        <w:rPr>
          <w:color w:val="231F20"/>
          <w:spacing w:val="-1"/>
        </w:rPr>
        <w:t> </w:t>
      </w:r>
      <w:r>
        <w:rPr>
          <w:color w:val="231F20"/>
        </w:rPr>
        <w:t>high</w:t>
      </w:r>
      <w:r>
        <w:rPr>
          <w:color w:val="231F20"/>
          <w:spacing w:val="-1"/>
        </w:rPr>
        <w:t> </w:t>
      </w:r>
      <w:r>
        <w:rPr>
          <w:color w:val="231F20"/>
        </w:rPr>
        <w:t>awareness</w:t>
      </w:r>
      <w:r>
        <w:rPr>
          <w:color w:val="231F20"/>
          <w:spacing w:val="-1"/>
        </w:rPr>
        <w:t> </w:t>
      </w:r>
      <w:r>
        <w:rPr>
          <w:color w:val="231F20"/>
        </w:rPr>
        <w:t>of</w:t>
      </w:r>
      <w:r>
        <w:rPr>
          <w:color w:val="231F20"/>
          <w:spacing w:val="-1"/>
        </w:rPr>
        <w:t> </w:t>
      </w:r>
      <w:r>
        <w:rPr>
          <w:color w:val="231F20"/>
        </w:rPr>
        <w:t>AITSL’s</w:t>
      </w:r>
      <w:r>
        <w:rPr>
          <w:color w:val="231F20"/>
          <w:spacing w:val="-1"/>
        </w:rPr>
        <w:t> </w:t>
      </w:r>
      <w:r>
        <w:rPr>
          <w:color w:val="231F20"/>
        </w:rPr>
        <w:t>flagship</w:t>
      </w:r>
      <w:r>
        <w:rPr>
          <w:color w:val="231F20"/>
          <w:w w:val="99"/>
        </w:rPr>
        <w:t> </w:t>
      </w:r>
      <w:r>
        <w:rPr>
          <w:color w:val="231F20"/>
        </w:rPr>
        <w:t>policies and use of AITSL’s resources.</w:t>
      </w:r>
      <w:r>
        <w:rPr/>
      </w:r>
    </w:p>
    <w:p>
      <w:pPr>
        <w:pStyle w:val="BodyText"/>
        <w:spacing w:line="240" w:lineRule="auto" w:before="0"/>
        <w:ind w:left="113" w:right="78"/>
        <w:jc w:val="left"/>
      </w:pPr>
      <w:r>
        <w:rPr>
          <w:color w:val="231F20"/>
        </w:rPr>
        <w:t>AITSL was found to maintain high levels of engagement, satisfaction and performance:</w:t>
      </w:r>
      <w:r>
        <w:rPr/>
      </w:r>
    </w:p>
    <w:p>
      <w:pPr>
        <w:spacing w:before="113"/>
        <w:ind w:left="340" w:right="78" w:hanging="227"/>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8"/>
          <w:sz w:val="19"/>
        </w:rPr>
        <w:t> </w:t>
      </w:r>
      <w:r>
        <w:rPr>
          <w:rFonts w:ascii="Swis721 Lt BT" w:hAnsi="Swis721 Lt BT"/>
          <w:color w:val="231F20"/>
          <w:spacing w:val="-1"/>
          <w:sz w:val="19"/>
        </w:rPr>
        <w:t>Awareness</w:t>
      </w:r>
      <w:r>
        <w:rPr>
          <w:rFonts w:ascii="Swis721 Lt BT" w:hAnsi="Swis721 Lt BT"/>
          <w:color w:val="231F20"/>
          <w:spacing w:val="1"/>
          <w:sz w:val="19"/>
        </w:rPr>
        <w:t> </w:t>
      </w:r>
      <w:r>
        <w:rPr>
          <w:rFonts w:ascii="Swis721 Lt BT" w:hAnsi="Swis721 Lt BT"/>
          <w:color w:val="231F20"/>
          <w:sz w:val="19"/>
        </w:rPr>
        <w:t>of the</w:t>
      </w:r>
      <w:r>
        <w:rPr>
          <w:rFonts w:ascii="Swis721 Lt BT" w:hAnsi="Swis721 Lt BT"/>
          <w:color w:val="231F20"/>
          <w:spacing w:val="1"/>
          <w:sz w:val="19"/>
        </w:rPr>
        <w:t> </w:t>
      </w:r>
      <w:r>
        <w:rPr>
          <w:rFonts w:ascii="Swis721 Lt BT" w:hAnsi="Swis721 Lt BT"/>
          <w:i/>
          <w:color w:val="231F20"/>
          <w:sz w:val="19"/>
        </w:rPr>
        <w:t>Australian</w:t>
      </w:r>
      <w:r>
        <w:rPr>
          <w:rFonts w:ascii="Swis721 Lt BT" w:hAnsi="Swis721 Lt BT"/>
          <w:i/>
          <w:color w:val="231F20"/>
          <w:spacing w:val="1"/>
          <w:sz w:val="19"/>
        </w:rPr>
        <w:t> </w:t>
      </w:r>
      <w:r>
        <w:rPr>
          <w:rFonts w:ascii="Swis721 Lt BT" w:hAnsi="Swis721 Lt BT"/>
          <w:i/>
          <w:color w:val="231F20"/>
          <w:sz w:val="19"/>
        </w:rPr>
        <w:t>Professional</w:t>
      </w:r>
      <w:r>
        <w:rPr>
          <w:rFonts w:ascii="Swis721 Lt BT" w:hAnsi="Swis721 Lt BT"/>
          <w:i/>
          <w:color w:val="231F20"/>
          <w:spacing w:val="26"/>
          <w:sz w:val="19"/>
        </w:rPr>
        <w:t> </w:t>
      </w:r>
      <w:r>
        <w:rPr>
          <w:rFonts w:ascii="Swis721 Lt BT" w:hAnsi="Swis721 Lt BT"/>
          <w:i/>
          <w:color w:val="231F20"/>
          <w:sz w:val="19"/>
        </w:rPr>
        <w:t>Standards for </w:t>
      </w:r>
      <w:r>
        <w:rPr>
          <w:rFonts w:ascii="Swis721 Lt BT" w:hAnsi="Swis721 Lt BT"/>
          <w:i/>
          <w:color w:val="231F20"/>
          <w:spacing w:val="-3"/>
          <w:sz w:val="19"/>
        </w:rPr>
        <w:t>Teachers</w:t>
      </w:r>
      <w:r>
        <w:rPr>
          <w:rFonts w:ascii="Swis721 Lt BT" w:hAnsi="Swis721 Lt BT"/>
          <w:i/>
          <w:color w:val="231F20"/>
          <w:sz w:val="19"/>
        </w:rPr>
        <w:t> </w:t>
      </w:r>
      <w:r>
        <w:rPr>
          <w:rFonts w:ascii="Swis721 Lt BT" w:hAnsi="Swis721 Lt BT"/>
          <w:color w:val="231F20"/>
          <w:sz w:val="19"/>
        </w:rPr>
        <w:t>increased from</w:t>
      </w:r>
      <w:r>
        <w:rPr>
          <w:rFonts w:ascii="Swis721 Lt BT" w:hAnsi="Swis721 Lt BT"/>
          <w:color w:val="231F20"/>
          <w:spacing w:val="21"/>
          <w:sz w:val="19"/>
        </w:rPr>
        <w:t> </w:t>
      </w:r>
      <w:r>
        <w:rPr>
          <w:rFonts w:ascii="Swis721 Lt BT" w:hAnsi="Swis721 Lt BT"/>
          <w:color w:val="231F20"/>
          <w:sz w:val="19"/>
        </w:rPr>
        <w:t>91% of stakeholders in 2016 to 97% of</w:t>
      </w:r>
      <w:r>
        <w:rPr>
          <w:rFonts w:ascii="Swis721 Lt BT" w:hAnsi="Swis721 Lt BT"/>
          <w:sz w:val="19"/>
        </w:rPr>
      </w:r>
    </w:p>
    <w:p>
      <w:pPr>
        <w:pStyle w:val="BodyText"/>
        <w:spacing w:line="240" w:lineRule="auto" w:before="0"/>
        <w:ind w:left="340" w:right="0"/>
        <w:jc w:val="left"/>
      </w:pPr>
      <w:r>
        <w:rPr>
          <w:color w:val="231F20"/>
        </w:rPr>
        <w:t>responders in 2019.</w:t>
      </w:r>
      <w:r>
        <w:rPr/>
      </w:r>
    </w:p>
    <w:p>
      <w:pPr>
        <w:spacing w:before="113"/>
        <w:ind w:left="340" w:right="78" w:hanging="227"/>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8"/>
          <w:sz w:val="19"/>
        </w:rPr>
        <w:t> </w:t>
      </w:r>
      <w:r>
        <w:rPr>
          <w:rFonts w:ascii="Swis721 Lt BT" w:hAnsi="Swis721 Lt BT"/>
          <w:color w:val="231F20"/>
          <w:spacing w:val="-1"/>
          <w:sz w:val="19"/>
        </w:rPr>
        <w:t>Awareness</w:t>
      </w:r>
      <w:r>
        <w:rPr>
          <w:rFonts w:ascii="Swis721 Lt BT" w:hAnsi="Swis721 Lt BT"/>
          <w:color w:val="231F20"/>
          <w:spacing w:val="1"/>
          <w:sz w:val="19"/>
        </w:rPr>
        <w:t> </w:t>
      </w:r>
      <w:r>
        <w:rPr>
          <w:rFonts w:ascii="Swis721 Lt BT" w:hAnsi="Swis721 Lt BT"/>
          <w:color w:val="231F20"/>
          <w:sz w:val="19"/>
        </w:rPr>
        <w:t>of the</w:t>
      </w:r>
      <w:r>
        <w:rPr>
          <w:rFonts w:ascii="Swis721 Lt BT" w:hAnsi="Swis721 Lt BT"/>
          <w:color w:val="231F20"/>
          <w:spacing w:val="1"/>
          <w:sz w:val="19"/>
        </w:rPr>
        <w:t> </w:t>
      </w:r>
      <w:r>
        <w:rPr>
          <w:rFonts w:ascii="Swis721 Lt BT" w:hAnsi="Swis721 Lt BT"/>
          <w:i/>
          <w:color w:val="231F20"/>
          <w:sz w:val="19"/>
        </w:rPr>
        <w:t>Australian</w:t>
      </w:r>
      <w:r>
        <w:rPr>
          <w:rFonts w:ascii="Swis721 Lt BT" w:hAnsi="Swis721 Lt BT"/>
          <w:i/>
          <w:color w:val="231F20"/>
          <w:spacing w:val="1"/>
          <w:sz w:val="19"/>
        </w:rPr>
        <w:t> </w:t>
      </w:r>
      <w:r>
        <w:rPr>
          <w:rFonts w:ascii="Swis721 Lt BT" w:hAnsi="Swis721 Lt BT"/>
          <w:i/>
          <w:color w:val="231F20"/>
          <w:sz w:val="19"/>
        </w:rPr>
        <w:t>Professional</w:t>
      </w:r>
      <w:r>
        <w:rPr>
          <w:rFonts w:ascii="Swis721 Lt BT" w:hAnsi="Swis721 Lt BT"/>
          <w:i/>
          <w:color w:val="231F20"/>
          <w:spacing w:val="26"/>
          <w:sz w:val="19"/>
        </w:rPr>
        <w:t> </w:t>
      </w:r>
      <w:r>
        <w:rPr>
          <w:rFonts w:ascii="Swis721 Lt BT" w:hAnsi="Swis721 Lt BT"/>
          <w:i/>
          <w:color w:val="231F20"/>
          <w:sz w:val="19"/>
        </w:rPr>
        <w:t>Standard for Principals and the Leadership</w:t>
      </w:r>
      <w:r>
        <w:rPr>
          <w:rFonts w:ascii="Swis721 Lt BT" w:hAnsi="Swis721 Lt BT"/>
          <w:i/>
          <w:color w:val="231F20"/>
          <w:sz w:val="19"/>
        </w:rPr>
        <w:t> Profiles </w:t>
      </w:r>
      <w:r>
        <w:rPr>
          <w:rFonts w:ascii="Swis721 Lt BT" w:hAnsi="Swis721 Lt BT"/>
          <w:color w:val="231F20"/>
          <w:sz w:val="19"/>
        </w:rPr>
        <w:t>was maintained at 62% of</w:t>
      </w:r>
      <w:r>
        <w:rPr>
          <w:rFonts w:ascii="Swis721 Lt BT" w:hAnsi="Swis721 Lt BT"/>
          <w:color w:val="231F20"/>
          <w:sz w:val="19"/>
        </w:rPr>
        <w:t> responders.</w:t>
      </w:r>
      <w:r>
        <w:rPr>
          <w:rFonts w:ascii="Swis721 Lt BT" w:hAnsi="Swis721 Lt BT"/>
          <w:sz w:val="19"/>
        </w:rPr>
      </w:r>
    </w:p>
    <w:p>
      <w:pPr>
        <w:spacing w:before="70"/>
        <w:ind w:left="340" w:right="514" w:hanging="227"/>
        <w:jc w:val="both"/>
        <w:rPr>
          <w:rFonts w:ascii="Swis721 Lt BT" w:hAnsi="Swis721 Lt BT" w:cs="Swis721 Lt BT" w:eastAsia="Swis721 Lt BT"/>
          <w:sz w:val="19"/>
          <w:szCs w:val="19"/>
        </w:rPr>
      </w:pPr>
      <w:r>
        <w:rPr/>
        <w:br w:type="column"/>
      </w:r>
      <w:r>
        <w:rPr>
          <w:rFonts w:ascii="Arial" w:hAnsi="Arial"/>
          <w:color w:val="00757A"/>
          <w:sz w:val="19"/>
        </w:rPr>
        <w:t>ϐ</w:t>
      </w:r>
      <w:r>
        <w:rPr>
          <w:rFonts w:ascii="Arial" w:hAnsi="Arial"/>
          <w:color w:val="00757A"/>
          <w:spacing w:val="8"/>
          <w:sz w:val="19"/>
        </w:rPr>
        <w:t> </w:t>
      </w:r>
      <w:r>
        <w:rPr>
          <w:rFonts w:ascii="Swis721 Lt BT" w:hAnsi="Swis721 Lt BT"/>
          <w:color w:val="231F20"/>
          <w:sz w:val="19"/>
        </w:rPr>
        <w:t>75% of</w:t>
      </w:r>
      <w:r>
        <w:rPr>
          <w:rFonts w:ascii="Swis721 Lt BT" w:hAnsi="Swis721 Lt BT"/>
          <w:color w:val="231F20"/>
          <w:spacing w:val="1"/>
          <w:sz w:val="19"/>
        </w:rPr>
        <w:t> </w:t>
      </w:r>
      <w:r>
        <w:rPr>
          <w:rFonts w:ascii="Swis721 Lt BT" w:hAnsi="Swis721 Lt BT"/>
          <w:color w:val="231F20"/>
          <w:sz w:val="19"/>
        </w:rPr>
        <w:t>responders in</w:t>
      </w:r>
      <w:r>
        <w:rPr>
          <w:rFonts w:ascii="Swis721 Lt BT" w:hAnsi="Swis721 Lt BT"/>
          <w:color w:val="231F20"/>
          <w:spacing w:val="1"/>
          <w:sz w:val="19"/>
        </w:rPr>
        <w:t> </w:t>
      </w:r>
      <w:r>
        <w:rPr>
          <w:rFonts w:ascii="Swis721 Lt BT" w:hAnsi="Swis721 Lt BT"/>
          <w:color w:val="231F20"/>
          <w:sz w:val="19"/>
        </w:rPr>
        <w:t>2019 were</w:t>
      </w:r>
      <w:r>
        <w:rPr>
          <w:rFonts w:ascii="Swis721 Lt BT" w:hAnsi="Swis721 Lt BT"/>
          <w:color w:val="231F20"/>
          <w:spacing w:val="1"/>
          <w:sz w:val="19"/>
        </w:rPr>
        <w:t> </w:t>
      </w:r>
      <w:r>
        <w:rPr>
          <w:rFonts w:ascii="Swis721 Lt BT" w:hAnsi="Swis721 Lt BT"/>
          <w:color w:val="231F20"/>
          <w:sz w:val="19"/>
        </w:rPr>
        <w:t>aware</w:t>
      </w:r>
      <w:r>
        <w:rPr>
          <w:rFonts w:ascii="Swis721 Lt BT" w:hAnsi="Swis721 Lt BT"/>
          <w:color w:val="231F20"/>
          <w:sz w:val="19"/>
        </w:rPr>
        <w:t> of the </w:t>
      </w:r>
      <w:r>
        <w:rPr>
          <w:rFonts w:ascii="Swis721 Lt BT" w:hAnsi="Swis721 Lt BT"/>
          <w:i/>
          <w:color w:val="231F20"/>
          <w:sz w:val="19"/>
        </w:rPr>
        <w:t>Graduate to Proficient: Australian</w:t>
      </w:r>
      <w:r>
        <w:rPr>
          <w:rFonts w:ascii="Swis721 Lt BT" w:hAnsi="Swis721 Lt BT"/>
          <w:i/>
          <w:color w:val="231F20"/>
          <w:sz w:val="19"/>
        </w:rPr>
        <w:t> guidelines for teacher induction into the profession</w:t>
      </w:r>
      <w:r>
        <w:rPr>
          <w:rFonts w:ascii="Swis721 Lt BT" w:hAnsi="Swis721 Lt BT"/>
          <w:color w:val="231F20"/>
          <w:sz w:val="19"/>
        </w:rPr>
        <w:t>.</w:t>
      </w:r>
      <w:r>
        <w:rPr>
          <w:rFonts w:ascii="Swis721 Lt BT" w:hAnsi="Swis721 Lt BT"/>
          <w:sz w:val="19"/>
        </w:rPr>
      </w:r>
    </w:p>
    <w:p>
      <w:pPr>
        <w:spacing w:before="113"/>
        <w:ind w:left="340" w:right="53" w:hanging="227"/>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8"/>
          <w:sz w:val="19"/>
        </w:rPr>
        <w:t> </w:t>
      </w:r>
      <w:r>
        <w:rPr>
          <w:rFonts w:ascii="Swis721 Lt BT" w:hAnsi="Swis721 Lt BT"/>
          <w:color w:val="231F20"/>
          <w:spacing w:val="-1"/>
          <w:sz w:val="19"/>
        </w:rPr>
        <w:t>Awareness</w:t>
      </w:r>
      <w:r>
        <w:rPr>
          <w:rFonts w:ascii="Swis721 Lt BT" w:hAnsi="Swis721 Lt BT"/>
          <w:color w:val="231F20"/>
          <w:sz w:val="19"/>
        </w:rPr>
        <w:t> of</w:t>
      </w:r>
      <w:r>
        <w:rPr>
          <w:rFonts w:ascii="Swis721 Lt BT" w:hAnsi="Swis721 Lt BT"/>
          <w:color w:val="231F20"/>
          <w:spacing w:val="1"/>
          <w:sz w:val="19"/>
        </w:rPr>
        <w:t> </w:t>
      </w:r>
      <w:r>
        <w:rPr>
          <w:rFonts w:ascii="Swis721 Lt BT" w:hAnsi="Swis721 Lt BT"/>
          <w:color w:val="231F20"/>
          <w:sz w:val="19"/>
        </w:rPr>
        <w:t>the</w:t>
      </w:r>
      <w:r>
        <w:rPr>
          <w:rFonts w:ascii="Swis721 Lt BT" w:hAnsi="Swis721 Lt BT"/>
          <w:color w:val="231F20"/>
          <w:spacing w:val="1"/>
          <w:sz w:val="19"/>
        </w:rPr>
        <w:t> </w:t>
      </w:r>
      <w:r>
        <w:rPr>
          <w:rFonts w:ascii="Swis721 Lt BT" w:hAnsi="Swis721 Lt BT"/>
          <w:i/>
          <w:color w:val="231F20"/>
          <w:sz w:val="19"/>
        </w:rPr>
        <w:t>Accreditation of</w:t>
      </w:r>
      <w:r>
        <w:rPr>
          <w:rFonts w:ascii="Swis721 Lt BT" w:hAnsi="Swis721 Lt BT"/>
          <w:i/>
          <w:color w:val="231F20"/>
          <w:spacing w:val="1"/>
          <w:sz w:val="19"/>
        </w:rPr>
        <w:t> </w:t>
      </w:r>
      <w:r>
        <w:rPr>
          <w:rFonts w:ascii="Swis721 Lt BT" w:hAnsi="Swis721 Lt BT"/>
          <w:i/>
          <w:color w:val="231F20"/>
          <w:sz w:val="19"/>
        </w:rPr>
        <w:t>initial</w:t>
      </w:r>
      <w:r>
        <w:rPr>
          <w:rFonts w:ascii="Swis721 Lt BT" w:hAnsi="Swis721 Lt BT"/>
          <w:i/>
          <w:color w:val="231F20"/>
          <w:spacing w:val="26"/>
          <w:sz w:val="19"/>
        </w:rPr>
        <w:t> </w:t>
      </w:r>
      <w:r>
        <w:rPr>
          <w:rFonts w:ascii="Swis721 Lt BT" w:hAnsi="Swis721 Lt BT"/>
          <w:i/>
          <w:color w:val="231F20"/>
          <w:sz w:val="19"/>
        </w:rPr>
        <w:t>teacher education programs in Australia:</w:t>
      </w:r>
      <w:r>
        <w:rPr>
          <w:rFonts w:ascii="Swis721 Lt BT" w:hAnsi="Swis721 Lt BT"/>
          <w:i/>
          <w:color w:val="231F20"/>
          <w:sz w:val="19"/>
        </w:rPr>
        <w:t> Standards and Procedures </w:t>
      </w:r>
      <w:r>
        <w:rPr>
          <w:rFonts w:ascii="Swis721 Lt BT" w:hAnsi="Swis721 Lt BT"/>
          <w:color w:val="231F20"/>
          <w:sz w:val="19"/>
        </w:rPr>
        <w:t>increased from</w:t>
      </w:r>
      <w:r>
        <w:rPr>
          <w:rFonts w:ascii="Swis721 Lt BT" w:hAnsi="Swis721 Lt BT"/>
          <w:color w:val="231F20"/>
          <w:sz w:val="19"/>
        </w:rPr>
        <w:t> 46% in 2016 to 60% in 2019.</w:t>
      </w:r>
      <w:r>
        <w:rPr>
          <w:rFonts w:ascii="Swis721 Lt BT" w:hAnsi="Swis721 Lt BT"/>
          <w:sz w:val="19"/>
        </w:rPr>
      </w:r>
    </w:p>
    <w:p>
      <w:pPr>
        <w:spacing w:before="113"/>
        <w:ind w:left="341" w:right="611" w:hanging="227"/>
        <w:jc w:val="left"/>
        <w:rPr>
          <w:rFonts w:ascii="Swis721 Lt BT" w:hAnsi="Swis721 Lt BT" w:cs="Swis721 Lt BT" w:eastAsia="Swis721 Lt BT"/>
          <w:sz w:val="19"/>
          <w:szCs w:val="19"/>
        </w:rPr>
      </w:pPr>
      <w:r>
        <w:rPr>
          <w:rFonts w:ascii="Arial" w:hAnsi="Arial" w:cs="Arial" w:eastAsia="Arial"/>
          <w:color w:val="00757A"/>
          <w:sz w:val="19"/>
          <w:szCs w:val="19"/>
        </w:rPr>
        <w:t>ϐ </w:t>
      </w:r>
      <w:r>
        <w:rPr>
          <w:rFonts w:ascii="Arial" w:hAnsi="Arial" w:cs="Arial" w:eastAsia="Arial"/>
          <w:color w:val="00757A"/>
          <w:spacing w:val="8"/>
          <w:sz w:val="19"/>
          <w:szCs w:val="19"/>
        </w:rPr>
        <w:t> </w:t>
      </w:r>
      <w:r>
        <w:rPr>
          <w:rFonts w:ascii="Swis721 Lt BT" w:hAnsi="Swis721 Lt BT" w:cs="Swis721 Lt BT" w:eastAsia="Swis721 Lt BT"/>
          <w:color w:val="231F20"/>
          <w:sz w:val="19"/>
          <w:szCs w:val="19"/>
        </w:rPr>
        <w:t>60% of</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teachers</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who responded</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to</w:t>
      </w:r>
      <w:r>
        <w:rPr>
          <w:rFonts w:ascii="Swis721 Lt BT" w:hAnsi="Swis721 Lt BT" w:cs="Swis721 Lt BT" w:eastAsia="Swis721 Lt BT"/>
          <w:color w:val="231F20"/>
          <w:sz w:val="19"/>
          <w:szCs w:val="19"/>
        </w:rPr>
        <w:t> the survey had used the </w:t>
      </w:r>
      <w:r>
        <w:rPr>
          <w:rFonts w:ascii="Swis721 Lt BT" w:hAnsi="Swis721 Lt BT" w:cs="Swis721 Lt BT" w:eastAsia="Swis721 Lt BT"/>
          <w:i/>
          <w:color w:val="231F20"/>
          <w:spacing w:val="-4"/>
          <w:sz w:val="19"/>
          <w:szCs w:val="19"/>
        </w:rPr>
        <w:t>Teacher</w:t>
      </w:r>
      <w:r>
        <w:rPr>
          <w:rFonts w:ascii="Swis721 Lt BT" w:hAnsi="Swis721 Lt BT" w:cs="Swis721 Lt BT" w:eastAsia="Swis721 Lt BT"/>
          <w:i/>
          <w:color w:val="231F20"/>
          <w:sz w:val="19"/>
          <w:szCs w:val="19"/>
        </w:rPr>
        <w:t> </w:t>
      </w:r>
      <w:r>
        <w:rPr>
          <w:rFonts w:ascii="Swis721 Lt BT" w:hAnsi="Swis721 Lt BT" w:cs="Swis721 Lt BT" w:eastAsia="Swis721 Lt BT"/>
          <w:i/>
          <w:color w:val="231F20"/>
          <w:spacing w:val="-1"/>
          <w:sz w:val="19"/>
          <w:szCs w:val="19"/>
        </w:rPr>
        <w:t>Self-</w:t>
      </w:r>
      <w:r>
        <w:rPr>
          <w:rFonts w:ascii="Swis721 Lt BT" w:hAnsi="Swis721 Lt BT" w:cs="Swis721 Lt BT" w:eastAsia="Swis721 Lt BT"/>
          <w:i/>
          <w:color w:val="231F20"/>
          <w:spacing w:val="27"/>
          <w:sz w:val="19"/>
          <w:szCs w:val="19"/>
        </w:rPr>
        <w:t> </w:t>
      </w:r>
      <w:r>
        <w:rPr>
          <w:rFonts w:ascii="Swis721 Lt BT" w:hAnsi="Swis721 Lt BT" w:cs="Swis721 Lt BT" w:eastAsia="Swis721 Lt BT"/>
          <w:i/>
          <w:color w:val="231F20"/>
          <w:sz w:val="19"/>
          <w:szCs w:val="19"/>
        </w:rPr>
        <w:t>Assessment </w:t>
      </w:r>
      <w:r>
        <w:rPr>
          <w:rFonts w:ascii="Swis721 Lt BT" w:hAnsi="Swis721 Lt BT" w:cs="Swis721 Lt BT" w:eastAsia="Swis721 Lt BT"/>
          <w:i/>
          <w:color w:val="231F20"/>
          <w:spacing w:val="-6"/>
          <w:sz w:val="19"/>
          <w:szCs w:val="19"/>
        </w:rPr>
        <w:t>Tool</w:t>
      </w:r>
      <w:r>
        <w:rPr>
          <w:rFonts w:ascii="Swis721 Lt BT" w:hAnsi="Swis721 Lt BT" w:cs="Swis721 Lt BT" w:eastAsia="Swis721 Lt BT"/>
          <w:i/>
          <w:color w:val="231F20"/>
          <w:sz w:val="19"/>
          <w:szCs w:val="19"/>
        </w:rPr>
        <w:t> </w:t>
      </w:r>
      <w:r>
        <w:rPr>
          <w:rFonts w:ascii="Swis721 Lt BT" w:hAnsi="Swis721 Lt BT" w:cs="Swis721 Lt BT" w:eastAsia="Swis721 Lt BT"/>
          <w:color w:val="231F20"/>
          <w:sz w:val="19"/>
          <w:szCs w:val="19"/>
        </w:rPr>
        <w:t>and 70% of those</w:t>
      </w:r>
      <w:r>
        <w:rPr>
          <w:rFonts w:ascii="Swis721 Lt BT" w:hAnsi="Swis721 Lt BT" w:cs="Swis721 Lt BT" w:eastAsia="Swis721 Lt BT"/>
          <w:color w:val="231F20"/>
          <w:spacing w:val="21"/>
          <w:sz w:val="19"/>
          <w:szCs w:val="19"/>
        </w:rPr>
        <w:t> </w:t>
      </w:r>
      <w:r>
        <w:rPr>
          <w:rFonts w:ascii="Swis721 Lt BT" w:hAnsi="Swis721 Lt BT" w:cs="Swis721 Lt BT" w:eastAsia="Swis721 Lt BT"/>
          <w:color w:val="231F20"/>
          <w:sz w:val="19"/>
          <w:szCs w:val="19"/>
        </w:rPr>
        <w:t>teachers rated the tool’s usefulness</w:t>
      </w:r>
      <w:r>
        <w:rPr>
          <w:rFonts w:ascii="Swis721 Lt BT" w:hAnsi="Swis721 Lt BT" w:cs="Swis721 Lt BT" w:eastAsia="Swis721 Lt BT"/>
          <w:sz w:val="19"/>
          <w:szCs w:val="19"/>
        </w:rPr>
      </w:r>
    </w:p>
    <w:p>
      <w:pPr>
        <w:pStyle w:val="BodyText"/>
        <w:spacing w:line="240" w:lineRule="auto" w:before="0"/>
        <w:ind w:left="341" w:right="0"/>
        <w:jc w:val="left"/>
      </w:pPr>
      <w:r>
        <w:rPr>
          <w:color w:val="231F20"/>
        </w:rPr>
        <w:t>7 out of 10 or </w:t>
      </w:r>
      <w:r>
        <w:rPr>
          <w:color w:val="231F20"/>
          <w:spacing w:val="-3"/>
        </w:rPr>
        <w:t>greater.</w:t>
      </w:r>
      <w:r>
        <w:rPr/>
      </w:r>
    </w:p>
    <w:p>
      <w:pPr>
        <w:pStyle w:val="BodyText"/>
        <w:spacing w:line="240" w:lineRule="auto"/>
        <w:ind w:left="341" w:right="142" w:hanging="227"/>
        <w:jc w:val="left"/>
      </w:pPr>
      <w:r>
        <w:rPr>
          <w:rFonts w:ascii="Arial" w:hAnsi="Arial" w:cs="Arial" w:eastAsia="Arial"/>
          <w:color w:val="00757A"/>
        </w:rPr>
        <w:t>ϐ </w:t>
      </w:r>
      <w:r>
        <w:rPr>
          <w:rFonts w:ascii="Arial" w:hAnsi="Arial" w:cs="Arial" w:eastAsia="Arial"/>
          <w:color w:val="00757A"/>
          <w:spacing w:val="8"/>
        </w:rPr>
        <w:t> </w:t>
      </w:r>
      <w:r>
        <w:rPr>
          <w:color w:val="231F20"/>
        </w:rPr>
        <w:t>There has</w:t>
      </w:r>
      <w:r>
        <w:rPr>
          <w:color w:val="231F20"/>
          <w:spacing w:val="1"/>
        </w:rPr>
        <w:t> </w:t>
      </w:r>
      <w:r>
        <w:rPr>
          <w:color w:val="231F20"/>
        </w:rPr>
        <w:t>been an</w:t>
      </w:r>
      <w:r>
        <w:rPr>
          <w:color w:val="231F20"/>
          <w:spacing w:val="1"/>
        </w:rPr>
        <w:t> </w:t>
      </w:r>
      <w:r>
        <w:rPr>
          <w:color w:val="231F20"/>
        </w:rPr>
        <w:t>increase in</w:t>
      </w:r>
      <w:r>
        <w:rPr>
          <w:color w:val="231F20"/>
          <w:spacing w:val="1"/>
        </w:rPr>
        <w:t> </w:t>
      </w:r>
      <w:r>
        <w:rPr>
          <w:color w:val="231F20"/>
        </w:rPr>
        <w:t>responder</w:t>
      </w:r>
      <w:r>
        <w:rPr>
          <w:color w:val="231F20"/>
        </w:rPr>
        <w:t> agreement that AITSL’s work has a strong evidence base (62% of stakeholders rating 7 or greater out of 10 in 2019, compared to 54% in 2016).</w:t>
      </w:r>
      <w:r>
        <w:rPr/>
      </w:r>
    </w:p>
    <w:p>
      <w:pPr>
        <w:spacing w:line="240" w:lineRule="auto" w:before="4"/>
        <w:rPr>
          <w:rFonts w:ascii="Swis721 Lt BT" w:hAnsi="Swis721 Lt BT" w:cs="Swis721 Lt BT" w:eastAsia="Swis721 Lt BT"/>
          <w:sz w:val="12"/>
          <w:szCs w:val="12"/>
        </w:rPr>
      </w:pPr>
    </w:p>
    <w:p>
      <w:pPr>
        <w:spacing w:line="200" w:lineRule="atLeast"/>
        <w:ind w:left="113"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shape style="width:191.35pt;height:36.050pt;mso-position-horizontal-relative:char;mso-position-vertical-relative:line" type="#_x0000_t202" filled="true" fillcolor="#ebf0c9" stroked="false">
            <v:textbox inset="0,0,0,0">
              <w:txbxContent>
                <w:p>
                  <w:pPr>
                    <w:spacing w:before="140"/>
                    <w:ind w:left="226" w:right="252" w:firstLine="0"/>
                    <w:jc w:val="left"/>
                    <w:rPr>
                      <w:rFonts w:ascii="Swis721 Lt BT" w:hAnsi="Swis721 Lt BT" w:cs="Swis721 Lt BT" w:eastAsia="Swis721 Lt BT"/>
                      <w:sz w:val="19"/>
                      <w:szCs w:val="19"/>
                    </w:rPr>
                  </w:pPr>
                  <w:r>
                    <w:rPr>
                      <w:rFonts w:ascii="Swis721 Lt BT"/>
                      <w:color w:val="231F20"/>
                      <w:sz w:val="19"/>
                    </w:rPr>
                    <w:t>Use of AITSL resources, as measured by traffic</w:t>
                  </w:r>
                  <w:r>
                    <w:rPr>
                      <w:rFonts w:ascii="Swis721 Lt BT"/>
                      <w:color w:val="231F20"/>
                      <w:spacing w:val="-1"/>
                      <w:sz w:val="19"/>
                    </w:rPr>
                    <w:t> </w:t>
                  </w:r>
                  <w:r>
                    <w:rPr>
                      <w:rFonts w:ascii="Swis721 Lt BT"/>
                      <w:color w:val="231F20"/>
                      <w:sz w:val="19"/>
                    </w:rPr>
                    <w:t>to</w:t>
                  </w:r>
                  <w:r>
                    <w:rPr>
                      <w:rFonts w:ascii="Swis721 Lt BT"/>
                      <w:color w:val="231F20"/>
                      <w:spacing w:val="-1"/>
                      <w:sz w:val="19"/>
                    </w:rPr>
                    <w:t> </w:t>
                  </w:r>
                  <w:r>
                    <w:rPr>
                      <w:rFonts w:ascii="Swis721 Lt BT"/>
                      <w:color w:val="231F20"/>
                      <w:sz w:val="19"/>
                    </w:rPr>
                    <w:t>and</w:t>
                  </w:r>
                  <w:r>
                    <w:rPr>
                      <w:rFonts w:ascii="Swis721 Lt BT"/>
                      <w:color w:val="231F20"/>
                      <w:spacing w:val="-1"/>
                      <w:sz w:val="19"/>
                    </w:rPr>
                    <w:t> </w:t>
                  </w:r>
                  <w:r>
                    <w:rPr>
                      <w:rFonts w:ascii="Swis721 Lt BT"/>
                      <w:color w:val="231F20"/>
                      <w:sz w:val="19"/>
                    </w:rPr>
                    <w:t>within the</w:t>
                  </w:r>
                  <w:r>
                    <w:rPr>
                      <w:rFonts w:ascii="Swis721 Lt BT"/>
                      <w:color w:val="231F20"/>
                      <w:spacing w:val="-1"/>
                      <w:sz w:val="19"/>
                    </w:rPr>
                    <w:t> </w:t>
                  </w:r>
                  <w:r>
                    <w:rPr>
                      <w:rFonts w:ascii="Swis721 Lt BT"/>
                      <w:color w:val="231F20"/>
                      <w:sz w:val="19"/>
                    </w:rPr>
                    <w:t>AITSL</w:t>
                  </w:r>
                  <w:r>
                    <w:rPr>
                      <w:rFonts w:ascii="Swis721 Lt BT"/>
                      <w:color w:val="231F20"/>
                      <w:spacing w:val="-1"/>
                      <w:sz w:val="19"/>
                    </w:rPr>
                    <w:t> </w:t>
                  </w:r>
                  <w:r>
                    <w:rPr>
                      <w:rFonts w:ascii="Swis721 Lt BT"/>
                      <w:color w:val="231F20"/>
                      <w:sz w:val="19"/>
                    </w:rPr>
                    <w:t>website</w:t>
                  </w:r>
                  <w:r>
                    <w:rPr>
                      <w:rFonts w:ascii="Swis721 Lt BT"/>
                      <w:sz w:val="19"/>
                    </w:rPr>
                  </w:r>
                </w:p>
              </w:txbxContent>
            </v:textbox>
            <v:fill type="solid"/>
            <w10:wrap type="none"/>
          </v:shape>
        </w:pict>
      </w:r>
      <w:r>
        <w:rPr>
          <w:rFonts w:ascii="Swis721 Lt BT" w:hAnsi="Swis721 Lt BT" w:cs="Swis721 Lt BT" w:eastAsia="Swis721 Lt BT"/>
          <w:sz w:val="20"/>
          <w:szCs w:val="20"/>
        </w:rPr>
      </w:r>
    </w:p>
    <w:p>
      <w:pPr>
        <w:pStyle w:val="BodyText"/>
        <w:spacing w:line="240" w:lineRule="auto" w:before="78"/>
        <w:ind w:left="340" w:right="121" w:hanging="227"/>
        <w:jc w:val="left"/>
      </w:pPr>
      <w:r>
        <w:rPr>
          <w:rFonts w:ascii="Arial" w:hAnsi="Arial"/>
          <w:color w:val="00757A"/>
        </w:rPr>
        <w:t>ϐ </w:t>
      </w:r>
      <w:r>
        <w:rPr>
          <w:rFonts w:ascii="Arial" w:hAnsi="Arial"/>
          <w:color w:val="00757A"/>
          <w:spacing w:val="8"/>
        </w:rPr>
        <w:t> </w:t>
      </w:r>
      <w:r>
        <w:rPr>
          <w:color w:val="231F20"/>
        </w:rPr>
        <w:t>Over 900,000</w:t>
      </w:r>
      <w:r>
        <w:rPr>
          <w:color w:val="231F20"/>
          <w:spacing w:val="1"/>
        </w:rPr>
        <w:t> </w:t>
      </w:r>
      <w:r>
        <w:rPr>
          <w:color w:val="231F20"/>
        </w:rPr>
        <w:t>unique visitors</w:t>
      </w:r>
      <w:r>
        <w:rPr>
          <w:color w:val="231F20"/>
          <w:spacing w:val="1"/>
        </w:rPr>
        <w:t> </w:t>
      </w:r>
      <w:r>
        <w:rPr>
          <w:color w:val="231F20"/>
        </w:rPr>
        <w:t>to the</w:t>
      </w:r>
      <w:r>
        <w:rPr>
          <w:color w:val="231F20"/>
          <w:spacing w:val="1"/>
        </w:rPr>
        <w:t> </w:t>
      </w:r>
      <w:r>
        <w:rPr>
          <w:color w:val="231F20"/>
        </w:rPr>
        <w:t>AITSL</w:t>
      </w:r>
      <w:r>
        <w:rPr>
          <w:color w:val="231F20"/>
        </w:rPr>
        <w:t> website</w:t>
      </w:r>
      <w:r>
        <w:rPr/>
      </w:r>
    </w:p>
    <w:p>
      <w:pPr>
        <w:pStyle w:val="BodyText"/>
        <w:spacing w:line="240" w:lineRule="auto"/>
        <w:ind w:left="340" w:right="53" w:hanging="227"/>
        <w:jc w:val="left"/>
      </w:pPr>
      <w:r>
        <w:rPr>
          <w:rFonts w:ascii="Arial" w:hAnsi="Arial"/>
          <w:color w:val="00757A"/>
        </w:rPr>
        <w:t>ϐ </w:t>
      </w:r>
      <w:r>
        <w:rPr>
          <w:rFonts w:ascii="Arial" w:hAnsi="Arial"/>
          <w:color w:val="00757A"/>
          <w:spacing w:val="8"/>
        </w:rPr>
        <w:t> </w:t>
      </w:r>
      <w:r>
        <w:rPr>
          <w:color w:val="231F20"/>
        </w:rPr>
        <w:t>Close to</w:t>
      </w:r>
      <w:r>
        <w:rPr>
          <w:color w:val="231F20"/>
          <w:spacing w:val="1"/>
        </w:rPr>
        <w:t> </w:t>
      </w:r>
      <w:r>
        <w:rPr>
          <w:color w:val="231F20"/>
        </w:rPr>
        <w:t>687,000 unique page</w:t>
      </w:r>
      <w:r>
        <w:rPr>
          <w:color w:val="231F20"/>
          <w:spacing w:val="1"/>
        </w:rPr>
        <w:t> </w:t>
      </w:r>
      <w:r>
        <w:rPr>
          <w:color w:val="231F20"/>
        </w:rPr>
        <w:t>views of</w:t>
      </w:r>
      <w:r>
        <w:rPr>
          <w:color w:val="231F20"/>
          <w:spacing w:val="1"/>
        </w:rPr>
        <w:t> </w:t>
      </w:r>
      <w:r>
        <w:rPr>
          <w:color w:val="231F20"/>
        </w:rPr>
        <w:t>the</w:t>
      </w:r>
      <w:r>
        <w:rPr>
          <w:color w:val="231F20"/>
        </w:rPr>
        <w:t> </w:t>
      </w:r>
      <w:r>
        <w:rPr>
          <w:color w:val="231F20"/>
          <w:spacing w:val="-26"/>
        </w:rPr>
        <w:t>T</w:t>
      </w:r>
      <w:r>
        <w:rPr>
          <w:color w:val="231F20"/>
        </w:rPr>
        <w:t>eacher Standards</w:t>
      </w:r>
      <w:r>
        <w:rPr/>
      </w:r>
    </w:p>
    <w:p>
      <w:pPr>
        <w:pStyle w:val="BodyText"/>
        <w:spacing w:line="240" w:lineRule="auto"/>
        <w:ind w:left="341" w:right="296" w:hanging="227"/>
        <w:jc w:val="left"/>
      </w:pPr>
      <w:r>
        <w:rPr>
          <w:rFonts w:ascii="Arial" w:hAnsi="Arial"/>
          <w:color w:val="00757A"/>
        </w:rPr>
        <w:t>ϐ </w:t>
      </w:r>
      <w:r>
        <w:rPr>
          <w:rFonts w:ascii="Arial" w:hAnsi="Arial"/>
          <w:color w:val="00757A"/>
          <w:spacing w:val="8"/>
        </w:rPr>
        <w:t> </w:t>
      </w:r>
      <w:r>
        <w:rPr>
          <w:color w:val="231F20"/>
        </w:rPr>
        <w:t>The My</w:t>
      </w:r>
      <w:r>
        <w:rPr>
          <w:color w:val="231F20"/>
          <w:spacing w:val="1"/>
        </w:rPr>
        <w:t> </w:t>
      </w:r>
      <w:r>
        <w:rPr>
          <w:color w:val="231F20"/>
        </w:rPr>
        <w:t>Induction</w:t>
      </w:r>
      <w:r>
        <w:rPr>
          <w:color w:val="231F20"/>
          <w:spacing w:val="1"/>
        </w:rPr>
        <w:t> </w:t>
      </w:r>
      <w:r>
        <w:rPr>
          <w:color w:val="231F20"/>
        </w:rPr>
        <w:t>app was</w:t>
      </w:r>
      <w:r>
        <w:rPr>
          <w:color w:val="231F20"/>
          <w:spacing w:val="1"/>
        </w:rPr>
        <w:t> </w:t>
      </w:r>
      <w:r>
        <w:rPr>
          <w:color w:val="231F20"/>
        </w:rPr>
        <w:t>downloaded</w:t>
      </w:r>
      <w:r>
        <w:rPr>
          <w:color w:val="231F20"/>
        </w:rPr>
        <w:t> over 5,000 times</w:t>
      </w:r>
      <w:r>
        <w:rPr/>
      </w:r>
    </w:p>
    <w:p>
      <w:pPr>
        <w:pStyle w:val="BodyText"/>
        <w:spacing w:line="240" w:lineRule="auto"/>
        <w:ind w:left="341" w:right="121" w:hanging="227"/>
        <w:jc w:val="left"/>
      </w:pPr>
      <w:r>
        <w:rPr>
          <w:rFonts w:ascii="Arial" w:hAnsi="Arial"/>
          <w:color w:val="00757A"/>
        </w:rPr>
        <w:t>ϐ </w:t>
      </w:r>
      <w:r>
        <w:rPr>
          <w:rFonts w:ascii="Arial" w:hAnsi="Arial"/>
          <w:color w:val="00757A"/>
          <w:spacing w:val="8"/>
        </w:rPr>
        <w:t> </w:t>
      </w:r>
      <w:r>
        <w:rPr>
          <w:color w:val="231F20"/>
        </w:rPr>
        <w:t>Over 500,000</w:t>
      </w:r>
      <w:r>
        <w:rPr>
          <w:color w:val="231F20"/>
          <w:spacing w:val="1"/>
        </w:rPr>
        <w:t> </w:t>
      </w:r>
      <w:r>
        <w:rPr>
          <w:color w:val="231F20"/>
        </w:rPr>
        <w:t>unique page</w:t>
      </w:r>
      <w:r>
        <w:rPr>
          <w:color w:val="231F20"/>
          <w:spacing w:val="1"/>
        </w:rPr>
        <w:t> </w:t>
      </w:r>
      <w:r>
        <w:rPr>
          <w:color w:val="231F20"/>
        </w:rPr>
        <w:t>views per</w:t>
      </w:r>
      <w:r>
        <w:rPr>
          <w:color w:val="231F20"/>
          <w:spacing w:val="1"/>
        </w:rPr>
        <w:t> </w:t>
      </w:r>
      <w:r>
        <w:rPr>
          <w:color w:val="231F20"/>
        </w:rPr>
        <w:t>month</w:t>
      </w:r>
      <w:r>
        <w:rPr>
          <w:color w:val="231F20"/>
        </w:rPr>
        <w:t> of the Illustrations of Practice</w:t>
      </w:r>
      <w:r>
        <w:rPr/>
      </w:r>
    </w:p>
    <w:p>
      <w:pPr>
        <w:pStyle w:val="BodyText"/>
        <w:spacing w:line="240" w:lineRule="auto"/>
        <w:ind w:left="341" w:right="296" w:hanging="227"/>
        <w:jc w:val="left"/>
      </w:pPr>
      <w:r>
        <w:rPr>
          <w:rFonts w:ascii="Arial" w:hAnsi="Arial"/>
          <w:color w:val="00757A"/>
        </w:rPr>
        <w:t>ϐ </w:t>
      </w:r>
      <w:r>
        <w:rPr>
          <w:rFonts w:ascii="Arial" w:hAnsi="Arial"/>
          <w:color w:val="00757A"/>
          <w:spacing w:val="8"/>
        </w:rPr>
        <w:t> </w:t>
      </w:r>
      <w:r>
        <w:rPr>
          <w:color w:val="231F20"/>
        </w:rPr>
        <w:t>The</w:t>
      </w:r>
      <w:r>
        <w:rPr>
          <w:color w:val="231F20"/>
          <w:spacing w:val="1"/>
        </w:rPr>
        <w:t> </w:t>
      </w:r>
      <w:r>
        <w:rPr>
          <w:color w:val="231F20"/>
          <w:spacing w:val="-26"/>
        </w:rPr>
        <w:t>T</w:t>
      </w:r>
      <w:r>
        <w:rPr>
          <w:color w:val="231F20"/>
        </w:rPr>
        <w:t>eacher Sel</w:t>
      </w:r>
      <w:r>
        <w:rPr>
          <w:color w:val="231F20"/>
          <w:spacing w:val="-4"/>
        </w:rPr>
        <w:t>f</w:t>
      </w:r>
      <w:r>
        <w:rPr>
          <w:color w:val="231F20"/>
        </w:rPr>
        <w:t>-Assessment</w:t>
      </w:r>
      <w:r>
        <w:rPr>
          <w:color w:val="231F20"/>
          <w:spacing w:val="1"/>
        </w:rPr>
        <w:t> </w:t>
      </w:r>
      <w:r>
        <w:rPr>
          <w:color w:val="231F20"/>
          <w:spacing w:val="-26"/>
        </w:rPr>
        <w:t>T</w:t>
      </w:r>
      <w:r>
        <w:rPr>
          <w:color w:val="231F20"/>
        </w:rPr>
        <w:t>ool</w:t>
      </w:r>
      <w:r>
        <w:rPr>
          <w:color w:val="231F20"/>
          <w:spacing w:val="1"/>
        </w:rPr>
        <w:t> </w:t>
      </w:r>
      <w:r>
        <w:rPr>
          <w:color w:val="231F20"/>
        </w:rPr>
        <w:t>was</w:t>
      </w:r>
      <w:r>
        <w:rPr>
          <w:color w:val="231F20"/>
        </w:rPr>
        <w:t> used by more than 26,000 users</w:t>
      </w:r>
      <w:r>
        <w:rPr/>
      </w:r>
    </w:p>
    <w:p>
      <w:pPr>
        <w:pStyle w:val="BodyText"/>
        <w:spacing w:line="240" w:lineRule="auto"/>
        <w:ind w:left="341" w:right="121" w:hanging="227"/>
        <w:jc w:val="left"/>
      </w:pPr>
      <w:r>
        <w:rPr>
          <w:rFonts w:ascii="Arial" w:hAnsi="Arial"/>
          <w:color w:val="00757A"/>
        </w:rPr>
        <w:t>ϐ </w:t>
      </w:r>
      <w:r>
        <w:rPr>
          <w:rFonts w:ascii="Arial" w:hAnsi="Arial"/>
          <w:color w:val="00757A"/>
          <w:spacing w:val="8"/>
        </w:rPr>
        <w:t> </w:t>
      </w:r>
      <w:r>
        <w:rPr>
          <w:color w:val="231F20"/>
        </w:rPr>
        <w:t>The</w:t>
      </w:r>
      <w:r>
        <w:rPr>
          <w:color w:val="231F20"/>
          <w:spacing w:val="1"/>
        </w:rPr>
        <w:t> </w:t>
      </w:r>
      <w:r>
        <w:rPr>
          <w:color w:val="231F20"/>
        </w:rPr>
        <w:t>School Leader</w:t>
      </w:r>
      <w:r>
        <w:rPr>
          <w:color w:val="231F20"/>
          <w:spacing w:val="1"/>
        </w:rPr>
        <w:t> </w:t>
      </w:r>
      <w:r>
        <w:rPr>
          <w:color w:val="231F20"/>
          <w:spacing w:val="-1"/>
        </w:rPr>
        <w:t>Self-Assessment</w:t>
      </w:r>
      <w:r>
        <w:rPr>
          <w:color w:val="231F20"/>
          <w:spacing w:val="1"/>
        </w:rPr>
        <w:t> </w:t>
      </w:r>
      <w:r>
        <w:rPr>
          <w:color w:val="231F20"/>
          <w:spacing w:val="-7"/>
        </w:rPr>
        <w:t>Tool</w:t>
      </w:r>
      <w:r>
        <w:rPr>
          <w:color w:val="231F20"/>
          <w:spacing w:val="27"/>
        </w:rPr>
        <w:t> </w:t>
      </w:r>
      <w:r>
        <w:rPr>
          <w:color w:val="231F20"/>
        </w:rPr>
        <w:t>was used by more than 8,900 users</w:t>
      </w:r>
      <w:r>
        <w:rPr/>
      </w:r>
    </w:p>
    <w:p>
      <w:pPr>
        <w:pStyle w:val="BodyText"/>
        <w:spacing w:line="240" w:lineRule="auto"/>
        <w:ind w:left="341" w:right="53" w:hanging="227"/>
        <w:jc w:val="left"/>
      </w:pPr>
      <w:r>
        <w:rPr>
          <w:rFonts w:ascii="Arial" w:hAnsi="Arial" w:cs="Arial" w:eastAsia="Arial"/>
          <w:color w:val="00757A"/>
        </w:rPr>
        <w:t>ϐ </w:t>
      </w:r>
      <w:r>
        <w:rPr>
          <w:rFonts w:ascii="Arial" w:hAnsi="Arial" w:cs="Arial" w:eastAsia="Arial"/>
          <w:color w:val="00757A"/>
          <w:spacing w:val="6"/>
        </w:rPr>
        <w:t> </w:t>
      </w:r>
      <w:r>
        <w:rPr>
          <w:color w:val="231F20"/>
        </w:rPr>
        <w:t>The</w:t>
      </w:r>
      <w:r>
        <w:rPr>
          <w:color w:val="231F20"/>
          <w:spacing w:val="-1"/>
        </w:rPr>
        <w:t> </w:t>
      </w:r>
      <w:r>
        <w:rPr>
          <w:color w:val="231F20"/>
        </w:rPr>
        <w:t>360° Reflection</w:t>
      </w:r>
      <w:r>
        <w:rPr>
          <w:color w:val="231F20"/>
          <w:spacing w:val="-1"/>
        </w:rPr>
        <w:t> </w:t>
      </w:r>
      <w:r>
        <w:rPr>
          <w:color w:val="231F20"/>
          <w:spacing w:val="-7"/>
        </w:rPr>
        <w:t>Tool</w:t>
      </w:r>
      <w:r>
        <w:rPr>
          <w:color w:val="231F20"/>
        </w:rPr>
        <w:t> was used</w:t>
      </w:r>
      <w:r>
        <w:rPr>
          <w:color w:val="231F20"/>
          <w:spacing w:val="-1"/>
        </w:rPr>
        <w:t> </w:t>
      </w:r>
      <w:r>
        <w:rPr>
          <w:color w:val="231F20"/>
        </w:rPr>
        <w:t>by more</w:t>
      </w:r>
      <w:r>
        <w:rPr>
          <w:color w:val="231F20"/>
          <w:spacing w:val="22"/>
        </w:rPr>
        <w:t> </w:t>
      </w:r>
      <w:r>
        <w:rPr>
          <w:color w:val="231F20"/>
        </w:rPr>
        <w:t>than 560 users</w:t>
      </w:r>
      <w:r>
        <w:rPr/>
      </w:r>
    </w:p>
    <w:p>
      <w:pPr>
        <w:spacing w:line="240" w:lineRule="auto" w:before="4"/>
        <w:rPr>
          <w:rFonts w:ascii="Swis721 Lt BT" w:hAnsi="Swis721 Lt BT" w:cs="Swis721 Lt BT" w:eastAsia="Swis721 Lt BT"/>
          <w:sz w:val="12"/>
          <w:szCs w:val="12"/>
        </w:rPr>
      </w:pPr>
    </w:p>
    <w:p>
      <w:pPr>
        <w:spacing w:line="200" w:lineRule="atLeast"/>
        <w:ind w:left="113"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shape style="width:191.35pt;height:36.050pt;mso-position-horizontal-relative:char;mso-position-vertical-relative:line" type="#_x0000_t202" filled="true" fillcolor="#ebf0c9" stroked="false">
            <v:textbox inset="0,0,0,0">
              <w:txbxContent>
                <w:p>
                  <w:pPr>
                    <w:spacing w:before="139"/>
                    <w:ind w:left="226" w:right="731" w:firstLine="0"/>
                    <w:jc w:val="left"/>
                    <w:rPr>
                      <w:rFonts w:ascii="Swis721 Lt BT" w:hAnsi="Swis721 Lt BT" w:cs="Swis721 Lt BT" w:eastAsia="Swis721 Lt BT"/>
                      <w:sz w:val="19"/>
                      <w:szCs w:val="19"/>
                    </w:rPr>
                  </w:pPr>
                  <w:r>
                    <w:rPr>
                      <w:rFonts w:ascii="Swis721 Lt BT"/>
                      <w:color w:val="231F20"/>
                      <w:sz w:val="19"/>
                    </w:rPr>
                    <w:t>AITSL delivers its agreed work plan within the available budget</w:t>
                  </w:r>
                  <w:r>
                    <w:rPr>
                      <w:rFonts w:ascii="Swis721 Lt BT"/>
                      <w:sz w:val="19"/>
                    </w:rPr>
                  </w:r>
                </w:p>
              </w:txbxContent>
            </v:textbox>
            <v:fill type="solid"/>
            <w10:wrap type="none"/>
          </v:shape>
        </w:pict>
      </w:r>
      <w:r>
        <w:rPr>
          <w:rFonts w:ascii="Swis721 Lt BT" w:hAnsi="Swis721 Lt BT" w:cs="Swis721 Lt BT" w:eastAsia="Swis721 Lt BT"/>
          <w:sz w:val="20"/>
          <w:szCs w:val="20"/>
        </w:rPr>
      </w:r>
    </w:p>
    <w:p>
      <w:pPr>
        <w:pStyle w:val="BodyText"/>
        <w:spacing w:line="240" w:lineRule="auto" w:before="78"/>
        <w:ind w:left="340" w:right="121" w:hanging="227"/>
        <w:jc w:val="left"/>
      </w:pPr>
      <w:r>
        <w:rPr>
          <w:rFonts w:ascii="Arial" w:hAnsi="Arial" w:cs="Arial" w:eastAsia="Arial"/>
          <w:color w:val="00757A"/>
        </w:rPr>
        <w:t>ϐ </w:t>
      </w:r>
      <w:r>
        <w:rPr>
          <w:rFonts w:ascii="Arial" w:hAnsi="Arial" w:cs="Arial" w:eastAsia="Arial"/>
          <w:color w:val="00757A"/>
          <w:spacing w:val="8"/>
        </w:rPr>
        <w:t> </w:t>
      </w:r>
      <w:r>
        <w:rPr>
          <w:color w:val="231F20"/>
        </w:rPr>
        <w:t>100% of</w:t>
      </w:r>
      <w:r>
        <w:rPr>
          <w:color w:val="231F20"/>
          <w:spacing w:val="1"/>
        </w:rPr>
        <w:t> </w:t>
      </w:r>
      <w:r>
        <w:rPr>
          <w:color w:val="231F20"/>
        </w:rPr>
        <w:t>agreed</w:t>
      </w:r>
      <w:r>
        <w:rPr>
          <w:color w:val="231F20"/>
          <w:spacing w:val="1"/>
        </w:rPr>
        <w:t> </w:t>
      </w:r>
      <w:r>
        <w:rPr>
          <w:color w:val="231F20"/>
        </w:rPr>
        <w:t>milestones within</w:t>
      </w:r>
      <w:r>
        <w:rPr>
          <w:color w:val="231F20"/>
          <w:spacing w:val="1"/>
        </w:rPr>
        <w:t> </w:t>
      </w:r>
      <w:r>
        <w:rPr>
          <w:color w:val="231F20"/>
        </w:rPr>
        <w:t>AITSL’s</w:t>
      </w:r>
      <w:r>
        <w:rPr>
          <w:color w:val="231F20"/>
        </w:rPr>
        <w:t> 2018–19 </w:t>
      </w:r>
      <w:r>
        <w:rPr>
          <w:color w:val="231F20"/>
          <w:spacing w:val="-1"/>
        </w:rPr>
        <w:t>Work</w:t>
      </w:r>
      <w:r>
        <w:rPr>
          <w:color w:val="231F20"/>
        </w:rPr>
        <w:t> Plan were achieved</w:t>
      </w:r>
      <w:r>
        <w:rPr/>
      </w:r>
    </w:p>
    <w:p>
      <w:pPr>
        <w:spacing w:after="0" w:line="240" w:lineRule="auto"/>
        <w:jc w:val="left"/>
        <w:sectPr>
          <w:type w:val="continuous"/>
          <w:pgSz w:w="9980" w:h="14180"/>
          <w:pgMar w:top="0" w:bottom="280" w:left="1020" w:right="740"/>
          <w:cols w:num="2" w:equalWidth="0">
            <w:col w:w="3897" w:space="271"/>
            <w:col w:w="4052"/>
          </w:cols>
        </w:sectPr>
      </w:pPr>
    </w:p>
    <w:p>
      <w:pPr>
        <w:spacing w:line="240" w:lineRule="auto" w:before="7"/>
        <w:rPr>
          <w:rFonts w:ascii="Swis721 Lt BT" w:hAnsi="Swis721 Lt BT" w:cs="Swis721 Lt BT" w:eastAsia="Swis721 Lt BT"/>
          <w:sz w:val="17"/>
          <w:szCs w:val="17"/>
        </w:rPr>
      </w:pPr>
      <w:r>
        <w:rPr/>
        <w:pict>
          <v:group style="position:absolute;margin-left:0pt;margin-top:-.000003pt;width:499.9pt;height:708.7pt;mso-position-horizontal-relative:page;mso-position-vertical-relative:page;z-index:-184048" coordorigin="0,0" coordsize="9998,14174">
            <v:group style="position:absolute;left:153;top:1018;width:9825;height:13062" coordorigin="153,1018" coordsize="9825,13062">
              <v:shape style="position:absolute;left:153;top:1018;width:9825;height:13062" coordorigin="153,1018" coordsize="9825,13062" path="m153,14080l9978,14080,9978,1018,153,1018,153,14080xe" filled="true" fillcolor="#d7da87" stroked="false">
                <v:path arrowok="t"/>
                <v:fill type="solid"/>
              </v:shape>
            </v:group>
            <v:group style="position:absolute;left:2558;top:0;width:7421;height:14174" coordorigin="2558,0" coordsize="7421,14174">
              <v:shape style="position:absolute;left:2558;top:0;width:7421;height:14174" coordorigin="2558,0" coordsize="7421,14174" path="m9501,0l9256,115,8423,589,7632,1123,6886,1715,6188,2362,5541,3060,4949,3806,4415,4597,3941,5430,3532,6302,3190,7209,2918,8148,2720,9116,2599,10110,2558,11126,2599,12143,2720,13136,2918,14105,2938,14173,9978,14173,9978,0,9501,0e" filled="true" fillcolor="#dedf9a" stroked="false">
                <v:path arrowok="t"/>
                <v:fill type="solid"/>
              </v:shape>
            </v:group>
            <v:group style="position:absolute;left:7200;top:5228;width:2779;height:8946" coordorigin="7200,5228" coordsize="2779,8946">
              <v:shape style="position:absolute;left:7200;top:5228;width:2779;height:8946" coordorigin="7200,5228" coordsize="2779,8946" path="m9978,5228l9875,5310,9443,5709,9044,6141,8678,6602,8347,7091,8055,7606,7802,8144,7590,8705,7422,9285,7300,9884,7225,10498,7200,11126,7225,11754,7300,12369,7422,12967,7590,13547,7802,14108,7832,14173,9978,14173,9978,5228e" filled="true" fillcolor="#e5e5af" stroked="false">
                <v:path arrowok="t"/>
                <v:fill type="solid"/>
              </v:shape>
              <v:shape style="position:absolute;left:0;top:0;width:9978;height:14173" type="#_x0000_t75" stroked="false">
                <v:imagedata r:id="rId30" o:title=""/>
              </v:shape>
            </v:group>
            <v:group style="position:absolute;left:6526;top:6714;width:2;height:2" coordorigin="6526,6714" coordsize="2,2">
              <v:shape style="position:absolute;left:6526;top:6714;width:2;height:2" coordorigin="6526,6714" coordsize="2,1" path="m6526,6714l6528,6715e" filled="false" stroked="true" strokeweight="2pt" strokecolor="#fff200">
                <v:path arrowok="t"/>
              </v:shape>
            </v:group>
            <v:group style="position:absolute;left:6617;top:6761;width:3362;height:1731" coordorigin="6617,6761" coordsize="3362,1731">
              <v:shape style="position:absolute;left:6617;top:6761;width:3362;height:1731" coordorigin="6617,6761" coordsize="3362,1731" path="m6617,6761l9978,8491e" filled="false" stroked="true" strokeweight="2.0pt" strokecolor="#fff200">
                <v:path arrowok="t"/>
                <v:stroke dashstyle="dash"/>
              </v:shape>
            </v:group>
            <v:group style="position:absolute;left:7035;top:5277;width:2;height:2" coordorigin="7035,5277" coordsize="2,2">
              <v:shape style="position:absolute;left:7035;top:5277;width:2;height:2" coordorigin="7035,5277" coordsize="2,2" path="m7035,5277l7036,5278e" filled="false" stroked="true" strokeweight="2pt" strokecolor="#fff200">
                <v:path arrowok="t"/>
              </v:shape>
            </v:group>
            <v:group style="position:absolute;left:7117;top:5336;width:2861;height:2032" coordorigin="7117,5336" coordsize="2861,2032">
              <v:shape style="position:absolute;left:7117;top:5336;width:2861;height:2032" coordorigin="7117,5336" coordsize="2861,2032" path="m7117,5336l9978,7368e" filled="false" stroked="true" strokeweight="2pt" strokecolor="#fff200">
                <v:path arrowok="t"/>
                <v:stroke dashstyle="dash"/>
              </v:shape>
            </v:group>
            <v:group style="position:absolute;left:7357;top:10651;width:2;height:2" coordorigin="7357,10651" coordsize="2,2">
              <v:shape style="position:absolute;left:7357;top:10651;width:2;height:2" coordorigin="7357,10651" coordsize="2,1" path="m7357,10651l7359,10651e" filled="false" stroked="true" strokeweight="2pt" strokecolor="#fff200">
                <v:path arrowok="t"/>
              </v:shape>
            </v:group>
            <v:group style="position:absolute;left:7460;top:10656;width:2519;height:109" coordorigin="7460,10656" coordsize="2519,109">
              <v:shape style="position:absolute;left:7460;top:10656;width:2519;height:109" coordorigin="7460,10656" coordsize="2519,109" path="m7460,10656l9978,10764e" filled="false" stroked="true" strokeweight="2pt" strokecolor="#fff200">
                <v:path arrowok="t"/>
                <v:stroke dashstyle="dash"/>
              </v:shape>
            </v:group>
            <v:group style="position:absolute;left:6338;top:8523;width:2;height:2" coordorigin="6338,8523" coordsize="2,2">
              <v:shape style="position:absolute;left:6338;top:8523;width:2;height:2" coordorigin="6338,8523" coordsize="2,1" path="m6338,8523l6340,8523e" filled="false" stroked="true" strokeweight="2pt" strokecolor="#fff200">
                <v:path arrowok="t"/>
              </v:shape>
            </v:group>
            <v:group style="position:absolute;left:6436;top:8552;width:3542;height:1040" coordorigin="6436,8552" coordsize="3542,1040">
              <v:shape style="position:absolute;left:6436;top:8552;width:3542;height:1040" coordorigin="6436,8552" coordsize="3542,1040" path="m6436,8552l9978,9591e" filled="false" stroked="true" strokeweight="2pt" strokecolor="#fff200">
                <v:path arrowok="t"/>
                <v:stroke dashstyle="dash"/>
              </v:shape>
            </v:group>
            <v:group style="position:absolute;left:6631;top:12845;width:2;height:2" coordorigin="6631,12845" coordsize="2,2">
              <v:shape style="position:absolute;left:6631;top:12845;width:2;height:2" coordorigin="6631,12845" coordsize="2,1" path="m6631,12846l6633,12845e" filled="false" stroked="true" strokeweight="2.0pt" strokecolor="#fff200">
                <v:path arrowok="t"/>
              </v:shape>
            </v:group>
            <v:group style="position:absolute;left:6731;top:12099;width:3248;height:725" coordorigin="6731,12099" coordsize="3248,725">
              <v:shape style="position:absolute;left:6731;top:12099;width:3248;height:725" coordorigin="6731,12099" coordsize="3248,725" path="m6731,12824l9978,12099e" filled="false" stroked="true" strokeweight="2pt" strokecolor="#fff200">
                <v:path arrowok="t"/>
                <v:stroke dashstyle="dash"/>
              </v:shape>
            </v:group>
            <v:group style="position:absolute;left:0;top:0;width:9978;height:1018" coordorigin="0,0" coordsize="9978,1018">
              <v:shape style="position:absolute;left:0;top:0;width:9978;height:1018" coordorigin="0,0" coordsize="9978,1018" path="m0,1018l9978,1018,9978,0,0,0,0,1018xe" filled="true" fillcolor="#003b45" stroked="false">
                <v:path arrowok="t"/>
                <v:fill type="solid"/>
              </v:shape>
            </v:group>
            <v:group style="position:absolute;left:0;top:1018;width:9978;height:3780" coordorigin="0,1018" coordsize="9978,3780">
              <v:shape style="position:absolute;left:0;top:1018;width:9978;height:3780" coordorigin="0,1018" coordsize="9978,3780" path="m9978,1018l0,1018,0,4797,9978,1975,9978,1018xe" filled="true" fillcolor="#bfd22b" stroked="false">
                <v:path arrowok="t"/>
                <v:fill type="solid"/>
              </v:shape>
            </v:group>
            <w10:wrap type="none"/>
          </v:group>
        </w:pict>
      </w:r>
    </w:p>
    <w:p>
      <w:pPr>
        <w:pStyle w:val="Heading2"/>
        <w:spacing w:line="240" w:lineRule="auto"/>
        <w:ind w:right="0"/>
        <w:jc w:val="left"/>
        <w:rPr>
          <w:b w:val="0"/>
          <w:bCs w:val="0"/>
        </w:rPr>
      </w:pPr>
      <w:bookmarkStart w:name="_TOC_250007" w:id="5"/>
      <w:r>
        <w:rPr>
          <w:color w:val="005E63"/>
          <w:spacing w:val="-2"/>
        </w:rPr>
        <w:t>STAKEHOLDER</w:t>
      </w:r>
      <w:r>
        <w:rPr>
          <w:color w:val="005E63"/>
        </w:rPr>
        <w:t> GUIDE</w:t>
      </w:r>
      <w:bookmarkEnd w:id="5"/>
      <w:r>
        <w:rPr>
          <w:b w:val="0"/>
        </w:rPr>
      </w: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3"/>
        <w:rPr>
          <w:rFonts w:ascii="Swis721 BT" w:hAnsi="Swis721 BT" w:cs="Swis721 BT" w:eastAsia="Swis721 BT"/>
          <w:b/>
          <w:bCs/>
          <w:sz w:val="19"/>
          <w:szCs w:val="19"/>
        </w:rPr>
      </w:pPr>
    </w:p>
    <w:p>
      <w:pPr>
        <w:spacing w:before="32"/>
        <w:ind w:left="2513" w:right="0" w:hanging="1375"/>
        <w:jc w:val="left"/>
        <w:rPr>
          <w:rFonts w:ascii="Swis721 Cn BT" w:hAnsi="Swis721 Cn BT" w:cs="Swis721 Cn BT" w:eastAsia="Swis721 Cn BT"/>
          <w:sz w:val="42"/>
          <w:szCs w:val="42"/>
        </w:rPr>
      </w:pPr>
      <w:r>
        <w:rPr>
          <w:rFonts w:ascii="Swis721 Cn BT"/>
          <w:b/>
          <w:color w:val="FFFFFF"/>
          <w:spacing w:val="-2"/>
          <w:sz w:val="42"/>
        </w:rPr>
        <w:t>Federal</w:t>
      </w:r>
      <w:r>
        <w:rPr>
          <w:rFonts w:ascii="Swis721 Cn BT"/>
          <w:b/>
          <w:color w:val="FFFFFF"/>
          <w:sz w:val="42"/>
        </w:rPr>
        <w:t> Minister for Education</w:t>
      </w:r>
      <w:r>
        <w:rPr>
          <w:rFonts w:ascii="Swis721 Cn BT"/>
          <w:sz w:val="42"/>
        </w:rPr>
      </w:r>
    </w:p>
    <w:p>
      <w:pPr>
        <w:spacing w:line="240" w:lineRule="auto" w:before="0"/>
        <w:rPr>
          <w:rFonts w:ascii="Swis721 Cn BT" w:hAnsi="Swis721 Cn BT" w:cs="Swis721 Cn BT" w:eastAsia="Swis721 Cn BT"/>
          <w:b/>
          <w:bCs/>
          <w:sz w:val="42"/>
          <w:szCs w:val="42"/>
        </w:rPr>
      </w:pPr>
    </w:p>
    <w:p>
      <w:pPr>
        <w:spacing w:line="240" w:lineRule="auto" w:before="1"/>
        <w:rPr>
          <w:rFonts w:ascii="Swis721 Cn BT" w:hAnsi="Swis721 Cn BT" w:cs="Swis721 Cn BT" w:eastAsia="Swis721 Cn BT"/>
          <w:b/>
          <w:bCs/>
          <w:sz w:val="46"/>
          <w:szCs w:val="46"/>
        </w:rPr>
      </w:pPr>
    </w:p>
    <w:p>
      <w:pPr>
        <w:spacing w:before="0"/>
        <w:ind w:left="2513" w:right="0" w:firstLine="0"/>
        <w:jc w:val="left"/>
        <w:rPr>
          <w:rFonts w:ascii="Swis721 Cn BT" w:hAnsi="Swis721 Cn BT" w:cs="Swis721 Cn BT" w:eastAsia="Swis721 Cn BT"/>
          <w:sz w:val="42"/>
          <w:szCs w:val="42"/>
        </w:rPr>
      </w:pPr>
      <w:r>
        <w:rPr>
          <w:rFonts w:ascii="Swis721 Cn BT"/>
          <w:b/>
          <w:color w:val="FFFFFF"/>
          <w:sz w:val="42"/>
        </w:rPr>
        <w:t>Education Council</w:t>
      </w:r>
      <w:r>
        <w:rPr>
          <w:rFonts w:ascii="Swis721 Cn BT"/>
          <w:sz w:val="42"/>
        </w:rPr>
      </w:r>
    </w:p>
    <w:p>
      <w:pPr>
        <w:spacing w:line="240" w:lineRule="auto" w:before="0"/>
        <w:rPr>
          <w:rFonts w:ascii="Swis721 Cn BT" w:hAnsi="Swis721 Cn BT" w:cs="Swis721 Cn BT" w:eastAsia="Swis721 Cn BT"/>
          <w:b/>
          <w:bCs/>
          <w:sz w:val="20"/>
          <w:szCs w:val="20"/>
        </w:rPr>
      </w:pPr>
    </w:p>
    <w:p>
      <w:pPr>
        <w:spacing w:line="240" w:lineRule="auto" w:before="0"/>
        <w:rPr>
          <w:rFonts w:ascii="Swis721 Cn BT" w:hAnsi="Swis721 Cn BT" w:cs="Swis721 Cn BT" w:eastAsia="Swis721 Cn BT"/>
          <w:b/>
          <w:bCs/>
          <w:sz w:val="20"/>
          <w:szCs w:val="20"/>
        </w:rPr>
      </w:pPr>
    </w:p>
    <w:p>
      <w:pPr>
        <w:spacing w:line="240" w:lineRule="auto" w:before="0"/>
        <w:rPr>
          <w:rFonts w:ascii="Swis721 Cn BT" w:hAnsi="Swis721 Cn BT" w:cs="Swis721 Cn BT" w:eastAsia="Swis721 Cn BT"/>
          <w:b/>
          <w:bCs/>
          <w:sz w:val="20"/>
          <w:szCs w:val="20"/>
        </w:rPr>
      </w:pPr>
    </w:p>
    <w:p>
      <w:pPr>
        <w:spacing w:line="240" w:lineRule="auto" w:before="11"/>
        <w:rPr>
          <w:rFonts w:ascii="Swis721 Cn BT" w:hAnsi="Swis721 Cn BT" w:cs="Swis721 Cn BT" w:eastAsia="Swis721 Cn BT"/>
          <w:b/>
          <w:bCs/>
          <w:sz w:val="20"/>
          <w:szCs w:val="20"/>
        </w:rPr>
      </w:pPr>
    </w:p>
    <w:p>
      <w:pPr>
        <w:spacing w:before="32"/>
        <w:ind w:left="428" w:right="0" w:firstLine="0"/>
        <w:jc w:val="left"/>
        <w:rPr>
          <w:rFonts w:ascii="Swis721 Cn BT" w:hAnsi="Swis721 Cn BT" w:cs="Swis721 Cn BT" w:eastAsia="Swis721 Cn BT"/>
          <w:sz w:val="42"/>
          <w:szCs w:val="42"/>
        </w:rPr>
      </w:pPr>
      <w:r>
        <w:rPr>
          <w:rFonts w:ascii="Swis721 Cn BT"/>
          <w:b/>
          <w:color w:val="FFFFFF"/>
          <w:sz w:val="42"/>
        </w:rPr>
        <w:t>Initial </w:t>
      </w:r>
      <w:r>
        <w:rPr>
          <w:rFonts w:ascii="Swis721 Cn BT"/>
          <w:b/>
          <w:color w:val="FFFFFF"/>
          <w:spacing w:val="-38"/>
          <w:sz w:val="42"/>
        </w:rPr>
        <w:t>T</w:t>
      </w:r>
      <w:r>
        <w:rPr>
          <w:rFonts w:ascii="Swis721 Cn BT"/>
          <w:b/>
          <w:color w:val="FFFFFF"/>
          <w:sz w:val="42"/>
        </w:rPr>
        <w:t>eacher Education (ITE) sector</w:t>
      </w:r>
      <w:r>
        <w:rPr>
          <w:rFonts w:ascii="Swis721 Cn BT"/>
          <w:sz w:val="42"/>
        </w:rPr>
      </w:r>
    </w:p>
    <w:p>
      <w:pPr>
        <w:pStyle w:val="Heading3"/>
        <w:spacing w:line="240" w:lineRule="auto"/>
        <w:ind w:right="0"/>
        <w:jc w:val="left"/>
      </w:pPr>
      <w:r>
        <w:rPr>
          <w:color w:val="B1D235"/>
        </w:rPr>
        <w:t>ITE providers and students</w:t>
      </w:r>
      <w:r>
        <w:rPr/>
      </w:r>
    </w:p>
    <w:p>
      <w:pPr>
        <w:spacing w:before="80"/>
        <w:ind w:left="428" w:right="0" w:firstLine="0"/>
        <w:jc w:val="left"/>
        <w:rPr>
          <w:rFonts w:ascii="Swis721 Cn BT" w:hAnsi="Swis721 Cn BT" w:cs="Swis721 Cn BT" w:eastAsia="Swis721 Cn BT"/>
          <w:sz w:val="34"/>
          <w:szCs w:val="34"/>
        </w:rPr>
      </w:pPr>
      <w:r>
        <w:rPr>
          <w:rFonts w:ascii="Swis721 Cn BT"/>
          <w:color w:val="B1D235"/>
          <w:sz w:val="34"/>
        </w:rPr>
        <w:t>Australian Council of Deans of Education</w:t>
      </w:r>
      <w:r>
        <w:rPr>
          <w:rFonts w:ascii="Swis721 Cn BT"/>
          <w:sz w:val="34"/>
        </w:rPr>
      </w: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7"/>
        <w:rPr>
          <w:rFonts w:ascii="Swis721 Cn BT" w:hAnsi="Swis721 Cn BT" w:cs="Swis721 Cn BT" w:eastAsia="Swis721 Cn BT"/>
          <w:sz w:val="20"/>
          <w:szCs w:val="20"/>
        </w:rPr>
      </w:pPr>
    </w:p>
    <w:p>
      <w:pPr>
        <w:spacing w:line="278" w:lineRule="auto" w:before="32"/>
        <w:ind w:left="1407" w:right="1487" w:firstLine="0"/>
        <w:jc w:val="left"/>
        <w:rPr>
          <w:rFonts w:ascii="Swis721 Cn BT" w:hAnsi="Swis721 Cn BT" w:cs="Swis721 Cn BT" w:eastAsia="Swis721 Cn BT"/>
          <w:sz w:val="34"/>
          <w:szCs w:val="34"/>
        </w:rPr>
      </w:pPr>
      <w:r>
        <w:rPr>
          <w:rFonts w:ascii="Swis721 Cn BT"/>
          <w:b/>
          <w:color w:val="FFFFFF"/>
          <w:sz w:val="42"/>
        </w:rPr>
        <w:t>State and </w:t>
      </w:r>
      <w:r>
        <w:rPr>
          <w:rFonts w:ascii="Swis721 Cn BT"/>
          <w:b/>
          <w:color w:val="FFFFFF"/>
          <w:spacing w:val="-37"/>
          <w:sz w:val="42"/>
        </w:rPr>
        <w:t>T</w:t>
      </w:r>
      <w:r>
        <w:rPr>
          <w:rFonts w:ascii="Swis721 Cn BT"/>
          <w:b/>
          <w:color w:val="FFFFFF"/>
          <w:sz w:val="42"/>
        </w:rPr>
        <w:t>errito</w:t>
      </w:r>
      <w:r>
        <w:rPr>
          <w:rFonts w:ascii="Swis721 Cn BT"/>
          <w:b/>
          <w:color w:val="FFFFFF"/>
          <w:spacing w:val="7"/>
          <w:sz w:val="42"/>
        </w:rPr>
        <w:t>r</w:t>
      </w:r>
      <w:r>
        <w:rPr>
          <w:rFonts w:ascii="Swis721 Cn BT"/>
          <w:b/>
          <w:color w:val="FFFFFF"/>
          <w:sz w:val="42"/>
        </w:rPr>
        <w:t>y authorities</w:t>
      </w:r>
      <w:r>
        <w:rPr>
          <w:rFonts w:ascii="Swis721 Cn BT"/>
          <w:b/>
          <w:color w:val="FFFFFF"/>
          <w:sz w:val="42"/>
        </w:rPr>
        <w:t> </w:t>
      </w:r>
      <w:r>
        <w:rPr>
          <w:rFonts w:ascii="Swis721 Cn BT"/>
          <w:color w:val="B1D235"/>
          <w:spacing w:val="-32"/>
          <w:sz w:val="34"/>
        </w:rPr>
        <w:t>T</w:t>
      </w:r>
      <w:r>
        <w:rPr>
          <w:rFonts w:ascii="Swis721 Cn BT"/>
          <w:color w:val="B1D235"/>
          <w:sz w:val="34"/>
        </w:rPr>
        <w:t>eacher </w:t>
      </w:r>
      <w:r>
        <w:rPr>
          <w:rFonts w:ascii="Swis721 Cn BT"/>
          <w:color w:val="B1D235"/>
          <w:spacing w:val="-7"/>
          <w:sz w:val="34"/>
        </w:rPr>
        <w:t>R</w:t>
      </w:r>
      <w:r>
        <w:rPr>
          <w:rFonts w:ascii="Swis721 Cn BT"/>
          <w:color w:val="B1D235"/>
          <w:sz w:val="34"/>
        </w:rPr>
        <w:t>egulato</w:t>
      </w:r>
      <w:r>
        <w:rPr>
          <w:rFonts w:ascii="Swis721 Cn BT"/>
          <w:color w:val="B1D235"/>
          <w:spacing w:val="12"/>
          <w:sz w:val="34"/>
        </w:rPr>
        <w:t>r</w:t>
      </w:r>
      <w:r>
        <w:rPr>
          <w:rFonts w:ascii="Swis721 Cn BT"/>
          <w:color w:val="B1D235"/>
          <w:sz w:val="34"/>
        </w:rPr>
        <w:t>y Authorities</w:t>
      </w:r>
      <w:r>
        <w:rPr>
          <w:rFonts w:ascii="Swis721 Cn BT"/>
          <w:color w:val="B1D235"/>
          <w:sz w:val="34"/>
        </w:rPr>
        <w:t> Education Depa</w:t>
      </w:r>
      <w:r>
        <w:rPr>
          <w:rFonts w:ascii="Swis721 Cn BT"/>
          <w:color w:val="B1D235"/>
          <w:spacing w:val="25"/>
          <w:sz w:val="34"/>
        </w:rPr>
        <w:t>r</w:t>
      </w:r>
      <w:r>
        <w:rPr>
          <w:rFonts w:ascii="Swis721 Cn BT"/>
          <w:color w:val="B1D235"/>
          <w:sz w:val="34"/>
        </w:rPr>
        <w:t>tments</w:t>
      </w:r>
      <w:r>
        <w:rPr>
          <w:rFonts w:ascii="Swis721 Cn BT"/>
          <w:sz w:val="34"/>
        </w:rPr>
      </w: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8"/>
        <w:rPr>
          <w:rFonts w:ascii="Swis721 Cn BT" w:hAnsi="Swis721 Cn BT" w:cs="Swis721 Cn BT" w:eastAsia="Swis721 Cn BT"/>
          <w:sz w:val="23"/>
          <w:szCs w:val="23"/>
        </w:rPr>
      </w:pPr>
    </w:p>
    <w:p>
      <w:pPr>
        <w:pStyle w:val="Heading1"/>
        <w:spacing w:line="240" w:lineRule="auto" w:before="32"/>
        <w:ind w:left="1014" w:right="0"/>
        <w:jc w:val="left"/>
        <w:rPr>
          <w:b w:val="0"/>
          <w:bCs w:val="0"/>
        </w:rPr>
      </w:pPr>
      <w:r>
        <w:rPr>
          <w:color w:val="FFFFFF"/>
        </w:rPr>
        <w:t>Advisory groups and unions</w:t>
      </w:r>
      <w:r>
        <w:rPr>
          <w:b w:val="0"/>
        </w:rPr>
      </w:r>
    </w:p>
    <w:p>
      <w:pPr>
        <w:spacing w:after="0" w:line="240" w:lineRule="auto"/>
        <w:jc w:val="left"/>
        <w:sectPr>
          <w:footerReference w:type="even" r:id="rId29"/>
          <w:pgSz w:w="9980" w:h="14180"/>
          <w:pgMar w:footer="0" w:header="0" w:top="1320" w:bottom="280" w:left="740" w:right="1380"/>
        </w:sectPr>
      </w:pPr>
    </w:p>
    <w:p>
      <w:pPr>
        <w:spacing w:before="58"/>
        <w:ind w:left="0" w:right="108" w:firstLine="0"/>
        <w:jc w:val="right"/>
        <w:rPr>
          <w:rFonts w:ascii="Swis721 Lt BT" w:hAnsi="Swis721 Lt BT" w:cs="Swis721 Lt BT" w:eastAsia="Swis721 Lt BT"/>
          <w:sz w:val="14"/>
          <w:szCs w:val="14"/>
        </w:rPr>
      </w:pPr>
      <w:r>
        <w:rPr>
          <w:rFonts w:ascii="Swis721 Lt BT" w:hAnsi="Swis721 Lt BT" w:cs="Swis721 Lt BT" w:eastAsia="Swis721 Lt BT"/>
          <w:color w:val="FFFFFF"/>
          <w:spacing w:val="-1"/>
          <w:sz w:val="14"/>
          <w:szCs w:val="14"/>
        </w:rPr>
        <w:t>ANNUAL</w:t>
      </w:r>
      <w:r>
        <w:rPr>
          <w:rFonts w:ascii="Swis721 Lt BT" w:hAnsi="Swis721 Lt BT" w:cs="Swis721 Lt BT" w:eastAsia="Swis721 Lt BT"/>
          <w:color w:val="FFFFFF"/>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after="0" w:line="240" w:lineRule="auto"/>
        <w:rPr>
          <w:rFonts w:ascii="Swis721 Lt BT" w:hAnsi="Swis721 Lt BT" w:cs="Swis721 Lt BT" w:eastAsia="Swis721 Lt BT"/>
          <w:sz w:val="20"/>
          <w:szCs w:val="20"/>
        </w:rPr>
        <w:sectPr>
          <w:footerReference w:type="default" r:id="rId31"/>
          <w:pgSz w:w="9980" w:h="14180"/>
          <w:pgMar w:footer="0" w:header="0" w:top="360" w:bottom="280" w:left="920" w:right="740"/>
        </w:sectPr>
      </w:pPr>
    </w:p>
    <w:p>
      <w:pPr>
        <w:pStyle w:val="Heading1"/>
        <w:spacing w:line="240" w:lineRule="auto" w:before="197"/>
        <w:ind w:right="0" w:hanging="215"/>
        <w:jc w:val="center"/>
        <w:rPr>
          <w:b w:val="0"/>
          <w:bCs w:val="0"/>
        </w:rPr>
      </w:pPr>
      <w:r>
        <w:rPr>
          <w:color w:val="FFFFFF"/>
        </w:rPr>
        <w:t>Aboriginal and </w:t>
      </w:r>
      <w:r>
        <w:rPr>
          <w:color w:val="FFFFFF"/>
          <w:spacing w:val="-37"/>
        </w:rPr>
        <w:t>T</w:t>
      </w:r>
      <w:r>
        <w:rPr>
          <w:color w:val="FFFFFF"/>
        </w:rPr>
        <w:t>orres</w:t>
      </w:r>
      <w:r>
        <w:rPr>
          <w:color w:val="FFFFFF"/>
        </w:rPr>
        <w:t> Strait Islander peoples</w:t>
      </w:r>
      <w:r>
        <w:rPr>
          <w:b w:val="0"/>
        </w:rPr>
      </w:r>
    </w:p>
    <w:p>
      <w:pPr>
        <w:spacing w:line="240" w:lineRule="auto" w:before="0"/>
        <w:rPr>
          <w:rFonts w:ascii="Swis721 Cn BT" w:hAnsi="Swis721 Cn BT" w:cs="Swis721 Cn BT" w:eastAsia="Swis721 Cn BT"/>
          <w:b/>
          <w:bCs/>
          <w:sz w:val="42"/>
          <w:szCs w:val="42"/>
        </w:rPr>
      </w:pPr>
    </w:p>
    <w:p>
      <w:pPr>
        <w:spacing w:line="240" w:lineRule="auto" w:before="9"/>
        <w:rPr>
          <w:rFonts w:ascii="Swis721 Cn BT" w:hAnsi="Swis721 Cn BT" w:cs="Swis721 Cn BT" w:eastAsia="Swis721 Cn BT"/>
          <w:b/>
          <w:bCs/>
          <w:sz w:val="43"/>
          <w:szCs w:val="43"/>
        </w:rPr>
      </w:pPr>
    </w:p>
    <w:p>
      <w:pPr>
        <w:spacing w:before="0"/>
        <w:ind w:left="646" w:right="0" w:firstLine="0"/>
        <w:jc w:val="left"/>
        <w:rPr>
          <w:rFonts w:ascii="Swis721 Cn BT" w:hAnsi="Swis721 Cn BT" w:cs="Swis721 Cn BT" w:eastAsia="Swis721 Cn BT"/>
          <w:sz w:val="42"/>
          <w:szCs w:val="42"/>
        </w:rPr>
      </w:pPr>
      <w:r>
        <w:rPr>
          <w:rFonts w:ascii="Swis721 Cn BT"/>
          <w:b/>
          <w:color w:val="FFFFFF"/>
          <w:sz w:val="42"/>
        </w:rPr>
        <w:t>Students</w:t>
      </w:r>
      <w:r>
        <w:rPr>
          <w:rFonts w:ascii="Swis721 Cn BT"/>
          <w:sz w:val="42"/>
        </w:rPr>
      </w:r>
    </w:p>
    <w:p>
      <w:pPr>
        <w:pStyle w:val="Heading3"/>
        <w:spacing w:line="366" w:lineRule="exact"/>
        <w:ind w:left="646" w:right="0"/>
        <w:jc w:val="left"/>
      </w:pPr>
      <w:r>
        <w:rPr>
          <w:color w:val="B1D235"/>
        </w:rPr>
        <w:t>All school and early</w:t>
      </w:r>
      <w:r>
        <w:rPr/>
      </w:r>
    </w:p>
    <w:p>
      <w:pPr>
        <w:spacing w:line="240" w:lineRule="auto" w:before="0"/>
        <w:rPr>
          <w:rFonts w:ascii="Swis721 Cn BT" w:hAnsi="Swis721 Cn BT" w:cs="Swis721 Cn BT" w:eastAsia="Swis721 Cn BT"/>
          <w:sz w:val="42"/>
          <w:szCs w:val="42"/>
        </w:rPr>
      </w:pPr>
      <w:r>
        <w:rPr/>
        <w:br w:type="column"/>
      </w:r>
      <w:r>
        <w:rPr>
          <w:rFonts w:ascii="Swis721 Cn BT"/>
          <w:sz w:val="42"/>
        </w:rPr>
      </w:r>
    </w:p>
    <w:p>
      <w:pPr>
        <w:spacing w:line="240" w:lineRule="auto" w:before="4"/>
        <w:rPr>
          <w:rFonts w:ascii="Swis721 Cn BT" w:hAnsi="Swis721 Cn BT" w:cs="Swis721 Cn BT" w:eastAsia="Swis721 Cn BT"/>
          <w:sz w:val="58"/>
          <w:szCs w:val="58"/>
        </w:rPr>
      </w:pPr>
    </w:p>
    <w:p>
      <w:pPr>
        <w:spacing w:before="0"/>
        <w:ind w:left="116" w:right="250" w:firstLine="0"/>
        <w:jc w:val="left"/>
        <w:rPr>
          <w:rFonts w:ascii="Swis721 Cn BT" w:hAnsi="Swis721 Cn BT" w:cs="Swis721 Cn BT" w:eastAsia="Swis721 Cn BT"/>
          <w:sz w:val="42"/>
          <w:szCs w:val="42"/>
        </w:rPr>
      </w:pPr>
      <w:r>
        <w:rPr>
          <w:rFonts w:ascii="Swis721 Cn BT"/>
          <w:b/>
          <w:color w:val="FFFFFF"/>
          <w:spacing w:val="-2"/>
          <w:sz w:val="42"/>
        </w:rPr>
        <w:t>Local</w:t>
      </w:r>
      <w:r>
        <w:rPr>
          <w:rFonts w:ascii="Swis721 Cn BT"/>
          <w:b/>
          <w:color w:val="FFFFFF"/>
          <w:sz w:val="42"/>
        </w:rPr>
        <w:t> school</w:t>
      </w:r>
      <w:r>
        <w:rPr>
          <w:rFonts w:ascii="Swis721 Cn BT"/>
          <w:b/>
          <w:color w:val="FFFFFF"/>
          <w:spacing w:val="22"/>
          <w:sz w:val="42"/>
        </w:rPr>
        <w:t> </w:t>
      </w:r>
      <w:r>
        <w:rPr>
          <w:rFonts w:ascii="Swis721 Cn BT"/>
          <w:b/>
          <w:color w:val="FFFFFF"/>
          <w:sz w:val="42"/>
        </w:rPr>
        <w:t>networks and parents</w:t>
      </w:r>
      <w:r>
        <w:rPr>
          <w:rFonts w:ascii="Swis721 Cn BT"/>
          <w:sz w:val="42"/>
        </w:rPr>
      </w:r>
    </w:p>
    <w:p>
      <w:pPr>
        <w:spacing w:after="0"/>
        <w:jc w:val="left"/>
        <w:rPr>
          <w:rFonts w:ascii="Swis721 Cn BT" w:hAnsi="Swis721 Cn BT" w:cs="Swis721 Cn BT" w:eastAsia="Swis721 Cn BT"/>
          <w:sz w:val="42"/>
          <w:szCs w:val="42"/>
        </w:rPr>
        <w:sectPr>
          <w:type w:val="continuous"/>
          <w:pgSz w:w="9980" w:h="14180"/>
          <w:pgMar w:top="0" w:bottom="280" w:left="920" w:right="740"/>
          <w:cols w:num="2" w:equalWidth="0">
            <w:col w:w="3880" w:space="493"/>
            <w:col w:w="3947"/>
          </w:cols>
        </w:sectPr>
      </w:pPr>
    </w:p>
    <w:p>
      <w:pPr>
        <w:tabs>
          <w:tab w:pos="5050" w:val="left" w:leader="none"/>
        </w:tabs>
        <w:spacing w:line="443" w:lineRule="exact" w:before="0"/>
        <w:ind w:left="5050" w:right="0" w:hanging="4405"/>
        <w:jc w:val="left"/>
        <w:rPr>
          <w:rFonts w:ascii="Swis721 Cn BT" w:hAnsi="Swis721 Cn BT" w:cs="Swis721 Cn BT" w:eastAsia="Swis721 Cn BT"/>
          <w:sz w:val="42"/>
          <w:szCs w:val="42"/>
        </w:rPr>
      </w:pPr>
      <w:r>
        <w:rPr>
          <w:rFonts w:ascii="Swis721 Cn BT"/>
          <w:color w:val="B1D235"/>
          <w:sz w:val="34"/>
        </w:rPr>
        <w:t>childhood settings</w:t>
        <w:tab/>
      </w:r>
      <w:r>
        <w:rPr>
          <w:rFonts w:ascii="Swis721 Cn BT"/>
          <w:b/>
          <w:color w:val="FFFFFF"/>
          <w:spacing w:val="-37"/>
          <w:position w:val="3"/>
          <w:sz w:val="42"/>
        </w:rPr>
        <w:t>T</w:t>
      </w:r>
      <w:r>
        <w:rPr>
          <w:rFonts w:ascii="Swis721 Cn BT"/>
          <w:b/>
          <w:color w:val="FFFFFF"/>
          <w:position w:val="3"/>
          <w:sz w:val="42"/>
        </w:rPr>
        <w:t>eachers and</w:t>
      </w:r>
      <w:r>
        <w:rPr>
          <w:rFonts w:ascii="Swis721 Cn BT"/>
          <w:sz w:val="42"/>
        </w:rPr>
      </w:r>
    </w:p>
    <w:p>
      <w:pPr>
        <w:pStyle w:val="Heading1"/>
        <w:spacing w:line="497" w:lineRule="exact"/>
        <w:ind w:left="5050" w:right="0"/>
        <w:jc w:val="left"/>
        <w:rPr>
          <w:b w:val="0"/>
          <w:bCs w:val="0"/>
        </w:rPr>
      </w:pPr>
      <w:r>
        <w:rPr>
          <w:color w:val="FFFFFF"/>
        </w:rPr>
        <w:t>School leaders</w:t>
      </w:r>
      <w:r>
        <w:rPr>
          <w:b w:val="0"/>
        </w:rPr>
      </w:r>
    </w:p>
    <w:p>
      <w:pPr>
        <w:spacing w:after="0" w:line="497" w:lineRule="exact"/>
        <w:jc w:val="left"/>
        <w:sectPr>
          <w:type w:val="continuous"/>
          <w:pgSz w:w="9980" w:h="14180"/>
          <w:pgMar w:top="0" w:bottom="280" w:left="920" w:right="740"/>
        </w:sectPr>
      </w:pPr>
    </w:p>
    <w:p>
      <w:pPr>
        <w:spacing w:before="55"/>
        <w:ind w:left="158" w:right="0" w:firstLine="0"/>
        <w:jc w:val="left"/>
        <w:rPr>
          <w:rFonts w:ascii="Swis721 Cn BT" w:hAnsi="Swis721 Cn BT" w:cs="Swis721 Cn BT" w:eastAsia="Swis721 Cn BT"/>
          <w:sz w:val="42"/>
          <w:szCs w:val="42"/>
        </w:rPr>
      </w:pPr>
      <w:r>
        <w:rPr/>
        <w:pict>
          <v:group style="position:absolute;margin-left:-1.000003pt;margin-top:-.000789pt;width:499.9pt;height:708.7pt;mso-position-horizontal-relative:page;mso-position-vertical-relative:page;z-index:-184024" coordorigin="-20,0" coordsize="9998,14174">
            <v:group style="position:absolute;left:0;top:6;width:2;height:14074" coordorigin="0,6" coordsize="2,14074">
              <v:shape style="position:absolute;left:0;top:6;width:2;height:14074" coordorigin="0,6" coordsize="0,14074" path="m0,14080l0,6,0,14080e" filled="true" fillcolor="#d7da87" stroked="false">
                <v:path arrowok="t"/>
                <v:fill type="solid"/>
              </v:shape>
            </v:group>
            <v:group style="position:absolute;left:0;top:3466;width:9978;height:10708" coordorigin="0,3466" coordsize="9978,10708">
              <v:shape style="position:absolute;left:0;top:3466;width:9978;height:10708" coordorigin="0,3466" coordsize="9978,10708" path="m4882,3466l4254,3491,3639,3566,3041,3688,2461,3856,1900,4068,1362,4321,847,4613,358,4944,0,5228,0,14173,9978,14173,9978,5412,9867,5310,9406,4944,8917,4613,8402,4321,7864,4068,7303,3856,6723,3688,6124,3566,5510,3491,4882,3466e" filled="true" fillcolor="#e5e5af" stroked="false">
                <v:path arrowok="t"/>
                <v:fill type="solid"/>
              </v:shape>
            </v:group>
            <v:group style="position:absolute;left:263;top:6701;width:9544;height:7472" coordorigin="263,6701" coordsize="9544,7472">
              <v:shape style="position:absolute;left:263;top:6701;width:9544;height:7472" coordorigin="263,6701" coordsize="9544,7472" path="m5035,6701l4644,6717,4261,6764,3888,6840,3527,6944,3178,7076,2842,7234,2521,7416,2217,7622,1930,7850,1661,8099,1412,8368,1184,8655,978,8959,796,9280,638,9616,507,9965,402,10326,326,10699,279,11081,263,11473,279,11864,326,12247,402,12619,507,12981,638,13330,796,13666,978,13986,1104,14173,8965,14173,9092,13986,9274,13666,9432,13330,9563,12981,9668,12619,9744,12247,9791,11864,9806,11473,9791,11081,9744,10699,9668,10326,9563,9965,9432,9616,9274,9280,9092,8959,8886,8655,8658,8368,8409,8099,8140,7850,7853,7622,7548,7416,7228,7234,6892,7076,6543,6944,6182,6840,5809,6764,5426,6717,5035,6701xe" filled="true" fillcolor="#edecc7" stroked="false">
                <v:path arrowok="t"/>
                <v:fill type="solid"/>
              </v:shape>
              <v:shape style="position:absolute;left:0;top:0;width:9978;height:14173" type="#_x0000_t75" stroked="false">
                <v:imagedata r:id="rId32" o:title=""/>
              </v:shape>
            </v:group>
            <v:group style="position:absolute;left:0;top:8491;width:4919;height:2533" coordorigin="0,8491" coordsize="4919,2533">
              <v:shape style="position:absolute;left:0;top:8491;width:4919;height:2533" coordorigin="0,8491" coordsize="4919,2533" path="m0,8491l4919,11024e" filled="false" stroked="true" strokeweight="2pt" strokecolor="#fff200">
                <v:path arrowok="t"/>
                <v:stroke dashstyle="dash"/>
              </v:shape>
            </v:group>
            <v:group style="position:absolute;left:4963;top:11047;width:2;height:2" coordorigin="4963,11047" coordsize="2,2">
              <v:shape style="position:absolute;left:4963;top:11047;width:2;height:2" coordorigin="4963,11047" coordsize="2,1" path="m4963,11047l4965,11048e" filled="false" stroked="true" strokeweight="2pt" strokecolor="#fff200">
                <v:path arrowok="t"/>
              </v:shape>
            </v:group>
            <v:group style="position:absolute;left:0;top:7368;width:5034;height:3576" coordorigin="0,7368" coordsize="5034,3576">
              <v:shape style="position:absolute;left:0;top:7368;width:5034;height:3576" coordorigin="0,7368" coordsize="5034,3576" path="m0,7368l5034,10944e" filled="false" stroked="true" strokeweight="2pt" strokecolor="#fff200">
                <v:path arrowok="t"/>
                <v:stroke dashstyle="dash"/>
              </v:shape>
            </v:group>
            <v:group style="position:absolute;left:5075;top:10973;width:2;height:2" coordorigin="5075,10973" coordsize="2,2">
              <v:shape style="position:absolute;left:5075;top:10973;width:2;height:2" coordorigin="5075,10973" coordsize="2,2" path="m5075,10973l5076,10974e" filled="false" stroked="true" strokeweight="2pt" strokecolor="#fff200">
                <v:path arrowok="t"/>
              </v:shape>
            </v:group>
            <v:group style="position:absolute;left:3866;top:5597;width:2;height:2" coordorigin="3866,5597" coordsize="2,2">
              <v:shape style="position:absolute;left:3866;top:5597;width:2;height:2" coordorigin="3866,5597" coordsize="1,2" path="m3866,5597l3866,5598e" filled="false" stroked="true" strokeweight="2pt" strokecolor="#fff200">
                <v:path arrowok="t"/>
              </v:shape>
            </v:group>
            <v:group style="position:absolute;left:3884;top:5696;width:978;height:5349" coordorigin="3884,5696" coordsize="978,5349">
              <v:shape style="position:absolute;left:3884;top:5696;width:978;height:5349" coordorigin="3884,5696" coordsize="978,5349" path="m3884,5696l4862,11045e" filled="false" stroked="true" strokeweight="2pt" strokecolor="#fff200">
                <v:path arrowok="t"/>
                <v:stroke dashstyle="dash"/>
              </v:shape>
            </v:group>
            <v:group style="position:absolute;left:4871;top:11094;width:2;height:2" coordorigin="4871,11094" coordsize="2,2">
              <v:shape style="position:absolute;left:4871;top:11094;width:2;height:2" coordorigin="4871,11094" coordsize="1,2" path="m4871,11094l4871,11096e" filled="false" stroked="true" strokeweight="2pt" strokecolor="#fff200">
                <v:path arrowok="t"/>
              </v:shape>
            </v:group>
            <v:group style="position:absolute;left:4577;top:3242;width:2;height:2" coordorigin="4577,3242" coordsize="2,2">
              <v:shape style="position:absolute;left:4577;top:3242;width:2;height:2" coordorigin="4577,3242" coordsize="1,2" path="m4577,3242l4577,3244e" filled="false" stroked="true" strokeweight="2pt" strokecolor="#fff200">
                <v:path arrowok="t"/>
              </v:shape>
            </v:group>
            <v:group style="position:absolute;left:4580;top:3344;width:252;height:7730" coordorigin="4580,3344" coordsize="252,7730">
              <v:shape style="position:absolute;left:4580;top:3344;width:252;height:7730" coordorigin="4580,3344" coordsize="252,7730" path="m4580,3344l4832,11073e" filled="false" stroked="true" strokeweight="2pt" strokecolor="#fff200">
                <v:path arrowok="t"/>
                <v:stroke dashstyle="dash"/>
              </v:shape>
            </v:group>
            <v:group style="position:absolute;left:4834;top:11123;width:2;height:2" coordorigin="4834,11123" coordsize="2,2">
              <v:shape style="position:absolute;left:4834;top:11123;width:2;height:2" coordorigin="4834,11123" coordsize="1,2" path="m4834,11123l4834,11125e" filled="false" stroked="true" strokeweight="2pt" strokecolor="#fff200">
                <v:path arrowok="t"/>
              </v:shape>
            </v:group>
            <v:group style="position:absolute;left:0;top:10764;width:4755;height:205" coordorigin="0,10764" coordsize="4755,205">
              <v:shape style="position:absolute;left:0;top:10764;width:4755;height:205" coordorigin="0,10764" coordsize="4755,205" path="m0,10764l4754,10968e" filled="false" stroked="true" strokeweight="2pt" strokecolor="#fff200">
                <v:path arrowok="t"/>
                <v:stroke dashstyle="dash"/>
              </v:shape>
            </v:group>
            <v:group style="position:absolute;left:4805;top:10971;width:2;height:2" coordorigin="4805,10971" coordsize="2,2">
              <v:shape style="position:absolute;left:4805;top:10971;width:2;height:2" coordorigin="4805,10971" coordsize="2,1" path="m4805,10971l4807,10971e" filled="false" stroked="true" strokeweight="2pt" strokecolor="#fff200">
                <v:path arrowok="t"/>
              </v:shape>
            </v:group>
            <v:group style="position:absolute;left:2144;top:7113;width:2;height:2" coordorigin="2144,7113" coordsize="2,2">
              <v:shape style="position:absolute;left:2144;top:7113;width:2;height:2" coordorigin="2144,7113" coordsize="2,2" path="m2144,7113l2146,7114e" filled="false" stroked="true" strokeweight="2pt" strokecolor="#fff200">
                <v:path arrowok="t"/>
              </v:shape>
            </v:group>
            <v:group style="position:absolute;left:2206;top:7193;width:2840;height:3740" coordorigin="2206,7193" coordsize="2840,3740">
              <v:shape style="position:absolute;left:2206;top:7193;width:2840;height:3740" coordorigin="2206,7193" coordsize="2840,3740" path="m2206,7193l5045,10933e" filled="false" stroked="true" strokeweight="2pt" strokecolor="#fff200">
                <v:path arrowok="t"/>
                <v:stroke dashstyle="dash"/>
              </v:shape>
            </v:group>
            <v:group style="position:absolute;left:5075;top:10972;width:2;height:2" coordorigin="5075,10972" coordsize="2,2">
              <v:shape style="position:absolute;left:5075;top:10972;width:2;height:2" coordorigin="5075,10972" coordsize="2,2" path="m5075,10972l5076,10974e" filled="false" stroked="true" strokeweight="2pt" strokecolor="#fff200">
                <v:path arrowok="t"/>
              </v:shape>
            </v:group>
            <v:group style="position:absolute;left:0;top:9591;width:4916;height:1443" coordorigin="0,9591" coordsize="4916,1443">
              <v:shape style="position:absolute;left:0;top:9591;width:4916;height:1443" coordorigin="0,9591" coordsize="4916,1443" path="m0,9591l4915,11033e" filled="false" stroked="true" strokeweight="2pt" strokecolor="#fff200">
                <v:path arrowok="t"/>
                <v:stroke dashstyle="dash"/>
              </v:shape>
            </v:group>
            <v:group style="position:absolute;left:4963;top:11047;width:2;height:2" coordorigin="4963,11047" coordsize="2,2">
              <v:shape style="position:absolute;left:4963;top:11047;width:2;height:2" coordorigin="4963,11047" coordsize="2,1" path="m4963,11047l4965,11048e" filled="false" stroked="true" strokeweight="2pt" strokecolor="#fff200">
                <v:path arrowok="t"/>
              </v:shape>
            </v:group>
            <v:group style="position:absolute;left:0;top:11021;width:4832;height:1079" coordorigin="0,11021" coordsize="4832,1079">
              <v:shape style="position:absolute;left:0;top:11021;width:4832;height:1079" coordorigin="0,11021" coordsize="4832,1079" path="m0,12099l4831,11021e" filled="false" stroked="true" strokeweight="2pt" strokecolor="#fff200">
                <v:path arrowok="t"/>
                <v:stroke dashstyle="dash"/>
              </v:shape>
            </v:group>
            <v:group style="position:absolute;left:4880;top:11009;width:2;height:2" coordorigin="4880,11009" coordsize="2,2">
              <v:shape style="position:absolute;left:4880;top:11009;width:2;height:2" coordorigin="4880,11009" coordsize="2,1" path="m4880,11010l4882,11009e" filled="false" stroked="true" strokeweight="2pt" strokecolor="#fff200">
                <v:path arrowok="t"/>
              </v:shape>
            </v:group>
            <v:group style="position:absolute;left:6014;top:7392;width:2;height:2" coordorigin="6014,7392" coordsize="2,2">
              <v:shape style="position:absolute;left:6014;top:7392;width:2;height:2" coordorigin="6014,7392" coordsize="1,2" path="m6015,7392l6014,7394e" filled="false" stroked="true" strokeweight="2.0pt" strokecolor="#fff200">
                <v:path arrowok="t"/>
              </v:shape>
            </v:group>
            <v:group style="position:absolute;left:4979;top:7490;width:1009;height:3549" coordorigin="4979,7490" coordsize="1009,3549">
              <v:shape style="position:absolute;left:4979;top:7490;width:1009;height:3549" coordorigin="4979,7490" coordsize="1009,3549" path="m5987,7490l4979,11039e" filled="false" stroked="true" strokeweight="2pt" strokecolor="#fff200">
                <v:path arrowok="t"/>
                <v:stroke dashstyle="dash"/>
              </v:shape>
            </v:group>
            <v:group style="position:absolute;left:4964;top:11087;width:2;height:2" coordorigin="4964,11087" coordsize="2,2">
              <v:shape style="position:absolute;left:4964;top:11087;width:2;height:2" coordorigin="4964,11087" coordsize="1,2" path="m4965,11087l4964,11089e" filled="false" stroked="true" strokeweight="2pt" strokecolor="#fff200">
                <v:path arrowok="t"/>
              </v:shape>
            </v:group>
            <v:group style="position:absolute;left:5489;top:4228;width:2;height:2" coordorigin="5489,4228" coordsize="2,2">
              <v:shape style="position:absolute;left:5489;top:4228;width:2;height:2" coordorigin="5489,4228" coordsize="1,2" path="m5490,4228l5489,4230e" filled="false" stroked="true" strokeweight="2pt" strokecolor="#fff200">
                <v:path arrowok="t"/>
              </v:shape>
            </v:group>
            <v:group style="position:absolute;left:5006;top:4329;width:476;height:6443" coordorigin="5006,4329" coordsize="476,6443">
              <v:shape style="position:absolute;left:5006;top:4329;width:476;height:6443" coordorigin="5006,4329" coordsize="476,6443" path="m5482,4329l5006,10771e" filled="false" stroked="true" strokeweight="2.0pt" strokecolor="#fff200">
                <v:path arrowok="t"/>
                <v:stroke dashstyle="dash"/>
              </v:shape>
            </v:group>
            <v:group style="position:absolute;left:5003;top:10821;width:2;height:2" coordorigin="5003,10821" coordsize="2,2">
              <v:shape style="position:absolute;left:5003;top:10821;width:2;height:2" coordorigin="5003,10821" coordsize="1,2" path="m5003,10821l5003,10823e" filled="false" stroked="true" strokeweight="2pt" strokecolor="#fff200">
                <v:path arrowok="t"/>
              </v:shape>
              <v:shape style="position:absolute;left:2541;top:8604;width:4814;height:4814" type="#_x0000_t75" stroked="false">
                <v:imagedata r:id="rId33" o:title=""/>
              </v:shape>
            </v:group>
            <v:group style="position:absolute;left:2915;top:8976;width:4067;height:4067" coordorigin="2915,8976" coordsize="4067,4067">
              <v:shape style="position:absolute;left:2915;top:8976;width:4067;height:4067" coordorigin="2915,8976" coordsize="4067,4067" path="m4948,8976l4782,8983,4619,9003,4460,9035,4306,9080,4157,9136,4014,9203,3877,9281,3748,9369,3625,9466,3511,9572,3405,9686,3308,9809,3220,9938,3142,10075,3075,10218,3019,10367,2974,10521,2942,10680,2922,10843,2915,11009,2922,11176,2942,11339,2974,11498,3019,11652,3075,11801,3142,11944,3220,12080,3308,12210,3405,12333,3511,12447,3625,12553,3748,12650,3877,12738,4014,12816,4157,12883,4306,12939,4460,12984,4619,13016,4782,13036,4948,13043,5115,13036,5278,13016,5437,12984,5591,12939,5740,12883,5883,12816,6019,12738,6149,12650,6272,12553,6386,12447,6492,12333,6589,12210,6677,12080,6755,11944,6822,11801,6878,11652,6922,11498,6955,11339,6975,11176,6982,11009,6975,10843,6955,10680,6922,10521,6878,10367,6822,10218,6755,10075,6677,9938,6589,9809,6492,9686,6386,9572,6272,9466,6149,9369,6019,9281,5883,9203,5740,9136,5591,9080,5437,9035,5278,9003,5115,8983,4948,8976xe" filled="true" fillcolor="#014750" stroked="false">
                <v:path arrowok="t"/>
                <v:fill type="solid"/>
              </v:shape>
            </v:group>
            <v:group style="position:absolute;left:2915;top:8976;width:4067;height:4067" coordorigin="2915,8976" coordsize="4067,4067">
              <v:shape style="position:absolute;left:2915;top:8976;width:4067;height:4067" coordorigin="2915,8976" coordsize="4067,4067" path="m6982,11009l6975,11176,6955,11339,6922,11498,6878,11652,6822,11801,6755,11944,6677,12080,6589,12210,6492,12333,6386,12447,6272,12553,6149,12650,6019,12738,5883,12816,5740,12883,5591,12939,5437,12984,5278,13016,5115,13036,4948,13043,4782,13036,4619,13016,4460,12984,4306,12939,4157,12883,4014,12816,3877,12738,3748,12650,3625,12553,3511,12447,3405,12333,3308,12210,3220,12080,3142,11944,3075,11801,3019,11652,2974,11498,2942,11339,2922,11176,2915,11009,2922,10843,2942,10680,2974,10521,3019,10367,3075,10218,3142,10075,3220,9938,3308,9809,3405,9686,3511,9572,3625,9466,3748,9369,3877,9281,4014,9203,4157,9136,4306,9080,4460,9035,4619,9003,4782,8983,4948,8976,5115,8983,5278,9003,5437,9035,5591,9080,5740,9136,5883,9203,6019,9281,6149,9369,6272,9466,6386,9572,6492,9686,6589,9809,6677,9938,6755,10075,6822,10218,6878,10367,6922,10521,6955,10680,6975,10843,6982,11009xe" filled="false" stroked="true" strokeweight="3pt" strokecolor="#ffffff">
                <v:path arrowok="t"/>
              </v:shape>
            </v:group>
            <v:group style="position:absolute;left:3726;top:10310;width:2402;height:1200" coordorigin="3726,10310" coordsize="2402,1200">
              <v:shape style="position:absolute;left:3726;top:10310;width:2402;height:1200" coordorigin="3726,10310" coordsize="2402,1200" path="m4275,10798l4065,10798,4124,10810,4143,10818,4201,10864,4218,10926,4219,10952,4197,11048,4174,11050,4151,11054,4066,11070,4046,11076,4027,11080,3935,11110,3870,11142,3815,11176,3769,11220,3733,11288,3726,11350,3728,11370,3763,11440,3813,11482,3887,11506,3932,11510,3979,11510,4059,11498,4109,11476,4124,11468,4139,11458,4150,11450,3986,11450,3967,11448,3897,11404,3875,11328,3875,11302,3878,11280,3913,11210,3972,11164,4020,11144,4038,11136,4057,11130,4077,11124,4098,11120,4120,11114,4168,11106,4193,11100,4219,11098,4351,11098,4351,10940,4331,10866,4293,10814,4275,10798xe" filled="true" fillcolor="#ffffff" stroked="false">
                <v:path arrowok="t"/>
                <v:fill type="solid"/>
              </v:shape>
              <v:shape style="position:absolute;left:3726;top:10310;width:2402;height:1200" coordorigin="3726,10310" coordsize="2402,1200" path="m5270,11372l5239,11436,5253,11446,5269,11454,5286,11464,5304,11472,5322,11480,5342,11486,5362,11494,5382,11498,5403,11504,5424,11506,5445,11510,5507,11510,5581,11498,5653,11464,5674,11450,5456,11450,5418,11446,5345,11422,5289,11388,5270,11372xe" filled="true" fillcolor="#ffffff" stroked="false">
                <v:path arrowok="t"/>
                <v:fill type="solid"/>
              </v:shape>
              <v:shape style="position:absolute;left:3726;top:10310;width:2402;height:1200" coordorigin="3726,10310" coordsize="2402,1200" path="m4364,11398l4230,11398,4238,11416,4272,11466,4345,11498,4366,11500,4674,11500,4674,11436,4442,11436,4414,11434,4393,11428,4378,11418,4368,11406,4364,11398xe" filled="true" fillcolor="#ffffff" stroked="false">
                <v:path arrowok="t"/>
                <v:fill type="solid"/>
              </v:shape>
              <v:shape style="position:absolute;left:3726;top:10310;width:2402;height:1200" coordorigin="3726,10310" coordsize="2402,1200" path="m5003,10824l4871,10824,4872,11332,4893,11408,4930,11458,4999,11492,5042,11500,5186,11500,5181,11436,5117,11436,5089,11434,5018,11390,5003,11316,5003,10824xe" filled="true" fillcolor="#ffffff" stroked="false">
                <v:path arrowok="t"/>
                <v:fill type="solid"/>
              </v:shape>
              <v:shape style="position:absolute;left:3726;top:10310;width:2402;height:1200" coordorigin="3726,10310" coordsize="2402,1200" path="m4351,11098l4219,11098,4219,11148,4219,11214,4206,11288,4167,11358,4120,11406,4067,11436,3986,11450,4150,11450,4156,11446,4191,11422,4210,11410,4230,11398,4364,11398,4360,11392,4355,11374,4352,11354,4351,11332,4351,11098xe" filled="true" fillcolor="#ffffff" stroked="false">
                <v:path arrowok="t"/>
                <v:fill type="solid"/>
              </v:shape>
              <v:shape style="position:absolute;left:3726;top:10310;width:2402;height:1200" coordorigin="3726,10310" coordsize="2402,1200" path="m5490,10742l5448,10742,5404,10746,5343,10760,5272,10794,5213,10848,5187,10902,5176,10962,5176,10984,5178,11002,5197,11060,5248,11122,5295,11148,5308,11154,5381,11170,5404,11174,5428,11180,5480,11188,5510,11192,5535,11198,5601,11214,5659,11256,5674,11316,5673,11336,5629,11404,5566,11434,5499,11448,5475,11450,5674,11450,5722,11404,5755,11334,5763,11272,5763,11248,5741,11172,5704,11124,5636,11082,5573,11064,5555,11060,5534,11056,5509,11052,5480,11048,5448,11044,5398,11036,5376,11030,5356,11026,5337,11020,5282,10986,5266,10924,5269,10904,5302,10852,5353,10820,5410,10802,5453,10798,5660,10798,5661,10792,5625,10776,5607,10768,5569,10756,5510,10744,5490,10742xe" filled="true" fillcolor="#ffffff" stroked="false">
                <v:path arrowok="t"/>
                <v:fill type="solid"/>
              </v:shape>
              <v:shape style="position:absolute;left:3726;top:10310;width:2402;height:1200" coordorigin="3726,10310" coordsize="2402,1200" path="m5186,10752l4541,10752,4541,11436,4674,11436,4674,10824,5186,10824,5186,10752xe" filled="true" fillcolor="#ffffff" stroked="false">
                <v:path arrowok="t"/>
                <v:fill type="solid"/>
              </v:shape>
              <v:shape style="position:absolute;left:3726;top:10310;width:2402;height:1200" coordorigin="3726,10310" coordsize="2402,1200" path="m4064,10742l4019,10742,3999,10746,3979,10748,3959,10754,3939,10758,3920,10764,3861,10788,3807,10818,3790,10830,3774,10840,3758,10852,3804,10898,3820,10884,3837,10872,3890,10838,3966,10808,4024,10798,4275,10798,4262,10790,4197,10762,4135,10748,4064,10742xe" filled="true" fillcolor="#ffffff" stroked="false">
                <v:path arrowok="t"/>
                <v:fill type="solid"/>
              </v:shape>
              <v:shape style="position:absolute;left:3726;top:10310;width:2402;height:1200" coordorigin="3726,10310" coordsize="2402,1200" path="m5660,10798l5473,10798,5512,10802,5551,10810,5607,10834,5643,10860,5660,10798xe" filled="true" fillcolor="#ffffff" stroked="false">
                <v:path arrowok="t"/>
                <v:fill type="solid"/>
              </v:shape>
              <v:shape style="position:absolute;left:3726;top:10310;width:2402;height:1200" coordorigin="3726,10310" coordsize="2402,1200" path="m5003,10440l4950,10442,4949,10466,4947,10488,4938,10554,4917,10630,4882,10692,4837,10732,4778,10750,4755,10752,5003,10752,5003,10440xe" filled="true" fillcolor="#ffffff" stroked="false">
                <v:path arrowok="t"/>
                <v:fill type="solid"/>
              </v:shape>
              <v:shape style="position:absolute;left:3726;top:10310;width:2402;height:1200" coordorigin="3726,10310" coordsize="2402,1200" path="m4609,10428l4537,10466,4521,10502,4522,10528,4562,10592,4600,10604,4623,10602,4684,10562,4697,10524,4695,10502,4660,10448,4609,10428xe" filled="true" fillcolor="#ffffff" stroked="false">
                <v:path arrowok="t"/>
                <v:fill type="solid"/>
              </v:shape>
              <v:shape style="position:absolute;left:3726;top:10310;width:2402;height:1200" coordorigin="3726,10310" coordsize="2402,1200" path="m5945,10310l5813,10310,5813,11318,5823,11381,5864,11449,5929,11488,5993,11498,6128,11499,6128,11435,6079,11435,6065,11435,5998,11423,5952,11371,5945,11330,5945,10310xe" filled="true" fillcolor="#ffffff" stroked="false">
                <v:path arrowok="t"/>
                <v:fill type="solid"/>
              </v:shape>
              <v:shape style="position:absolute;left:3726;top:10310;width:2402;height:1200" coordorigin="3726,10310" coordsize="2402,1200" path="m6128,11434l6097,11435,6079,11435,6128,11435,6128,11434xe" filled="true" fillcolor="#ffffff" stroked="false">
                <v:path arrowok="t"/>
                <v:fill type="solid"/>
              </v:shape>
            </v:group>
            <v:group style="position:absolute;left:0;top:0;width:9978;height:1018" coordorigin="0,0" coordsize="9978,1018">
              <v:shape style="position:absolute;left:0;top:0;width:9978;height:1018" coordorigin="0,0" coordsize="9978,1018" path="m0,1018l9978,1018,9978,0,0,0,0,1018xe" filled="true" fillcolor="#003b45" stroked="false">
                <v:path arrowok="t"/>
                <v:fill type="solid"/>
              </v:shape>
            </v:group>
            <v:group style="position:absolute;left:3384;top:0;width:6594;height:1018" coordorigin="3384,0" coordsize="6594,1018">
              <v:shape style="position:absolute;left:3384;top:0;width:6594;height:1018" coordorigin="3384,0" coordsize="6594,1018" path="m6982,0l3384,1018,9978,1018,9978,0,6982,0e" filled="true" fillcolor="#005e63" stroked="false">
                <v:path arrowok="t"/>
                <v:fill type="solid"/>
              </v:shape>
            </v:group>
            <v:group style="position:absolute;left:0;top:1018;width:3385;height:958" coordorigin="0,1018" coordsize="3385,958">
              <v:shape style="position:absolute;left:0;top:1018;width:3385;height:958" coordorigin="0,1018" coordsize="3385,958" path="m3384,1018l0,1018,0,1975,3384,1018xe" filled="true" fillcolor="#bfd22b" stroked="false">
                <v:path arrowok="t"/>
                <v:fill type="solid"/>
              </v:shape>
            </v:group>
            <w10:wrap type="none"/>
          </v:group>
        </w:pict>
      </w:r>
      <w:r>
        <w:rPr>
          <w:rFonts w:ascii="Swis721 Cn BT"/>
          <w:b/>
          <w:color w:val="FFFFFF"/>
          <w:sz w:val="42"/>
        </w:rPr>
        <w:t>Early</w:t>
      </w:r>
      <w:r>
        <w:rPr>
          <w:rFonts w:ascii="Swis721 Cn BT"/>
          <w:sz w:val="42"/>
        </w:rPr>
      </w:r>
    </w:p>
    <w:p>
      <w:pPr>
        <w:spacing w:before="0"/>
        <w:ind w:left="158" w:right="0" w:firstLine="0"/>
        <w:jc w:val="left"/>
        <w:rPr>
          <w:rFonts w:ascii="Swis721 Cn BT" w:hAnsi="Swis721 Cn BT" w:cs="Swis721 Cn BT" w:eastAsia="Swis721 Cn BT"/>
          <w:sz w:val="42"/>
          <w:szCs w:val="42"/>
        </w:rPr>
      </w:pPr>
      <w:r>
        <w:rPr>
          <w:rFonts w:ascii="Swis721 Cn BT"/>
          <w:b/>
          <w:color w:val="FFFFFF"/>
          <w:sz w:val="42"/>
        </w:rPr>
        <w:t>childhood sector</w:t>
      </w:r>
      <w:r>
        <w:rPr>
          <w:rFonts w:ascii="Swis721 Cn BT"/>
          <w:sz w:val="42"/>
        </w:rPr>
      </w:r>
    </w:p>
    <w:p>
      <w:pPr>
        <w:pStyle w:val="Heading3"/>
        <w:spacing w:line="240" w:lineRule="auto"/>
        <w:ind w:left="158" w:right="258"/>
        <w:jc w:val="left"/>
      </w:pPr>
      <w:r>
        <w:rPr/>
        <w:br w:type="column"/>
      </w:r>
      <w:r>
        <w:rPr>
          <w:color w:val="B1D235"/>
        </w:rPr>
        <w:t>Primary and </w:t>
      </w:r>
      <w:r>
        <w:rPr>
          <w:color w:val="B1D235"/>
          <w:spacing w:val="1"/>
        </w:rPr>
        <w:t>secondary</w:t>
      </w:r>
      <w:r>
        <w:rPr>
          <w:color w:val="B1D235"/>
          <w:spacing w:val="28"/>
        </w:rPr>
        <w:t> </w:t>
      </w:r>
      <w:r>
        <w:rPr>
          <w:color w:val="B1D235"/>
        </w:rPr>
        <w:t>school principal</w:t>
      </w:r>
      <w:r>
        <w:rPr>
          <w:color w:val="B1D235"/>
        </w:rPr>
        <w:t> associations</w:t>
      </w:r>
      <w:r>
        <w:rPr/>
      </w:r>
    </w:p>
    <w:p>
      <w:pPr>
        <w:spacing w:after="0" w:line="240" w:lineRule="auto"/>
        <w:jc w:val="left"/>
        <w:sectPr>
          <w:type w:val="continuous"/>
          <w:pgSz w:w="9980" w:h="14180"/>
          <w:pgMar w:top="0" w:bottom="280" w:left="920" w:right="740"/>
          <w:cols w:num="2" w:equalWidth="0">
            <w:col w:w="2907" w:space="1985"/>
            <w:col w:w="3428"/>
          </w:cols>
        </w:sect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0"/>
        <w:rPr>
          <w:rFonts w:ascii="Swis721 Cn BT" w:hAnsi="Swis721 Cn BT" w:cs="Swis721 Cn BT" w:eastAsia="Swis721 Cn BT"/>
          <w:sz w:val="20"/>
          <w:szCs w:val="20"/>
        </w:rPr>
      </w:pPr>
    </w:p>
    <w:p>
      <w:pPr>
        <w:spacing w:line="240" w:lineRule="auto" w:before="9"/>
        <w:rPr>
          <w:rFonts w:ascii="Swis721 Cn BT" w:hAnsi="Swis721 Cn BT" w:cs="Swis721 Cn BT" w:eastAsia="Swis721 Cn BT"/>
          <w:sz w:val="29"/>
          <w:szCs w:val="29"/>
        </w:rPr>
      </w:pPr>
    </w:p>
    <w:p>
      <w:pPr>
        <w:pStyle w:val="Heading5"/>
        <w:spacing w:line="240" w:lineRule="auto" w:before="61"/>
        <w:ind w:left="850" w:right="0"/>
        <w:jc w:val="left"/>
        <w:rPr>
          <w:b w:val="0"/>
          <w:bCs w:val="0"/>
        </w:rPr>
      </w:pPr>
      <w:r>
        <w:rPr/>
        <w:pict>
          <v:group style="position:absolute;margin-left:0pt;margin-top:-330.210907pt;width:498.9pt;height:239.9pt;mso-position-horizontal-relative:page;mso-position-vertical-relative:paragraph;z-index:1696" coordorigin="0,-6604" coordsize="9978,4798">
            <v:group style="position:absolute;left:0;top:-6604;width:9978;height:1018" coordorigin="0,-6604" coordsize="9978,1018">
              <v:shape style="position:absolute;left:0;top:-6604;width:9978;height:1018" coordorigin="0,-6604" coordsize="9978,1018" path="m0,-5586l9978,-5586,9978,-6604,0,-6604,0,-5586xe" filled="true" fillcolor="#003b45" stroked="false">
                <v:path arrowok="t"/>
                <v:fill type="solid"/>
              </v:shape>
            </v:group>
            <v:group style="position:absolute;left:0;top:-5586;width:9978;height:3780" coordorigin="0,-5586" coordsize="9978,3780">
              <v:shape style="position:absolute;left:0;top:-5586;width:9978;height:3780" coordorigin="0,-5586" coordsize="9978,3780" path="m9978,-5586l0,-5586,0,-1807,9978,-4629,9978,-5586xe" filled="true" fillcolor="#bfd22b" stroked="false">
                <v:path arrowok="t"/>
                <v:fill type="solid"/>
              </v:shape>
              <v:shape style="position:absolute;left:0;top:-6604;width:9978;height:4798" type="#_x0000_t202" filled="false" stroked="false">
                <v:textbox inset="0,0,0,0">
                  <w:txbxContent>
                    <w:p>
                      <w:pPr>
                        <w:spacing w:line="240" w:lineRule="auto" w:before="0"/>
                        <w:rPr>
                          <w:rFonts w:ascii="Swis721 Lt BT" w:hAnsi="Swis721 Lt BT" w:cs="Swis721 Lt BT" w:eastAsia="Swis721 Lt BT"/>
                          <w:sz w:val="40"/>
                          <w:szCs w:val="40"/>
                        </w:rPr>
                      </w:pPr>
                    </w:p>
                    <w:p>
                      <w:pPr>
                        <w:spacing w:line="240" w:lineRule="auto" w:before="0"/>
                        <w:rPr>
                          <w:rFonts w:ascii="Swis721 Lt BT" w:hAnsi="Swis721 Lt BT" w:cs="Swis721 Lt BT" w:eastAsia="Swis721 Lt BT"/>
                          <w:sz w:val="40"/>
                          <w:szCs w:val="40"/>
                        </w:rPr>
                      </w:pPr>
                    </w:p>
                    <w:p>
                      <w:pPr>
                        <w:spacing w:line="240" w:lineRule="auto" w:before="10"/>
                        <w:rPr>
                          <w:rFonts w:ascii="Swis721 Lt BT" w:hAnsi="Swis721 Lt BT" w:cs="Swis721 Lt BT" w:eastAsia="Swis721 Lt BT"/>
                          <w:sz w:val="51"/>
                          <w:szCs w:val="51"/>
                        </w:rPr>
                      </w:pPr>
                    </w:p>
                    <w:p>
                      <w:pPr>
                        <w:spacing w:before="0"/>
                        <w:ind w:left="850" w:right="0" w:firstLine="0"/>
                        <w:jc w:val="left"/>
                        <w:rPr>
                          <w:rFonts w:ascii="Swis721 BT" w:hAnsi="Swis721 BT" w:cs="Swis721 BT" w:eastAsia="Swis721 BT"/>
                          <w:sz w:val="40"/>
                          <w:szCs w:val="40"/>
                        </w:rPr>
                      </w:pPr>
                      <w:r>
                        <w:rPr>
                          <w:rFonts w:ascii="Swis721 BT"/>
                          <w:b/>
                          <w:color w:val="005E63"/>
                          <w:sz w:val="40"/>
                        </w:rPr>
                        <w:t>SENIOR MANAGEMENT</w:t>
                      </w:r>
                      <w:r>
                        <w:rPr>
                          <w:rFonts w:ascii="Swis721 BT"/>
                          <w:sz w:val="40"/>
                        </w:rPr>
                      </w:r>
                    </w:p>
                    <w:p>
                      <w:pPr>
                        <w:spacing w:before="64"/>
                        <w:ind w:left="850" w:right="0" w:firstLine="0"/>
                        <w:jc w:val="left"/>
                        <w:rPr>
                          <w:rFonts w:ascii="Swis721 Lt BT" w:hAnsi="Swis721 Lt BT" w:cs="Swis721 Lt BT" w:eastAsia="Swis721 Lt BT"/>
                          <w:sz w:val="19"/>
                          <w:szCs w:val="19"/>
                        </w:rPr>
                      </w:pPr>
                      <w:r>
                        <w:rPr>
                          <w:rFonts w:ascii="Swis721 Lt BT"/>
                          <w:color w:val="231F20"/>
                          <w:sz w:val="19"/>
                        </w:rPr>
                        <w:t>As at 30 June 2019:</w:t>
                      </w:r>
                      <w:r>
                        <w:rPr>
                          <w:rFonts w:ascii="Swis721 Lt BT"/>
                          <w:sz w:val="19"/>
                        </w:rPr>
                      </w:r>
                    </w:p>
                  </w:txbxContent>
                </v:textbox>
                <w10:wrap type="none"/>
              </v:shape>
            </v:group>
            <w10:wrap type="none"/>
          </v:group>
        </w:pict>
      </w:r>
      <w:bookmarkStart w:name="SENIOR MANAGEMENT" w:id="6"/>
      <w:bookmarkEnd w:id="6"/>
      <w:r>
        <w:rPr>
          <w:b w:val="0"/>
        </w:rPr>
      </w:r>
      <w:r>
        <w:rPr>
          <w:color w:val="005E63"/>
        </w:rPr>
        <w:t>SENIOR OFFICERS</w:t>
      </w:r>
      <w:r>
        <w:rPr>
          <w:b w:val="0"/>
        </w:rPr>
      </w:r>
    </w:p>
    <w:p>
      <w:pPr>
        <w:spacing w:line="240" w:lineRule="auto" w:before="3"/>
        <w:rPr>
          <w:rFonts w:ascii="Swis721 BT" w:hAnsi="Swis721 BT" w:cs="Swis721 BT" w:eastAsia="Swis721 BT"/>
          <w:b/>
          <w:bCs/>
          <w:sz w:val="17"/>
          <w:szCs w:val="17"/>
        </w:rPr>
      </w:pPr>
    </w:p>
    <w:p>
      <w:pPr>
        <w:pStyle w:val="Heading7"/>
        <w:spacing w:line="240" w:lineRule="auto"/>
        <w:ind w:left="3297" w:right="0"/>
        <w:jc w:val="left"/>
        <w:rPr>
          <w:b w:val="0"/>
          <w:bCs w:val="0"/>
        </w:rPr>
      </w:pPr>
      <w:r>
        <w:rPr/>
        <w:pict>
          <v:group style="position:absolute;margin-left:42.52pt;margin-top:-3.545317pt;width:399.7pt;height:311.8pt;mso-position-horizontal-relative:page;mso-position-vertical-relative:paragraph;z-index:-184000" coordorigin="850,-71" coordsize="7994,6236">
            <v:group style="position:absolute;left:850;top:-70;width:2277;height:6234" coordorigin="850,-70" coordsize="2277,6234">
              <v:shape style="position:absolute;left:850;top:-70;width:2277;height:6234" coordorigin="850,-70" coordsize="2277,6234" path="m3127,-70l850,-70,850,6163,3127,6163,3127,-70xe" filled="true" fillcolor="#dae7e8" stroked="false">
                <v:path arrowok="t"/>
                <v:fill type="solid"/>
              </v:shape>
            </v:group>
            <v:group style="position:absolute;left:3127;top:-70;width:2;height:6234" coordorigin="3127,-70" coordsize="2,6234">
              <v:shape style="position:absolute;left:3127;top:-70;width:2;height:6234" coordorigin="3127,-70" coordsize="0,6234" path="m3127,-70l3127,6163e" filled="false" stroked="true" strokeweight=".101pt" strokecolor="#dae7e8">
                <v:path arrowok="t"/>
              </v:shape>
            </v:group>
            <v:group style="position:absolute;left:3127;top:-70;width:5718;height:6234" coordorigin="3127,-70" coordsize="5718,6234">
              <v:shape style="position:absolute;left:3127;top:-70;width:5718;height:6234" coordorigin="3127,-70" coordsize="5718,6234" path="m8844,-70l3127,-70,3127,6163,8844,6163,8844,-70xe" filled="true" fillcolor="#dae7e8" stroked="false">
                <v:path arrowok="t"/>
                <v:fill type="solid"/>
              </v:shape>
              <v:shape style="position:absolute;left:1023;top:103;width:2024;height:2530" type="#_x0000_t75" stroked="false">
                <v:imagedata r:id="rId36" o:title=""/>
              </v:shape>
            </v:group>
            <v:group style="position:absolute;left:1023;top:103;width:2024;height:2530" coordorigin="1023,103" coordsize="2024,2530">
              <v:shape style="position:absolute;left:1023;top:103;width:2024;height:2530" coordorigin="1023,103" coordsize="2024,2530" path="m1023,2633l3047,2633,3047,103,1023,103,1023,2633xe" filled="false" stroked="true" strokeweight=".3pt" strokecolor="#71797f">
                <v:path arrowok="t"/>
              </v:shape>
            </v:group>
            <w10:wrap type="none"/>
          </v:group>
        </w:pict>
      </w:r>
      <w:r>
        <w:rPr>
          <w:color w:val="00757A"/>
        </w:rPr>
        <w:t>Mark Grant</w:t>
      </w:r>
      <w:r>
        <w:rPr>
          <w:b w:val="0"/>
        </w:rPr>
      </w:r>
    </w:p>
    <w:p>
      <w:pPr>
        <w:spacing w:before="34"/>
        <w:ind w:left="3297" w:right="0" w:firstLine="0"/>
        <w:jc w:val="left"/>
        <w:rPr>
          <w:rFonts w:ascii="Swis721 Lt BT" w:hAnsi="Swis721 Lt BT" w:cs="Swis721 Lt BT" w:eastAsia="Swis721 Lt BT"/>
          <w:sz w:val="18"/>
          <w:szCs w:val="18"/>
        </w:rPr>
      </w:pPr>
      <w:r>
        <w:rPr>
          <w:rFonts w:ascii="Swis721 Lt BT"/>
          <w:i/>
          <w:color w:val="00757A"/>
          <w:sz w:val="18"/>
        </w:rPr>
        <w:t>Dip </w:t>
      </w:r>
      <w:r>
        <w:rPr>
          <w:rFonts w:ascii="Swis721 Lt BT"/>
          <w:i/>
          <w:color w:val="00757A"/>
          <w:spacing w:val="-5"/>
          <w:sz w:val="18"/>
        </w:rPr>
        <w:t>Teach</w:t>
      </w:r>
      <w:r>
        <w:rPr>
          <w:rFonts w:ascii="Swis721 Lt BT"/>
          <w:i/>
          <w:color w:val="00757A"/>
          <w:sz w:val="18"/>
        </w:rPr>
        <w:t> BEd MStudEd PCiL MACE</w:t>
      </w:r>
      <w:r>
        <w:rPr>
          <w:rFonts w:ascii="Swis721 Lt BT"/>
          <w:sz w:val="18"/>
        </w:rPr>
      </w:r>
    </w:p>
    <w:p>
      <w:pPr>
        <w:spacing w:line="240" w:lineRule="auto" w:before="2"/>
        <w:rPr>
          <w:rFonts w:ascii="Swis721 Lt BT" w:hAnsi="Swis721 Lt BT" w:cs="Swis721 Lt BT" w:eastAsia="Swis721 Lt BT"/>
          <w:i/>
          <w:sz w:val="18"/>
          <w:szCs w:val="18"/>
        </w:rPr>
      </w:pPr>
    </w:p>
    <w:p>
      <w:pPr>
        <w:pStyle w:val="BodyText"/>
        <w:spacing w:line="240" w:lineRule="auto" w:before="0"/>
        <w:ind w:left="3297" w:right="0"/>
        <w:jc w:val="left"/>
        <w:rPr>
          <w:rFonts w:ascii="Swis721 Md BT" w:hAnsi="Swis721 Md BT" w:cs="Swis721 Md BT" w:eastAsia="Swis721 Md BT"/>
        </w:rPr>
      </w:pPr>
      <w:r>
        <w:rPr>
          <w:rFonts w:ascii="Swis721 Md BT"/>
          <w:color w:val="303B41"/>
        </w:rPr>
        <w:t>Chief</w:t>
      </w:r>
      <w:r>
        <w:rPr>
          <w:rFonts w:ascii="Swis721 Md BT"/>
          <w:color w:val="303B41"/>
          <w:spacing w:val="-3"/>
        </w:rPr>
        <w:t> </w:t>
      </w:r>
      <w:r>
        <w:rPr>
          <w:rFonts w:ascii="Swis721 Md BT"/>
          <w:color w:val="303B41"/>
        </w:rPr>
        <w:t>Executive</w:t>
      </w:r>
      <w:r>
        <w:rPr>
          <w:rFonts w:ascii="Swis721 Md BT"/>
          <w:color w:val="303B41"/>
          <w:spacing w:val="-3"/>
        </w:rPr>
        <w:t> </w:t>
      </w:r>
      <w:r>
        <w:rPr>
          <w:rFonts w:ascii="Swis721 Md BT"/>
          <w:color w:val="303B41"/>
        </w:rPr>
        <w:t>Officer</w:t>
      </w:r>
      <w:r>
        <w:rPr>
          <w:rFonts w:ascii="Swis721 Md BT"/>
        </w:rPr>
      </w:r>
    </w:p>
    <w:p>
      <w:pPr>
        <w:pStyle w:val="BodyText"/>
        <w:spacing w:line="240" w:lineRule="auto"/>
        <w:ind w:left="3297" w:right="1302"/>
        <w:jc w:val="left"/>
      </w:pPr>
      <w:r>
        <w:rPr>
          <w:color w:val="231F20"/>
        </w:rPr>
        <w:t>Mark Grant joined AITSL as CEO in April 2019, bringing a significant</w:t>
      </w:r>
      <w:r>
        <w:rPr>
          <w:color w:val="231F20"/>
          <w:spacing w:val="-2"/>
        </w:rPr>
        <w:t> </w:t>
      </w:r>
      <w:r>
        <w:rPr>
          <w:color w:val="231F20"/>
        </w:rPr>
        <w:t>breadth</w:t>
      </w:r>
      <w:r>
        <w:rPr>
          <w:color w:val="231F20"/>
          <w:spacing w:val="-1"/>
        </w:rPr>
        <w:t> </w:t>
      </w:r>
      <w:r>
        <w:rPr>
          <w:color w:val="231F20"/>
        </w:rPr>
        <w:t>and</w:t>
      </w:r>
      <w:r>
        <w:rPr>
          <w:color w:val="231F20"/>
          <w:spacing w:val="-1"/>
        </w:rPr>
        <w:t> </w:t>
      </w:r>
      <w:r>
        <w:rPr>
          <w:color w:val="231F20"/>
        </w:rPr>
        <w:t>depth</w:t>
      </w:r>
      <w:r>
        <w:rPr>
          <w:color w:val="231F20"/>
          <w:spacing w:val="-1"/>
        </w:rPr>
        <w:t> </w:t>
      </w:r>
      <w:r>
        <w:rPr>
          <w:color w:val="231F20"/>
        </w:rPr>
        <w:t>of</w:t>
      </w:r>
      <w:r>
        <w:rPr>
          <w:color w:val="231F20"/>
          <w:spacing w:val="-1"/>
        </w:rPr>
        <w:t> </w:t>
      </w:r>
      <w:r>
        <w:rPr>
          <w:color w:val="231F20"/>
        </w:rPr>
        <w:t>operational</w:t>
      </w:r>
      <w:r>
        <w:rPr>
          <w:color w:val="231F20"/>
          <w:spacing w:val="-1"/>
        </w:rPr>
        <w:t> </w:t>
      </w:r>
      <w:r>
        <w:rPr>
          <w:color w:val="231F20"/>
        </w:rPr>
        <w:t>experience</w:t>
      </w:r>
      <w:r>
        <w:rPr>
          <w:color w:val="231F20"/>
          <w:spacing w:val="-1"/>
        </w:rPr>
        <w:t> </w:t>
      </w:r>
      <w:r>
        <w:rPr>
          <w:color w:val="231F20"/>
        </w:rPr>
        <w:t>as</w:t>
      </w:r>
      <w:r>
        <w:rPr>
          <w:color w:val="231F20"/>
          <w:spacing w:val="-1"/>
        </w:rPr>
        <w:t> </w:t>
      </w:r>
      <w:r>
        <w:rPr>
          <w:color w:val="231F20"/>
        </w:rPr>
        <w:t>a</w:t>
      </w:r>
      <w:r>
        <w:rPr>
          <w:color w:val="231F20"/>
        </w:rPr>
        <w:t> </w:t>
      </w:r>
      <w:r>
        <w:rPr>
          <w:color w:val="231F20"/>
          <w:spacing w:val="-3"/>
        </w:rPr>
        <w:t>teacher,</w:t>
      </w:r>
      <w:r>
        <w:rPr>
          <w:color w:val="231F20"/>
        </w:rPr>
        <w:t> principal and executive to the role. During a career</w:t>
      </w:r>
      <w:r>
        <w:rPr>
          <w:color w:val="231F20"/>
          <w:spacing w:val="26"/>
        </w:rPr>
        <w:t> </w:t>
      </w:r>
      <w:r>
        <w:rPr>
          <w:color w:val="231F20"/>
        </w:rPr>
        <w:t>dedicated to education, he has maintained a passion for quality</w:t>
      </w:r>
      <w:r>
        <w:rPr>
          <w:color w:val="231F20"/>
        </w:rPr>
        <w:t> teaching</w:t>
      </w:r>
      <w:r>
        <w:rPr>
          <w:color w:val="231F20"/>
          <w:spacing w:val="-1"/>
        </w:rPr>
        <w:t> </w:t>
      </w:r>
      <w:r>
        <w:rPr>
          <w:color w:val="231F20"/>
        </w:rPr>
        <w:t>and</w:t>
      </w:r>
      <w:r>
        <w:rPr>
          <w:color w:val="231F20"/>
          <w:spacing w:val="-1"/>
        </w:rPr>
        <w:t> </w:t>
      </w:r>
      <w:r>
        <w:rPr>
          <w:color w:val="231F20"/>
        </w:rPr>
        <w:t>school</w:t>
      </w:r>
      <w:r>
        <w:rPr>
          <w:color w:val="231F20"/>
          <w:spacing w:val="-1"/>
        </w:rPr>
        <w:t> </w:t>
      </w:r>
      <w:r>
        <w:rPr>
          <w:color w:val="231F20"/>
        </w:rPr>
        <w:t>leadership,</w:t>
      </w:r>
      <w:r>
        <w:rPr>
          <w:color w:val="231F20"/>
          <w:spacing w:val="-1"/>
        </w:rPr>
        <w:t> </w:t>
      </w:r>
      <w:r>
        <w:rPr>
          <w:color w:val="231F20"/>
        </w:rPr>
        <w:t>and</w:t>
      </w:r>
      <w:r>
        <w:rPr>
          <w:color w:val="231F20"/>
          <w:spacing w:val="-1"/>
        </w:rPr>
        <w:t> </w:t>
      </w:r>
      <w:r>
        <w:rPr>
          <w:color w:val="231F20"/>
        </w:rPr>
        <w:t>the resulting</w:t>
      </w:r>
      <w:r>
        <w:rPr>
          <w:color w:val="231F20"/>
          <w:spacing w:val="-1"/>
        </w:rPr>
        <w:t> </w:t>
      </w:r>
      <w:r>
        <w:rPr>
          <w:color w:val="231F20"/>
        </w:rPr>
        <w:t>benefits</w:t>
      </w:r>
      <w:r>
        <w:rPr>
          <w:color w:val="231F20"/>
          <w:spacing w:val="-1"/>
        </w:rPr>
        <w:t> </w:t>
      </w:r>
      <w:r>
        <w:rPr>
          <w:color w:val="231F20"/>
        </w:rPr>
        <w:t>these</w:t>
      </w:r>
      <w:r>
        <w:rPr>
          <w:color w:val="231F20"/>
        </w:rPr>
        <w:t> bring to students in the classroom.</w:t>
      </w:r>
      <w:r>
        <w:rPr/>
      </w:r>
    </w:p>
    <w:p>
      <w:pPr>
        <w:pStyle w:val="BodyText"/>
        <w:spacing w:line="240" w:lineRule="auto"/>
        <w:ind w:left="3297" w:right="1439"/>
        <w:jc w:val="left"/>
      </w:pPr>
      <w:r>
        <w:rPr>
          <w:color w:val="231F20"/>
        </w:rPr>
        <w:t>Prior to joining AITSL, Mark held the position of Executive</w:t>
      </w:r>
      <w:r>
        <w:rPr>
          <w:color w:val="231F20"/>
          <w:spacing w:val="25"/>
        </w:rPr>
        <w:t> </w:t>
      </w:r>
      <w:r>
        <w:rPr>
          <w:color w:val="231F20"/>
          <w:spacing w:val="-2"/>
        </w:rPr>
        <w:t>Director,</w:t>
      </w:r>
      <w:r>
        <w:rPr>
          <w:color w:val="231F20"/>
        </w:rPr>
        <w:t> Leadership and High </w:t>
      </w:r>
      <w:r>
        <w:rPr>
          <w:color w:val="231F20"/>
          <w:spacing w:val="-1"/>
        </w:rPr>
        <w:t>Performance</w:t>
      </w:r>
      <w:r>
        <w:rPr>
          <w:color w:val="231F20"/>
        </w:rPr>
        <w:t> at the Department</w:t>
      </w:r>
      <w:r>
        <w:rPr>
          <w:color w:val="231F20"/>
          <w:spacing w:val="25"/>
        </w:rPr>
        <w:t> </w:t>
      </w:r>
      <w:r>
        <w:rPr>
          <w:color w:val="231F20"/>
        </w:rPr>
        <w:t>of Education, </w:t>
      </w:r>
      <w:r>
        <w:rPr>
          <w:color w:val="231F20"/>
          <w:spacing w:val="-4"/>
        </w:rPr>
        <w:t>NSW.</w:t>
      </w:r>
      <w:r>
        <w:rPr>
          <w:color w:val="231F20"/>
        </w:rPr>
        <w:t> Mark combines this executive experience</w:t>
      </w:r>
      <w:r>
        <w:rPr>
          <w:color w:val="231F20"/>
          <w:spacing w:val="20"/>
        </w:rPr>
        <w:t> </w:t>
      </w:r>
      <w:r>
        <w:rPr>
          <w:color w:val="231F20"/>
        </w:rPr>
        <w:t>with a background in schools as a teacher and </w:t>
      </w:r>
      <w:r>
        <w:rPr>
          <w:color w:val="231F20"/>
          <w:spacing w:val="-3"/>
        </w:rPr>
        <w:t>leader.</w:t>
      </w:r>
      <w:r>
        <w:rPr>
          <w:color w:val="231F20"/>
        </w:rPr>
        <w:t> During</w:t>
      </w:r>
      <w:r>
        <w:rPr>
          <w:color w:val="231F20"/>
          <w:spacing w:val="23"/>
        </w:rPr>
        <w:t> </w:t>
      </w:r>
      <w:r>
        <w:rPr>
          <w:color w:val="231F20"/>
        </w:rPr>
        <w:t>his tenure as principal at three NSW schools, Mark drove</w:t>
      </w:r>
      <w:r>
        <w:rPr>
          <w:color w:val="231F20"/>
        </w:rPr>
        <w:t> improvement</w:t>
      </w:r>
      <w:r>
        <w:rPr>
          <w:color w:val="231F20"/>
          <w:spacing w:val="-1"/>
        </w:rPr>
        <w:t> </w:t>
      </w:r>
      <w:r>
        <w:rPr>
          <w:color w:val="231F20"/>
        </w:rPr>
        <w:t>initiatives</w:t>
      </w:r>
      <w:r>
        <w:rPr>
          <w:color w:val="231F20"/>
          <w:spacing w:val="-1"/>
        </w:rPr>
        <w:t> </w:t>
      </w:r>
      <w:r>
        <w:rPr>
          <w:color w:val="231F20"/>
        </w:rPr>
        <w:t>to</w:t>
      </w:r>
      <w:r>
        <w:rPr>
          <w:color w:val="231F20"/>
          <w:spacing w:val="-1"/>
        </w:rPr>
        <w:t> </w:t>
      </w:r>
      <w:r>
        <w:rPr>
          <w:color w:val="231F20"/>
        </w:rPr>
        <w:t>benefit</w:t>
      </w:r>
      <w:r>
        <w:rPr>
          <w:color w:val="231F20"/>
          <w:spacing w:val="-1"/>
        </w:rPr>
        <w:t> </w:t>
      </w:r>
      <w:r>
        <w:rPr>
          <w:color w:val="231F20"/>
        </w:rPr>
        <w:t>student growth</w:t>
      </w:r>
      <w:r>
        <w:rPr>
          <w:color w:val="231F20"/>
          <w:spacing w:val="-1"/>
        </w:rPr>
        <w:t> </w:t>
      </w:r>
      <w:r>
        <w:rPr>
          <w:color w:val="231F20"/>
        </w:rPr>
        <w:t>and</w:t>
      </w:r>
      <w:r>
        <w:rPr>
          <w:color w:val="231F20"/>
          <w:spacing w:val="-1"/>
        </w:rPr>
        <w:t> </w:t>
      </w:r>
      <w:r>
        <w:rPr>
          <w:color w:val="231F20"/>
        </w:rPr>
        <w:t>outcomes.</w:t>
      </w:r>
      <w:r>
        <w:rPr/>
      </w:r>
    </w:p>
    <w:p>
      <w:pPr>
        <w:pStyle w:val="BodyText"/>
        <w:spacing w:line="240" w:lineRule="auto"/>
        <w:ind w:left="3297" w:right="1439"/>
        <w:jc w:val="left"/>
      </w:pPr>
      <w:r>
        <w:rPr>
          <w:color w:val="231F20"/>
        </w:rPr>
        <w:t>Most </w:t>
      </w:r>
      <w:r>
        <w:rPr>
          <w:color w:val="231F20"/>
          <w:spacing w:val="-2"/>
        </w:rPr>
        <w:t>recently,</w:t>
      </w:r>
      <w:r>
        <w:rPr>
          <w:color w:val="231F20"/>
        </w:rPr>
        <w:t> Mark led complex, integrated strategic work,</w:t>
      </w:r>
      <w:r>
        <w:rPr>
          <w:color w:val="231F20"/>
          <w:spacing w:val="23"/>
        </w:rPr>
        <w:t> </w:t>
      </w:r>
      <w:r>
        <w:rPr>
          <w:color w:val="231F20"/>
        </w:rPr>
        <w:t>which has included school improvement measures; teacher</w:t>
      </w:r>
      <w:r>
        <w:rPr>
          <w:color w:val="231F20"/>
        </w:rPr>
        <w:t> </w:t>
      </w:r>
      <w:r>
        <w:rPr>
          <w:color w:val="231F20"/>
          <w:spacing w:val="-2"/>
        </w:rPr>
        <w:t>quality,</w:t>
      </w:r>
      <w:r>
        <w:rPr>
          <w:color w:val="231F20"/>
        </w:rPr>
        <w:t> induction, professional development and leadership</w:t>
      </w:r>
      <w:r>
        <w:rPr>
          <w:color w:val="231F20"/>
          <w:spacing w:val="21"/>
        </w:rPr>
        <w:t> </w:t>
      </w:r>
      <w:r>
        <w:rPr>
          <w:color w:val="231F20"/>
        </w:rPr>
        <w:t>support for all school-based staff; and needs-based funding</w:t>
      </w:r>
      <w:r>
        <w:rPr>
          <w:color w:val="231F20"/>
        </w:rPr>
        <w:t> budgets to all schools.</w:t>
      </w:r>
      <w:r>
        <w:rPr/>
      </w:r>
    </w:p>
    <w:p>
      <w:pPr>
        <w:pStyle w:val="BodyText"/>
        <w:spacing w:line="240" w:lineRule="auto"/>
        <w:ind w:left="3297" w:right="1429"/>
        <w:jc w:val="both"/>
      </w:pPr>
      <w:r>
        <w:rPr>
          <w:color w:val="231F20"/>
        </w:rPr>
        <w:t>Mark</w:t>
      </w:r>
      <w:r>
        <w:rPr>
          <w:color w:val="231F20"/>
          <w:spacing w:val="-1"/>
        </w:rPr>
        <w:t> </w:t>
      </w:r>
      <w:r>
        <w:rPr>
          <w:color w:val="231F20"/>
        </w:rPr>
        <w:t>has</w:t>
      </w:r>
      <w:r>
        <w:rPr>
          <w:color w:val="231F20"/>
          <w:spacing w:val="-1"/>
        </w:rPr>
        <w:t> </w:t>
      </w:r>
      <w:r>
        <w:rPr>
          <w:color w:val="231F20"/>
        </w:rPr>
        <w:t>a</w:t>
      </w:r>
      <w:r>
        <w:rPr>
          <w:color w:val="231F20"/>
          <w:spacing w:val="-1"/>
        </w:rPr>
        <w:t> </w:t>
      </w:r>
      <w:r>
        <w:rPr>
          <w:color w:val="231F20"/>
        </w:rPr>
        <w:t>deep</w:t>
      </w:r>
      <w:r>
        <w:rPr>
          <w:color w:val="231F20"/>
          <w:spacing w:val="-1"/>
        </w:rPr>
        <w:t> </w:t>
      </w:r>
      <w:r>
        <w:rPr>
          <w:color w:val="231F20"/>
        </w:rPr>
        <w:t>commitment</w:t>
      </w:r>
      <w:r>
        <w:rPr>
          <w:color w:val="231F20"/>
          <w:spacing w:val="-1"/>
        </w:rPr>
        <w:t> </w:t>
      </w:r>
      <w:r>
        <w:rPr>
          <w:color w:val="231F20"/>
        </w:rPr>
        <w:t>to making</w:t>
      </w:r>
      <w:r>
        <w:rPr>
          <w:color w:val="231F20"/>
          <w:spacing w:val="-1"/>
        </w:rPr>
        <w:t> </w:t>
      </w:r>
      <w:r>
        <w:rPr>
          <w:color w:val="231F20"/>
        </w:rPr>
        <w:t>a</w:t>
      </w:r>
      <w:r>
        <w:rPr>
          <w:color w:val="231F20"/>
          <w:spacing w:val="-1"/>
        </w:rPr>
        <w:t> </w:t>
      </w:r>
      <w:r>
        <w:rPr>
          <w:color w:val="231F20"/>
        </w:rPr>
        <w:t>broad</w:t>
      </w:r>
      <w:r>
        <w:rPr>
          <w:color w:val="231F20"/>
          <w:spacing w:val="-1"/>
        </w:rPr>
        <w:t> </w:t>
      </w:r>
      <w:r>
        <w:rPr>
          <w:color w:val="231F20"/>
        </w:rPr>
        <w:t>and</w:t>
      </w:r>
      <w:r>
        <w:rPr>
          <w:color w:val="231F20"/>
          <w:spacing w:val="-1"/>
        </w:rPr>
        <w:t> </w:t>
      </w:r>
      <w:r>
        <w:rPr>
          <w:color w:val="231F20"/>
        </w:rPr>
        <w:t>significant</w:t>
      </w:r>
      <w:r>
        <w:rPr>
          <w:color w:val="231F20"/>
          <w:w w:val="99"/>
        </w:rPr>
        <w:t> </w:t>
      </w:r>
      <w:r>
        <w:rPr>
          <w:color w:val="231F20"/>
        </w:rPr>
        <w:t>contribution to education, and to the lives of children and young</w:t>
      </w:r>
      <w:r>
        <w:rPr>
          <w:color w:val="231F20"/>
        </w:rPr>
        <w:t> people across the nation.</w:t>
      </w:r>
      <w:r>
        <w:rPr/>
      </w:r>
    </w:p>
    <w:p>
      <w:pPr>
        <w:spacing w:after="0" w:line="240" w:lineRule="auto"/>
        <w:jc w:val="both"/>
        <w:sectPr>
          <w:footerReference w:type="even" r:id="rId34"/>
          <w:footerReference w:type="default" r:id="rId35"/>
          <w:pgSz w:w="9980" w:h="14180"/>
          <w:pgMar w:footer="452" w:header="0" w:top="0" w:bottom="640" w:left="0" w:right="0"/>
          <w:pgNumType w:start="14"/>
        </w:sectPr>
      </w:pPr>
    </w:p>
    <w:p>
      <w:pPr>
        <w:spacing w:line="240" w:lineRule="auto" w:before="5"/>
        <w:rPr>
          <w:rFonts w:ascii="Swis721 Lt BT" w:hAnsi="Swis721 Lt BT" w:cs="Swis721 Lt BT" w:eastAsia="Swis721 Lt BT"/>
          <w:sz w:val="28"/>
          <w:szCs w:val="28"/>
        </w:rPr>
      </w:pPr>
    </w:p>
    <w:p>
      <w:pPr>
        <w:spacing w:before="77"/>
        <w:ind w:left="0" w:right="848" w:firstLine="0"/>
        <w:jc w:val="right"/>
        <w:rPr>
          <w:rFonts w:ascii="Swis721 Lt BT" w:hAnsi="Swis721 Lt BT" w:cs="Swis721 Lt BT" w:eastAsia="Swis721 Lt BT"/>
          <w:sz w:val="14"/>
          <w:szCs w:val="14"/>
        </w:rPr>
      </w:pPr>
      <w:r>
        <w:rPr/>
        <w:pict>
          <v:shape style="position:absolute;margin-left:0pt;margin-top:-17.711086pt;width:498.9pt;height:50.9pt;mso-position-horizontal-relative:page;mso-position-vertical-relative:paragraph;z-index:-183880" type="#_x0000_t202" filled="false" stroked="false">
            <v:textbox inset="0,0,0,0">
              <w:txbxContent>
                <w:p>
                  <w:pPr>
                    <w:spacing w:line="240" w:lineRule="auto" w:before="0"/>
                    <w:rPr>
                      <w:rFonts w:ascii="Swis721 Lt BT" w:hAnsi="Swis721 Lt BT" w:cs="Swis721 Lt BT" w:eastAsia="Swis721 Lt BT"/>
                      <w:sz w:val="14"/>
                      <w:szCs w:val="14"/>
                    </w:rPr>
                  </w:pPr>
                </w:p>
                <w:p>
                  <w:pPr>
                    <w:spacing w:line="240" w:lineRule="auto" w:before="0"/>
                    <w:rPr>
                      <w:rFonts w:ascii="Swis721 Lt BT" w:hAnsi="Swis721 Lt BT" w:cs="Swis721 Lt BT" w:eastAsia="Swis721 Lt BT"/>
                      <w:sz w:val="14"/>
                      <w:szCs w:val="14"/>
                    </w:rPr>
                  </w:pPr>
                </w:p>
                <w:p>
                  <w:pPr>
                    <w:spacing w:before="95"/>
                    <w:ind w:left="0" w:right="84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txbxContent>
            </v:textbox>
            <w10:wrap type="none"/>
          </v:shape>
        </w:pict>
      </w:r>
      <w:r>
        <w:rPr/>
        <w:pict>
          <v:group style="position:absolute;margin-left:0pt;margin-top:-17.711885pt;width:498.9pt;height:98.8pt;mso-position-horizontal-relative:page;mso-position-vertical-relative:paragraph;z-index:-183832" coordorigin="0,-354" coordsize="9978,1976">
            <v:group style="position:absolute;left:0;top:-354;width:9978;height:1018" coordorigin="0,-354" coordsize="9978,1018">
              <v:shape style="position:absolute;left:0;top:-354;width:9978;height:1018" coordorigin="0,-354" coordsize="9978,1018" path="m0,664l9978,664,9978,-354,0,-354,0,664xe" filled="true" fillcolor="#003b45" stroked="false">
                <v:path arrowok="t"/>
                <v:fill type="solid"/>
              </v:shape>
            </v:group>
            <v:group style="position:absolute;left:0;top:664;width:3385;height:958" coordorigin="0,664" coordsize="3385,958">
              <v:shape style="position:absolute;left:0;top:664;width:3385;height:958" coordorigin="0,664" coordsize="3385,958" path="m3384,664l0,664,0,1621,3384,664xe" filled="true" fillcolor="#bfd22b" stroked="false">
                <v:path arrowok="t"/>
                <v:fill type="solid"/>
              </v:shape>
            </v:group>
            <v:group style="position:absolute;left:3384;top:-354;width:6594;height:1018" coordorigin="3384,-354" coordsize="6594,1018">
              <v:shape style="position:absolute;left:3384;top:-354;width:6594;height:1018" coordorigin="3384,-354" coordsize="6594,1018" path="m6982,-354l3384,664,9978,664,9978,-354,6982,-354e" filled="true" fillcolor="#005e63" stroked="false">
                <v:path arrowok="t"/>
                <v:fill type="solid"/>
              </v:shape>
            </v:group>
            <w10:wrap type="none"/>
          </v:group>
        </w:pict>
      </w:r>
      <w:r>
        <w:rPr>
          <w:rFonts w:ascii="Swis721 Lt BT" w:hAnsi="Swis721 Lt BT" w:cs="Swis721 Lt BT" w:eastAsia="Swis721 Lt BT"/>
          <w:color w:val="FFFFFF"/>
          <w:spacing w:val="-1"/>
          <w:sz w:val="14"/>
          <w:szCs w:val="14"/>
        </w:rPr>
        <w:t>ANNUAL</w:t>
      </w:r>
      <w:r>
        <w:rPr>
          <w:rFonts w:ascii="Swis721 Lt BT" w:hAnsi="Swis721 Lt BT" w:cs="Swis721 Lt BT" w:eastAsia="Swis721 Lt BT"/>
          <w:color w:val="FFFFFF"/>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6"/>
        <w:rPr>
          <w:rFonts w:ascii="Swis721 Lt BT" w:hAnsi="Swis721 Lt BT" w:cs="Swis721 Lt BT" w:eastAsia="Swis721 Lt BT"/>
          <w:sz w:val="16"/>
          <w:szCs w:val="16"/>
        </w:rPr>
      </w:pPr>
    </w:p>
    <w:p>
      <w:pPr>
        <w:pStyle w:val="Heading7"/>
        <w:spacing w:line="240" w:lineRule="auto"/>
        <w:ind w:left="3580" w:right="0"/>
        <w:jc w:val="left"/>
        <w:rPr>
          <w:b w:val="0"/>
          <w:bCs w:val="0"/>
        </w:rPr>
      </w:pPr>
      <w:r>
        <w:rPr/>
        <w:pict>
          <v:group style="position:absolute;margin-left:56.693001pt;margin-top:-3.495195pt;width:399.7pt;height:300.2pt;mso-position-horizontal-relative:page;mso-position-vertical-relative:paragraph;z-index:-183856" coordorigin="1134,-70" coordsize="7994,6004">
            <v:group style="position:absolute;left:1134;top:-70;width:2277;height:6004" coordorigin="1134,-70" coordsize="2277,6004">
              <v:shape style="position:absolute;left:1134;top:-70;width:2277;height:6004" coordorigin="1134,-70" coordsize="2277,6004" path="m3410,-70l1134,-70,1134,5934,3410,5934,3410,-70xe" filled="true" fillcolor="#dae7e8" stroked="false">
                <v:path arrowok="t"/>
                <v:fill type="solid"/>
              </v:shape>
            </v:group>
            <v:group style="position:absolute;left:3410;top:-70;width:5718;height:6004" coordorigin="3410,-70" coordsize="5718,6004">
              <v:shape style="position:absolute;left:3410;top:-70;width:5718;height:6004" coordorigin="3410,-70" coordsize="5718,6004" path="m9128,-70l3410,-70,3410,5934,9128,5934,9128,-70xe" filled="true" fillcolor="#dae7e8" stroked="false">
                <v:path arrowok="t"/>
                <v:fill type="solid"/>
              </v:shape>
              <v:shape style="position:absolute;left:1307;top:103;width:2024;height:2530" type="#_x0000_t75" stroked="false">
                <v:imagedata r:id="rId37" o:title=""/>
              </v:shape>
            </v:group>
            <v:group style="position:absolute;left:1307;top:103;width:2024;height:2530" coordorigin="1307,103" coordsize="2024,2530">
              <v:shape style="position:absolute;left:1307;top:103;width:2024;height:2530" coordorigin="1307,103" coordsize="2024,2530" path="m1307,2633l3331,2633,3331,103,1307,103,1307,2633xe" filled="false" stroked="true" strokeweight=".3pt" strokecolor="#71797f">
                <v:path arrowok="t"/>
              </v:shape>
            </v:group>
            <w10:wrap type="none"/>
          </v:group>
        </w:pict>
      </w:r>
      <w:r>
        <w:rPr>
          <w:color w:val="00757A"/>
        </w:rPr>
        <w:t>Edmund Misson</w:t>
      </w:r>
      <w:r>
        <w:rPr>
          <w:b w:val="0"/>
        </w:rPr>
      </w:r>
    </w:p>
    <w:p>
      <w:pPr>
        <w:spacing w:before="34"/>
        <w:ind w:left="3580" w:right="0" w:firstLine="0"/>
        <w:jc w:val="left"/>
        <w:rPr>
          <w:rFonts w:ascii="Swis721 Lt BT" w:hAnsi="Swis721 Lt BT" w:cs="Swis721 Lt BT" w:eastAsia="Swis721 Lt BT"/>
          <w:sz w:val="18"/>
          <w:szCs w:val="18"/>
        </w:rPr>
      </w:pPr>
      <w:r>
        <w:rPr>
          <w:rFonts w:ascii="Swis721 Lt BT"/>
          <w:i/>
          <w:color w:val="00757A"/>
          <w:sz w:val="18"/>
        </w:rPr>
        <w:t>BA (Hons) </w:t>
      </w:r>
      <w:r>
        <w:rPr>
          <w:rFonts w:ascii="Swis721 Lt BT"/>
          <w:i/>
          <w:color w:val="00757A"/>
          <w:spacing w:val="-3"/>
          <w:sz w:val="18"/>
        </w:rPr>
        <w:t>EMPA</w:t>
      </w:r>
      <w:r>
        <w:rPr>
          <w:rFonts w:ascii="Swis721 Lt BT"/>
          <w:sz w:val="18"/>
        </w:rPr>
      </w:r>
    </w:p>
    <w:p>
      <w:pPr>
        <w:spacing w:line="240" w:lineRule="auto" w:before="2"/>
        <w:rPr>
          <w:rFonts w:ascii="Swis721 Lt BT" w:hAnsi="Swis721 Lt BT" w:cs="Swis721 Lt BT" w:eastAsia="Swis721 Lt BT"/>
          <w:i/>
          <w:sz w:val="18"/>
          <w:szCs w:val="18"/>
        </w:rPr>
      </w:pPr>
    </w:p>
    <w:p>
      <w:pPr>
        <w:pStyle w:val="BodyText"/>
        <w:spacing w:line="240" w:lineRule="auto" w:before="0"/>
        <w:ind w:left="3580" w:right="0"/>
        <w:jc w:val="left"/>
        <w:rPr>
          <w:rFonts w:ascii="Swis721 Md BT" w:hAnsi="Swis721 Md BT" w:cs="Swis721 Md BT" w:eastAsia="Swis721 Md BT"/>
        </w:rPr>
      </w:pPr>
      <w:r>
        <w:rPr>
          <w:rFonts w:ascii="Swis721 Md BT"/>
          <w:color w:val="303B41"/>
        </w:rPr>
        <w:t>Deputy</w:t>
      </w:r>
      <w:r>
        <w:rPr>
          <w:rFonts w:ascii="Swis721 Md BT"/>
          <w:color w:val="303B41"/>
          <w:spacing w:val="-2"/>
        </w:rPr>
        <w:t> </w:t>
      </w:r>
      <w:r>
        <w:rPr>
          <w:rFonts w:ascii="Swis721 Md BT"/>
          <w:color w:val="303B41"/>
        </w:rPr>
        <w:t>Chief</w:t>
      </w:r>
      <w:r>
        <w:rPr>
          <w:rFonts w:ascii="Swis721 Md BT"/>
          <w:color w:val="303B41"/>
          <w:spacing w:val="-2"/>
        </w:rPr>
        <w:t> </w:t>
      </w:r>
      <w:r>
        <w:rPr>
          <w:rFonts w:ascii="Swis721 Md BT"/>
          <w:color w:val="303B41"/>
        </w:rPr>
        <w:t>Executive</w:t>
      </w:r>
      <w:r>
        <w:rPr>
          <w:rFonts w:ascii="Swis721 Md BT"/>
          <w:color w:val="303B41"/>
          <w:spacing w:val="-2"/>
        </w:rPr>
        <w:t> </w:t>
      </w:r>
      <w:r>
        <w:rPr>
          <w:rFonts w:ascii="Swis721 Md BT"/>
          <w:color w:val="303B41"/>
        </w:rPr>
        <w:t>Officer</w:t>
      </w:r>
      <w:r>
        <w:rPr>
          <w:rFonts w:ascii="Swis721 Md BT"/>
        </w:rPr>
      </w:r>
    </w:p>
    <w:p>
      <w:pPr>
        <w:pStyle w:val="BodyText"/>
        <w:spacing w:line="240" w:lineRule="auto"/>
        <w:ind w:left="3580" w:right="1134"/>
        <w:jc w:val="left"/>
      </w:pPr>
      <w:r>
        <w:rPr>
          <w:color w:val="231F20"/>
        </w:rPr>
        <w:t>Edmund Misson is the Deputy CEO of AITSL and is a respected leader in the national education landscape.</w:t>
      </w:r>
      <w:r>
        <w:rPr/>
      </w:r>
    </w:p>
    <w:p>
      <w:pPr>
        <w:pStyle w:val="BodyText"/>
        <w:spacing w:line="240" w:lineRule="auto"/>
        <w:ind w:left="3580" w:right="1134"/>
        <w:jc w:val="left"/>
      </w:pPr>
      <w:r>
        <w:rPr>
          <w:color w:val="231F20"/>
        </w:rPr>
        <w:t>Edmund’s considerable experience across education research, policy development, and policy implementation has seen him successfully lead AITSL’s work with all jurisdictions to deliver solutions that promote quality teaching and school leadership across Australia.</w:t>
      </w:r>
      <w:r>
        <w:rPr/>
      </w:r>
    </w:p>
    <w:p>
      <w:pPr>
        <w:pStyle w:val="BodyText"/>
        <w:spacing w:line="240" w:lineRule="auto"/>
        <w:ind w:left="3580" w:right="1134"/>
        <w:jc w:val="left"/>
      </w:pPr>
      <w:r>
        <w:rPr>
          <w:color w:val="231F20"/>
        </w:rPr>
        <w:t>Since joining AITSL in 2011, Edmund’s focus has been on using the evidence to support teachers in all systems and sectors to excel at every stage of their teaching careers.</w:t>
      </w:r>
      <w:r>
        <w:rPr/>
      </w:r>
    </w:p>
    <w:p>
      <w:pPr>
        <w:pStyle w:val="BodyText"/>
        <w:spacing w:line="240" w:lineRule="auto"/>
        <w:ind w:left="3580" w:right="1134"/>
        <w:jc w:val="left"/>
      </w:pPr>
      <w:r>
        <w:rPr>
          <w:color w:val="231F20"/>
        </w:rPr>
        <w:t>He has led AITSL’s role in helping to shape national reforms to initial teacher education for graduate teachers, and several of AITSL’s landmark national policies and frameworks now being used by the profession in all states and territories.</w:t>
      </w:r>
      <w:r>
        <w:rPr/>
      </w:r>
    </w:p>
    <w:p>
      <w:pPr>
        <w:pStyle w:val="BodyText"/>
        <w:spacing w:line="240" w:lineRule="auto"/>
        <w:ind w:left="3580" w:right="595"/>
        <w:jc w:val="left"/>
      </w:pPr>
      <w:r>
        <w:rPr>
          <w:color w:val="231F20"/>
        </w:rPr>
        <w:t>Edmund previously held leadership roles with the Victorian Government, advising on a range of education, training and other social policy issues.</w:t>
      </w:r>
      <w:r>
        <w:rPr/>
      </w:r>
    </w:p>
    <w:p>
      <w:pPr>
        <w:pStyle w:val="BodyText"/>
        <w:spacing w:line="240" w:lineRule="auto"/>
        <w:ind w:left="3580" w:right="0"/>
        <w:jc w:val="left"/>
      </w:pPr>
      <w:r>
        <w:rPr>
          <w:color w:val="231F20"/>
        </w:rPr>
        <w:t>He has a Master’s degree in Public Administration.</w:t>
      </w:r>
      <w:r>
        <w:rPr/>
      </w:r>
    </w:p>
    <w:p>
      <w:pPr>
        <w:spacing w:line="240" w:lineRule="auto" w:before="7"/>
        <w:rPr>
          <w:rFonts w:ascii="Swis721 Lt BT" w:hAnsi="Swis721 Lt BT" w:cs="Swis721 Lt BT" w:eastAsia="Swis721 Lt BT"/>
          <w:sz w:val="26"/>
          <w:szCs w:val="26"/>
        </w:rPr>
      </w:pPr>
    </w:p>
    <w:p>
      <w:pPr>
        <w:spacing w:line="200" w:lineRule="atLeast"/>
        <w:ind w:left="1133"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399.7pt;height:152.15pt;mso-position-horizontal-relative:char;mso-position-vertical-relative:line" coordorigin="0,0" coordsize="7994,3043">
            <v:group style="position:absolute;left:0;top:0;width:2277;height:3043" coordorigin="0,0" coordsize="2277,3043">
              <v:shape style="position:absolute;left:0;top:0;width:2277;height:3043" coordorigin="0,0" coordsize="2277,3043" path="m2277,0l0,0,0,3042,2277,3042,2277,0xe" filled="true" fillcolor="#dae7e8" stroked="false">
                <v:path arrowok="t"/>
                <v:fill type="solid"/>
              </v:shape>
            </v:group>
            <v:group style="position:absolute;left:2277;top:0;width:5718;height:3043" coordorigin="2277,0" coordsize="5718,3043">
              <v:shape style="position:absolute;left:2277;top:0;width:5718;height:3043" coordorigin="2277,0" coordsize="5718,3043" path="m7994,0l2277,0,2277,3042,7994,3042,7994,0xe" filled="true" fillcolor="#dae7e8" stroked="false">
                <v:path arrowok="t"/>
                <v:fill type="solid"/>
              </v:shape>
              <v:shape style="position:absolute;left:173;top:173;width:2024;height:2530" type="#_x0000_t75" stroked="false">
                <v:imagedata r:id="rId38" o:title=""/>
              </v:shape>
            </v:group>
            <v:group style="position:absolute;left:173;top:173;width:2024;height:2530" coordorigin="173,173" coordsize="2024,2530">
              <v:shape style="position:absolute;left:173;top:173;width:2024;height:2530" coordorigin="173,173" coordsize="2024,2530" path="m173,2703l2197,2703,2197,173,173,173,173,2703xe" filled="false" stroked="true" strokeweight=".3pt" strokecolor="#71797f">
                <v:path arrowok="t"/>
              </v:shape>
              <v:shape style="position:absolute;left:0;top:0;width:7994;height:3043" type="#_x0000_t202" filled="false" stroked="false">
                <v:textbox inset="0,0,0,0">
                  <w:txbxContent>
                    <w:p>
                      <w:pPr>
                        <w:spacing w:before="135"/>
                        <w:ind w:left="2446" w:right="0" w:firstLine="0"/>
                        <w:jc w:val="left"/>
                        <w:rPr>
                          <w:rFonts w:ascii="Swis721 BT" w:hAnsi="Swis721 BT" w:cs="Swis721 BT" w:eastAsia="Swis721 BT"/>
                          <w:sz w:val="22"/>
                          <w:szCs w:val="22"/>
                        </w:rPr>
                      </w:pPr>
                      <w:r>
                        <w:rPr>
                          <w:rFonts w:ascii="Swis721 BT"/>
                          <w:b/>
                          <w:color w:val="00757A"/>
                          <w:sz w:val="22"/>
                        </w:rPr>
                        <w:t>Donald Abell</w:t>
                      </w:r>
                      <w:r>
                        <w:rPr>
                          <w:rFonts w:ascii="Swis721 BT"/>
                          <w:sz w:val="22"/>
                        </w:rPr>
                      </w:r>
                    </w:p>
                    <w:p>
                      <w:pPr>
                        <w:spacing w:before="34"/>
                        <w:ind w:left="2446" w:right="0" w:firstLine="0"/>
                        <w:jc w:val="left"/>
                        <w:rPr>
                          <w:rFonts w:ascii="Swis721 Lt BT" w:hAnsi="Swis721 Lt BT" w:cs="Swis721 Lt BT" w:eastAsia="Swis721 Lt BT"/>
                          <w:sz w:val="18"/>
                          <w:szCs w:val="18"/>
                        </w:rPr>
                      </w:pPr>
                      <w:r>
                        <w:rPr>
                          <w:rFonts w:ascii="Swis721 Lt BT"/>
                          <w:i/>
                          <w:color w:val="00757A"/>
                          <w:sz w:val="18"/>
                        </w:rPr>
                        <w:t>BCom GradDip FCA</w:t>
                      </w:r>
                      <w:r>
                        <w:rPr>
                          <w:rFonts w:ascii="Swis721 Lt BT"/>
                          <w:sz w:val="18"/>
                        </w:rPr>
                      </w:r>
                    </w:p>
                    <w:p>
                      <w:pPr>
                        <w:spacing w:line="240" w:lineRule="auto" w:before="2"/>
                        <w:rPr>
                          <w:rFonts w:ascii="Swis721 Lt BT" w:hAnsi="Swis721 Lt BT" w:cs="Swis721 Lt BT" w:eastAsia="Swis721 Lt BT"/>
                          <w:sz w:val="18"/>
                          <w:szCs w:val="18"/>
                        </w:rPr>
                      </w:pPr>
                    </w:p>
                    <w:p>
                      <w:pPr>
                        <w:spacing w:before="0"/>
                        <w:ind w:left="2446" w:right="0" w:firstLine="0"/>
                        <w:jc w:val="left"/>
                        <w:rPr>
                          <w:rFonts w:ascii="Swis721 Md BT" w:hAnsi="Swis721 Md BT" w:cs="Swis721 Md BT" w:eastAsia="Swis721 Md BT"/>
                          <w:sz w:val="19"/>
                          <w:szCs w:val="19"/>
                        </w:rPr>
                      </w:pPr>
                      <w:r>
                        <w:rPr>
                          <w:rFonts w:ascii="Swis721 Md BT"/>
                          <w:color w:val="303B41"/>
                          <w:sz w:val="19"/>
                        </w:rPr>
                        <w:t>Chief</w:t>
                      </w:r>
                      <w:r>
                        <w:rPr>
                          <w:rFonts w:ascii="Swis721 Md BT"/>
                          <w:color w:val="303B41"/>
                          <w:spacing w:val="-3"/>
                          <w:sz w:val="19"/>
                        </w:rPr>
                        <w:t> </w:t>
                      </w:r>
                      <w:r>
                        <w:rPr>
                          <w:rFonts w:ascii="Swis721 Md BT"/>
                          <w:color w:val="303B41"/>
                          <w:sz w:val="19"/>
                        </w:rPr>
                        <w:t>Financial</w:t>
                      </w:r>
                      <w:r>
                        <w:rPr>
                          <w:rFonts w:ascii="Swis721 Md BT"/>
                          <w:color w:val="303B41"/>
                          <w:spacing w:val="-3"/>
                          <w:sz w:val="19"/>
                        </w:rPr>
                        <w:t> </w:t>
                      </w:r>
                      <w:r>
                        <w:rPr>
                          <w:rFonts w:ascii="Swis721 Md BT"/>
                          <w:color w:val="303B41"/>
                          <w:sz w:val="19"/>
                        </w:rPr>
                        <w:t>Officer</w:t>
                      </w:r>
                      <w:r>
                        <w:rPr>
                          <w:rFonts w:ascii="Swis721 Md BT"/>
                          <w:sz w:val="19"/>
                        </w:rPr>
                      </w:r>
                    </w:p>
                    <w:p>
                      <w:pPr>
                        <w:spacing w:before="113"/>
                        <w:ind w:left="2446" w:right="816" w:firstLine="0"/>
                        <w:jc w:val="left"/>
                        <w:rPr>
                          <w:rFonts w:ascii="Swis721 Lt BT" w:hAnsi="Swis721 Lt BT" w:cs="Swis721 Lt BT" w:eastAsia="Swis721 Lt BT"/>
                          <w:sz w:val="19"/>
                          <w:szCs w:val="19"/>
                        </w:rPr>
                      </w:pPr>
                      <w:r>
                        <w:rPr>
                          <w:rFonts w:ascii="Swis721 Lt BT"/>
                          <w:color w:val="231F20"/>
                          <w:sz w:val="19"/>
                        </w:rPr>
                        <w:t>Don Abell joined AITSL in 2011 following a distinguished 30-year career in professional accounting culminating in a</w:t>
                      </w:r>
                      <w:r>
                        <w:rPr>
                          <w:rFonts w:ascii="Swis721 Lt BT"/>
                          <w:sz w:val="19"/>
                        </w:rPr>
                      </w:r>
                    </w:p>
                    <w:p>
                      <w:pPr>
                        <w:spacing w:before="0"/>
                        <w:ind w:left="2446" w:right="301"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25-year</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partnership</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at prestigious</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chartered accounting</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firm,</w:t>
                      </w:r>
                      <w:r>
                        <w:rPr>
                          <w:rFonts w:ascii="Swis721 Lt BT" w:hAnsi="Swis721 Lt BT" w:cs="Swis721 Lt BT" w:eastAsia="Swis721 Lt BT"/>
                          <w:color w:val="231F20"/>
                          <w:w w:val="99"/>
                          <w:sz w:val="19"/>
                          <w:szCs w:val="19"/>
                        </w:rPr>
                        <w:t> </w:t>
                      </w:r>
                      <w:r>
                        <w:rPr>
                          <w:rFonts w:ascii="Swis721 Lt BT" w:hAnsi="Swis721 Lt BT" w:cs="Swis721 Lt BT" w:eastAsia="Swis721 Lt BT"/>
                          <w:color w:val="231F20"/>
                          <w:sz w:val="19"/>
                          <w:szCs w:val="19"/>
                        </w:rPr>
                        <w:t>KPMG. At AITSL, Don is responsible for all aspects of managing</w:t>
                      </w:r>
                      <w:r>
                        <w:rPr>
                          <w:rFonts w:ascii="Swis721 Lt BT" w:hAnsi="Swis721 Lt BT" w:cs="Swis721 Lt BT" w:eastAsia="Swis721 Lt BT"/>
                          <w:color w:val="231F20"/>
                          <w:spacing w:val="25"/>
                          <w:sz w:val="19"/>
                          <w:szCs w:val="19"/>
                        </w:rPr>
                        <w:t> </w:t>
                      </w:r>
                      <w:r>
                        <w:rPr>
                          <w:rFonts w:ascii="Swis721 Lt BT" w:hAnsi="Swis721 Lt BT" w:cs="Swis721 Lt BT" w:eastAsia="Swis721 Lt BT"/>
                          <w:color w:val="231F20"/>
                          <w:sz w:val="19"/>
                          <w:szCs w:val="19"/>
                        </w:rPr>
                        <w:t>AITSL’s</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accounting</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and</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financial</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affairs.</w:t>
                      </w:r>
                      <w:r>
                        <w:rPr>
                          <w:rFonts w:ascii="Swis721 Lt BT" w:hAnsi="Swis721 Lt BT" w:cs="Swis721 Lt BT" w:eastAsia="Swis721 Lt BT"/>
                          <w:sz w:val="19"/>
                          <w:szCs w:val="19"/>
                        </w:rPr>
                      </w:r>
                    </w:p>
                    <w:p>
                      <w:pPr>
                        <w:spacing w:before="113"/>
                        <w:ind w:left="2446" w:right="425" w:firstLine="0"/>
                        <w:jc w:val="left"/>
                        <w:rPr>
                          <w:rFonts w:ascii="Swis721 Lt BT" w:hAnsi="Swis721 Lt BT" w:cs="Swis721 Lt BT" w:eastAsia="Swis721 Lt BT"/>
                          <w:sz w:val="19"/>
                          <w:szCs w:val="19"/>
                        </w:rPr>
                      </w:pPr>
                      <w:r>
                        <w:rPr>
                          <w:rFonts w:ascii="Swis721 Lt BT"/>
                          <w:color w:val="231F20"/>
                          <w:sz w:val="19"/>
                        </w:rPr>
                        <w:t>Don holds a Bachelor of Commerce and a Diploma of </w:t>
                      </w:r>
                      <w:r>
                        <w:rPr>
                          <w:rFonts w:ascii="Swis721 Lt BT"/>
                          <w:color w:val="231F20"/>
                          <w:spacing w:val="-26"/>
                          <w:sz w:val="19"/>
                        </w:rPr>
                        <w:t>T</w:t>
                      </w:r>
                      <w:r>
                        <w:rPr>
                          <w:rFonts w:ascii="Swis721 Lt BT"/>
                          <w:color w:val="231F20"/>
                          <w:sz w:val="19"/>
                        </w:rPr>
                        <w:t>axation</w:t>
                      </w:r>
                      <w:r>
                        <w:rPr>
                          <w:rFonts w:ascii="Swis721 Lt BT"/>
                          <w:color w:val="231F20"/>
                          <w:sz w:val="19"/>
                        </w:rPr>
                        <w:t> Law and is a </w:t>
                      </w:r>
                      <w:r>
                        <w:rPr>
                          <w:rFonts w:ascii="Swis721 Lt BT"/>
                          <w:color w:val="231F20"/>
                          <w:spacing w:val="-1"/>
                          <w:sz w:val="19"/>
                        </w:rPr>
                        <w:t>Fellow</w:t>
                      </w:r>
                      <w:r>
                        <w:rPr>
                          <w:rFonts w:ascii="Swis721 Lt BT"/>
                          <w:color w:val="231F20"/>
                          <w:sz w:val="19"/>
                        </w:rPr>
                        <w:t> of the Institute of Chartered Accountants.</w:t>
                      </w:r>
                      <w:r>
                        <w:rPr>
                          <w:rFonts w:ascii="Swis721 Lt BT"/>
                          <w:sz w:val="19"/>
                        </w:rPr>
                      </w:r>
                    </w:p>
                  </w:txbxContent>
                </v:textbox>
                <w10:wrap type="none"/>
              </v:shape>
            </v:group>
          </v:group>
        </w:pict>
      </w:r>
      <w:r>
        <w:rPr>
          <w:rFonts w:ascii="Swis721 Lt BT" w:hAnsi="Swis721 Lt BT" w:cs="Swis721 Lt BT" w:eastAsia="Swis721 Lt BT"/>
          <w:sz w:val="20"/>
          <w:szCs w:val="20"/>
        </w:rPr>
      </w:r>
    </w:p>
    <w:p>
      <w:pPr>
        <w:spacing w:after="0" w:line="200" w:lineRule="atLeast"/>
        <w:rPr>
          <w:rFonts w:ascii="Swis721 Lt BT" w:hAnsi="Swis721 Lt BT" w:cs="Swis721 Lt BT" w:eastAsia="Swis721 Lt BT"/>
          <w:sz w:val="20"/>
          <w:szCs w:val="20"/>
        </w:rPr>
        <w:sectPr>
          <w:pgSz w:w="9980" w:h="14180"/>
          <w:pgMar w:header="0" w:footer="452" w:top="0" w:bottom="640" w:left="0" w:right="0"/>
        </w:sectPr>
      </w:pPr>
    </w:p>
    <w:p>
      <w:pPr>
        <w:spacing w:before="48"/>
        <w:ind w:left="110" w:right="0" w:firstLine="0"/>
        <w:jc w:val="left"/>
        <w:rPr>
          <w:rFonts w:ascii="Swis721 Lt BT" w:hAnsi="Swis721 Lt BT" w:cs="Swis721 Lt BT" w:eastAsia="Swis721 Lt BT"/>
          <w:sz w:val="16"/>
          <w:szCs w:val="16"/>
        </w:rPr>
      </w:pPr>
      <w:r>
        <w:rPr>
          <w:rFonts w:ascii="Swis721 BT"/>
          <w:b/>
          <w:color w:val="00757A"/>
          <w:sz w:val="16"/>
        </w:rPr>
        <w:t>SENIOR MANAGEMENT </w:t>
      </w:r>
      <w:r>
        <w:rPr>
          <w:rFonts w:ascii="Swis721 Lt BT"/>
          <w:color w:val="00757A"/>
          <w:sz w:val="16"/>
        </w:rPr>
        <w:t>CONTINUED</w:t>
      </w:r>
      <w:r>
        <w:rPr>
          <w:rFonts w:ascii="Swis721 Lt BT"/>
          <w:sz w:val="16"/>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1"/>
        <w:rPr>
          <w:rFonts w:ascii="Swis721 Lt BT" w:hAnsi="Swis721 Lt BT" w:cs="Swis721 Lt BT" w:eastAsia="Swis721 Lt BT"/>
          <w:sz w:val="13"/>
          <w:szCs w:val="13"/>
        </w:rPr>
      </w:pPr>
    </w:p>
    <w:p>
      <w:pPr>
        <w:spacing w:line="200" w:lineRule="atLeast"/>
        <w:ind w:left="110"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399.7pt;height:254.8pt;mso-position-horizontal-relative:char;mso-position-vertical-relative:line" coordorigin="0,0" coordsize="7994,5096">
            <v:group style="position:absolute;left:0;top:1;width:2277;height:5094" coordorigin="0,1" coordsize="2277,5094">
              <v:shape style="position:absolute;left:0;top:1;width:2277;height:5094" coordorigin="0,1" coordsize="2277,5094" path="m2277,1l0,1,0,5094,2277,5094,2277,1xe" filled="true" fillcolor="#dae7e8" stroked="false">
                <v:path arrowok="t"/>
                <v:fill type="solid"/>
              </v:shape>
            </v:group>
            <v:group style="position:absolute;left:2277;top:1;width:2;height:5094" coordorigin="2277,1" coordsize="2,5094">
              <v:shape style="position:absolute;left:2277;top:1;width:2;height:5094" coordorigin="2277,1" coordsize="0,5094" path="m2277,1l2277,5094e" filled="false" stroked="true" strokeweight=".101pt" strokecolor="#dae7e8">
                <v:path arrowok="t"/>
              </v:shape>
            </v:group>
            <v:group style="position:absolute;left:2277;top:1;width:5718;height:5094" coordorigin="2277,1" coordsize="5718,5094">
              <v:shape style="position:absolute;left:2277;top:1;width:5718;height:5094" coordorigin="2277,1" coordsize="5718,5094" path="m7994,1l2277,1,2277,5094,7994,5094,7994,1xe" filled="true" fillcolor="#dae7e8" stroked="false">
                <v:path arrowok="t"/>
                <v:fill type="solid"/>
              </v:shape>
              <v:shape style="position:absolute;left:173;top:174;width:2024;height:2530" type="#_x0000_t75" stroked="false">
                <v:imagedata r:id="rId39" o:title=""/>
              </v:shape>
            </v:group>
            <v:group style="position:absolute;left:173;top:174;width:2024;height:2530" coordorigin="173,174" coordsize="2024,2530">
              <v:shape style="position:absolute;left:173;top:174;width:2024;height:2530" coordorigin="173,174" coordsize="2024,2530" path="m173,2704l2197,2704,2197,174,173,174,173,2704xe" filled="false" stroked="true" strokeweight=".3pt" strokecolor="#71797f">
                <v:path arrowok="t"/>
              </v:shape>
              <v:shape style="position:absolute;left:0;top:0;width:7994;height:5096" type="#_x0000_t202" filled="false" stroked="false">
                <v:textbox inset="0,0,0,0">
                  <w:txbxContent>
                    <w:p>
                      <w:pPr>
                        <w:spacing w:before="136"/>
                        <w:ind w:left="2446" w:right="0" w:firstLine="0"/>
                        <w:jc w:val="left"/>
                        <w:rPr>
                          <w:rFonts w:ascii="Swis721 BT" w:hAnsi="Swis721 BT" w:cs="Swis721 BT" w:eastAsia="Swis721 BT"/>
                          <w:sz w:val="22"/>
                          <w:szCs w:val="22"/>
                        </w:rPr>
                      </w:pPr>
                      <w:r>
                        <w:rPr>
                          <w:rFonts w:ascii="Swis721 BT"/>
                          <w:b/>
                          <w:color w:val="00757A"/>
                          <w:sz w:val="22"/>
                        </w:rPr>
                        <w:t>Dianne Jickell</w:t>
                      </w:r>
                      <w:r>
                        <w:rPr>
                          <w:rFonts w:ascii="Swis721 BT"/>
                          <w:sz w:val="22"/>
                        </w:rPr>
                      </w:r>
                    </w:p>
                    <w:p>
                      <w:pPr>
                        <w:spacing w:before="34"/>
                        <w:ind w:left="2446" w:right="0" w:firstLine="0"/>
                        <w:jc w:val="left"/>
                        <w:rPr>
                          <w:rFonts w:ascii="Swis721 Lt BT" w:hAnsi="Swis721 Lt BT" w:cs="Swis721 Lt BT" w:eastAsia="Swis721 Lt BT"/>
                          <w:sz w:val="18"/>
                          <w:szCs w:val="18"/>
                        </w:rPr>
                      </w:pPr>
                      <w:r>
                        <w:rPr>
                          <w:rFonts w:ascii="Swis721 Lt BT"/>
                          <w:i/>
                          <w:color w:val="00757A"/>
                          <w:sz w:val="18"/>
                        </w:rPr>
                        <w:t>BA (Hons)</w:t>
                      </w:r>
                      <w:r>
                        <w:rPr>
                          <w:rFonts w:ascii="Swis721 Lt BT"/>
                          <w:sz w:val="18"/>
                        </w:rPr>
                      </w:r>
                    </w:p>
                    <w:p>
                      <w:pPr>
                        <w:spacing w:line="240" w:lineRule="auto" w:before="2"/>
                        <w:rPr>
                          <w:rFonts w:ascii="Swis721 Lt BT" w:hAnsi="Swis721 Lt BT" w:cs="Swis721 Lt BT" w:eastAsia="Swis721 Lt BT"/>
                          <w:sz w:val="18"/>
                          <w:szCs w:val="18"/>
                        </w:rPr>
                      </w:pPr>
                    </w:p>
                    <w:p>
                      <w:pPr>
                        <w:spacing w:before="0"/>
                        <w:ind w:left="2446" w:right="0" w:firstLine="0"/>
                        <w:jc w:val="left"/>
                        <w:rPr>
                          <w:rFonts w:ascii="Swis721 Md BT" w:hAnsi="Swis721 Md BT" w:cs="Swis721 Md BT" w:eastAsia="Swis721 Md BT"/>
                          <w:sz w:val="19"/>
                          <w:szCs w:val="19"/>
                        </w:rPr>
                      </w:pPr>
                      <w:r>
                        <w:rPr>
                          <w:rFonts w:ascii="Swis721 Md BT"/>
                          <w:color w:val="303B41"/>
                          <w:sz w:val="19"/>
                        </w:rPr>
                        <w:t>General </w:t>
                      </w:r>
                      <w:r>
                        <w:rPr>
                          <w:rFonts w:ascii="Swis721 Md BT"/>
                          <w:color w:val="303B41"/>
                          <w:spacing w:val="-3"/>
                          <w:sz w:val="19"/>
                        </w:rPr>
                        <w:t>Manager,</w:t>
                      </w:r>
                      <w:r>
                        <w:rPr>
                          <w:rFonts w:ascii="Swis721 Md BT"/>
                          <w:color w:val="303B41"/>
                          <w:sz w:val="19"/>
                        </w:rPr>
                        <w:t> Communications and External Relations</w:t>
                      </w:r>
                      <w:r>
                        <w:rPr>
                          <w:rFonts w:ascii="Swis721 Md BT"/>
                          <w:sz w:val="19"/>
                        </w:rPr>
                      </w:r>
                    </w:p>
                    <w:p>
                      <w:pPr>
                        <w:spacing w:before="113"/>
                        <w:ind w:left="2446" w:right="445"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Dianne Jickell joined AITSL in May 2017. As General </w:t>
                      </w:r>
                      <w:r>
                        <w:rPr>
                          <w:rFonts w:ascii="Swis721 Lt BT" w:hAnsi="Swis721 Lt BT" w:cs="Swis721 Lt BT" w:eastAsia="Swis721 Lt BT"/>
                          <w:color w:val="231F20"/>
                          <w:spacing w:val="-3"/>
                          <w:sz w:val="19"/>
                          <w:szCs w:val="19"/>
                        </w:rPr>
                        <w:t>Manager,</w:t>
                      </w:r>
                      <w:r>
                        <w:rPr>
                          <w:rFonts w:ascii="Swis721 Lt BT" w:hAnsi="Swis721 Lt BT" w:cs="Swis721 Lt BT" w:eastAsia="Swis721 Lt BT"/>
                          <w:color w:val="231F20"/>
                          <w:spacing w:val="26"/>
                          <w:sz w:val="19"/>
                          <w:szCs w:val="19"/>
                        </w:rPr>
                        <w:t> </w:t>
                      </w:r>
                      <w:r>
                        <w:rPr>
                          <w:rFonts w:ascii="Swis721 Lt BT" w:hAnsi="Swis721 Lt BT" w:cs="Swis721 Lt BT" w:eastAsia="Swis721 Lt BT"/>
                          <w:color w:val="231F20"/>
                          <w:sz w:val="19"/>
                          <w:szCs w:val="19"/>
                        </w:rPr>
                        <w:t>she leads AITSL’s communications, external and stakeholder</w:t>
                      </w:r>
                      <w:r>
                        <w:rPr>
                          <w:rFonts w:ascii="Swis721 Lt BT" w:hAnsi="Swis721 Lt BT" w:cs="Swis721 Lt BT" w:eastAsia="Swis721 Lt BT"/>
                          <w:color w:val="231F20"/>
                          <w:sz w:val="19"/>
                          <w:szCs w:val="19"/>
                        </w:rPr>
                        <w:t> relations, people and culture, and business services functions.</w:t>
                      </w:r>
                      <w:r>
                        <w:rPr>
                          <w:rFonts w:ascii="Swis721 Lt BT" w:hAnsi="Swis721 Lt BT" w:cs="Swis721 Lt BT" w:eastAsia="Swis721 Lt BT"/>
                          <w:sz w:val="19"/>
                          <w:szCs w:val="19"/>
                        </w:rPr>
                      </w:r>
                    </w:p>
                    <w:p>
                      <w:pPr>
                        <w:spacing w:before="113"/>
                        <w:ind w:left="2446" w:right="364"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Dianne provides high level strategic and operational advice with a focus on strengthening AITSL’s internal engagement and external reach.</w:t>
                      </w:r>
                      <w:r>
                        <w:rPr>
                          <w:rFonts w:ascii="Swis721 Lt BT" w:hAnsi="Swis721 Lt BT" w:cs="Swis721 Lt BT" w:eastAsia="Swis721 Lt BT"/>
                          <w:sz w:val="19"/>
                          <w:szCs w:val="19"/>
                        </w:rPr>
                      </w:r>
                    </w:p>
                    <w:p>
                      <w:pPr>
                        <w:spacing w:before="113"/>
                        <w:ind w:left="2446" w:right="685" w:firstLine="0"/>
                        <w:jc w:val="left"/>
                        <w:rPr>
                          <w:rFonts w:ascii="Swis721 Lt BT" w:hAnsi="Swis721 Lt BT" w:cs="Swis721 Lt BT" w:eastAsia="Swis721 Lt BT"/>
                          <w:sz w:val="19"/>
                          <w:szCs w:val="19"/>
                        </w:rPr>
                      </w:pPr>
                      <w:r>
                        <w:rPr>
                          <w:rFonts w:ascii="Swis721 Lt BT"/>
                          <w:color w:val="231F20"/>
                          <w:sz w:val="19"/>
                        </w:rPr>
                        <w:t>Dianne has extensive experience in strategic leadership and change management, marketing, communications and stakeholder engagement across a wide range of sectors </w:t>
                      </w:r>
                      <w:r>
                        <w:rPr>
                          <w:rFonts w:ascii="Swis721 Lt BT"/>
                          <w:color w:val="231F20"/>
                          <w:spacing w:val="-1"/>
                          <w:sz w:val="19"/>
                        </w:rPr>
                        <w:t>internationally.</w:t>
                      </w:r>
                      <w:r>
                        <w:rPr>
                          <w:rFonts w:ascii="Swis721 Lt BT"/>
                          <w:sz w:val="19"/>
                        </w:rPr>
                      </w:r>
                    </w:p>
                    <w:p>
                      <w:pPr>
                        <w:spacing w:before="113"/>
                        <w:ind w:left="2446" w:right="217"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Prior to joining AITSL, Dianne was a senior executive at an</w:t>
                      </w:r>
                      <w:r>
                        <w:rPr>
                          <w:rFonts w:ascii="Swis721 Lt BT" w:hAnsi="Swis721 Lt BT" w:cs="Swis721 Lt BT" w:eastAsia="Swis721 Lt BT"/>
                          <w:color w:val="231F20"/>
                          <w:spacing w:val="25"/>
                          <w:sz w:val="19"/>
                          <w:szCs w:val="19"/>
                        </w:rPr>
                        <w:t> </w:t>
                      </w:r>
                      <w:r>
                        <w:rPr>
                          <w:rFonts w:ascii="Swis721 Lt BT" w:hAnsi="Swis721 Lt BT" w:cs="Swis721 Lt BT" w:eastAsia="Swis721 Lt BT"/>
                          <w:color w:val="231F20"/>
                          <w:sz w:val="19"/>
                          <w:szCs w:val="19"/>
                        </w:rPr>
                        <w:t>Australian peak </w:t>
                      </w:r>
                      <w:r>
                        <w:rPr>
                          <w:rFonts w:ascii="Swis721 Lt BT" w:hAnsi="Swis721 Lt BT" w:cs="Swis721 Lt BT" w:eastAsia="Swis721 Lt BT"/>
                          <w:color w:val="231F20"/>
                          <w:spacing w:val="-3"/>
                          <w:sz w:val="19"/>
                          <w:szCs w:val="19"/>
                        </w:rPr>
                        <w:t>body,</w:t>
                      </w:r>
                      <w:r>
                        <w:rPr>
                          <w:rFonts w:ascii="Swis721 Lt BT" w:hAnsi="Swis721 Lt BT" w:cs="Swis721 Lt BT" w:eastAsia="Swis721 Lt BT"/>
                          <w:color w:val="231F20"/>
                          <w:sz w:val="19"/>
                          <w:szCs w:val="19"/>
                        </w:rPr>
                        <w:t> Philanthropy Australia, where she delivered</w:t>
                      </w:r>
                      <w:r>
                        <w:rPr>
                          <w:rFonts w:ascii="Swis721 Lt BT" w:hAnsi="Swis721 Lt BT" w:cs="Swis721 Lt BT" w:eastAsia="Swis721 Lt BT"/>
                          <w:color w:val="231F20"/>
                          <w:sz w:val="19"/>
                          <w:szCs w:val="19"/>
                        </w:rPr>
                        <w:t> several key initiatives to support the organisation’s objectives and worked as part of the executive team to design and develop a refreshed direction for the organisation.</w:t>
                      </w:r>
                      <w:r>
                        <w:rPr>
                          <w:rFonts w:ascii="Swis721 Lt BT" w:hAnsi="Swis721 Lt BT" w:cs="Swis721 Lt BT" w:eastAsia="Swis721 Lt BT"/>
                          <w:sz w:val="19"/>
                          <w:szCs w:val="19"/>
                        </w:rPr>
                      </w:r>
                    </w:p>
                  </w:txbxContent>
                </v:textbox>
                <w10:wrap type="none"/>
              </v:shape>
            </v:group>
          </v:group>
        </w:pict>
      </w:r>
      <w:r>
        <w:rPr>
          <w:rFonts w:ascii="Swis721 Lt BT" w:hAnsi="Swis721 Lt BT" w:cs="Swis721 Lt BT" w:eastAsia="Swis721 Lt BT"/>
          <w:sz w:val="20"/>
          <w:szCs w:val="20"/>
        </w:rPr>
      </w:r>
    </w:p>
    <w:p>
      <w:pPr>
        <w:spacing w:line="240" w:lineRule="auto" w:before="11"/>
        <w:rPr>
          <w:rFonts w:ascii="Swis721 Lt BT" w:hAnsi="Swis721 Lt BT" w:cs="Swis721 Lt BT" w:eastAsia="Swis721 Lt BT"/>
          <w:sz w:val="21"/>
          <w:szCs w:val="21"/>
        </w:rPr>
      </w:pPr>
    </w:p>
    <w:p>
      <w:pPr>
        <w:pStyle w:val="Heading7"/>
        <w:spacing w:line="240" w:lineRule="auto"/>
        <w:ind w:right="0"/>
        <w:jc w:val="left"/>
        <w:rPr>
          <w:b w:val="0"/>
          <w:bCs w:val="0"/>
        </w:rPr>
      </w:pPr>
      <w:r>
        <w:rPr/>
        <w:pict>
          <v:group style="position:absolute;margin-left:42.52pt;margin-top:-3.545017pt;width:399.7pt;height:271.9pt;mso-position-horizontal-relative:page;mso-position-vertical-relative:paragraph;z-index:-183760" coordorigin="850,-71" coordsize="7994,5438">
            <v:group style="position:absolute;left:850;top:-70;width:2277;height:5436" coordorigin="850,-70" coordsize="2277,5436">
              <v:shape style="position:absolute;left:850;top:-70;width:2277;height:5436" coordorigin="850,-70" coordsize="2277,5436" path="m3127,-70l850,-70,850,5366,3127,5366,3127,-70xe" filled="true" fillcolor="#dae7e8" stroked="false">
                <v:path arrowok="t"/>
                <v:fill type="solid"/>
              </v:shape>
            </v:group>
            <v:group style="position:absolute;left:3127;top:-70;width:2;height:5436" coordorigin="3127,-70" coordsize="2,5436">
              <v:shape style="position:absolute;left:3127;top:-70;width:2;height:5436" coordorigin="3127,-70" coordsize="0,5436" path="m3127,-70l3127,5366e" filled="false" stroked="true" strokeweight=".101pt" strokecolor="#dae7e8">
                <v:path arrowok="t"/>
              </v:shape>
            </v:group>
            <v:group style="position:absolute;left:3127;top:-70;width:5718;height:5436" coordorigin="3127,-70" coordsize="5718,5436">
              <v:shape style="position:absolute;left:3127;top:-70;width:5718;height:5436" coordorigin="3127,-70" coordsize="5718,5436" path="m8844,-70l3127,-70,3127,5366,8844,5366,8844,-70xe" filled="true" fillcolor="#dae7e8" stroked="false">
                <v:path arrowok="t"/>
                <v:fill type="solid"/>
              </v:shape>
              <v:shape style="position:absolute;left:1023;top:103;width:2024;height:2530" type="#_x0000_t75" stroked="false">
                <v:imagedata r:id="rId40" o:title=""/>
              </v:shape>
            </v:group>
            <v:group style="position:absolute;left:1023;top:103;width:2024;height:2530" coordorigin="1023,103" coordsize="2024,2530">
              <v:shape style="position:absolute;left:1023;top:103;width:2024;height:2530" coordorigin="1023,103" coordsize="2024,2530" path="m1023,2633l3047,2633,3047,103,1023,103,1023,2633xe" filled="false" stroked="true" strokeweight=".3pt" strokecolor="#71797f">
                <v:path arrowok="t"/>
              </v:shape>
            </v:group>
            <w10:wrap type="none"/>
          </v:group>
        </w:pict>
      </w:r>
      <w:r>
        <w:rPr>
          <w:color w:val="00757A"/>
        </w:rPr>
        <w:t>Lisa Molloy</w:t>
      </w:r>
      <w:r>
        <w:rPr>
          <w:b w:val="0"/>
        </w:rPr>
      </w:r>
    </w:p>
    <w:p>
      <w:pPr>
        <w:spacing w:before="34"/>
        <w:ind w:left="2557" w:right="0" w:firstLine="0"/>
        <w:jc w:val="left"/>
        <w:rPr>
          <w:rFonts w:ascii="Swis721 Lt BT" w:hAnsi="Swis721 Lt BT" w:cs="Swis721 Lt BT" w:eastAsia="Swis721 Lt BT"/>
          <w:sz w:val="18"/>
          <w:szCs w:val="18"/>
        </w:rPr>
      </w:pPr>
      <w:r>
        <w:rPr>
          <w:rFonts w:ascii="Swis721 Lt BT"/>
          <w:i/>
          <w:color w:val="00757A"/>
          <w:spacing w:val="3"/>
          <w:sz w:val="18"/>
        </w:rPr>
        <w:t>B</w:t>
      </w:r>
      <w:r>
        <w:rPr>
          <w:rFonts w:ascii="Swis721 Lt BT"/>
          <w:i/>
          <w:color w:val="00757A"/>
          <w:sz w:val="18"/>
        </w:rPr>
        <w:t>Sc LLB MPICT GAICD FGIA AMIIA</w:t>
      </w:r>
      <w:r>
        <w:rPr>
          <w:rFonts w:ascii="Swis721 Lt BT"/>
          <w:sz w:val="18"/>
        </w:rPr>
      </w:r>
    </w:p>
    <w:p>
      <w:pPr>
        <w:spacing w:line="240" w:lineRule="auto" w:before="2"/>
        <w:rPr>
          <w:rFonts w:ascii="Swis721 Lt BT" w:hAnsi="Swis721 Lt BT" w:cs="Swis721 Lt BT" w:eastAsia="Swis721 Lt BT"/>
          <w:i/>
          <w:sz w:val="18"/>
          <w:szCs w:val="18"/>
        </w:rPr>
      </w:pPr>
    </w:p>
    <w:p>
      <w:pPr>
        <w:pStyle w:val="BodyText"/>
        <w:spacing w:line="240" w:lineRule="auto" w:before="0"/>
        <w:ind w:left="2557" w:right="0"/>
        <w:jc w:val="left"/>
        <w:rPr>
          <w:rFonts w:ascii="Swis721 Md BT" w:hAnsi="Swis721 Md BT" w:cs="Swis721 Md BT" w:eastAsia="Swis721 Md BT"/>
        </w:rPr>
      </w:pPr>
      <w:r>
        <w:rPr>
          <w:rFonts w:ascii="Swis721 Md BT"/>
          <w:color w:val="303B41"/>
        </w:rPr>
        <w:t>General Counsel and Company Secretary</w:t>
      </w:r>
      <w:r>
        <w:rPr>
          <w:rFonts w:ascii="Swis721 Md BT"/>
        </w:rPr>
      </w:r>
    </w:p>
    <w:p>
      <w:pPr>
        <w:pStyle w:val="BodyText"/>
        <w:spacing w:line="240" w:lineRule="auto"/>
        <w:ind w:left="2557" w:right="466"/>
        <w:jc w:val="left"/>
      </w:pPr>
      <w:r>
        <w:rPr>
          <w:color w:val="231F20"/>
        </w:rPr>
        <w:t>Lisa Molloy joined AITSL in 2017. As General Counsel and Company </w:t>
      </w:r>
      <w:r>
        <w:rPr>
          <w:color w:val="231F20"/>
          <w:spacing w:val="-2"/>
        </w:rPr>
        <w:t>Secretary,</w:t>
      </w:r>
      <w:r>
        <w:rPr>
          <w:color w:val="231F20"/>
        </w:rPr>
        <w:t> Lisa’s responsibilities include leading the</w:t>
      </w:r>
      <w:r>
        <w:rPr>
          <w:color w:val="231F20"/>
          <w:spacing w:val="25"/>
        </w:rPr>
        <w:t> </w:t>
      </w:r>
      <w:r>
        <w:rPr>
          <w:color w:val="231F20"/>
        </w:rPr>
        <w:t>Legal and Governance </w:t>
      </w:r>
      <w:r>
        <w:rPr>
          <w:color w:val="231F20"/>
          <w:spacing w:val="-6"/>
        </w:rPr>
        <w:t>Team,</w:t>
      </w:r>
      <w:r>
        <w:rPr>
          <w:color w:val="231F20"/>
        </w:rPr>
        <w:t> the Assessment for Migration</w:t>
      </w:r>
      <w:r>
        <w:rPr>
          <w:color w:val="231F20"/>
          <w:spacing w:val="24"/>
        </w:rPr>
        <w:t> </w:t>
      </w:r>
      <w:r>
        <w:rPr>
          <w:color w:val="231F20"/>
        </w:rPr>
        <w:t>function, and providing support and legal advice to the Board,</w:t>
      </w:r>
      <w:r>
        <w:rPr>
          <w:color w:val="231F20"/>
        </w:rPr>
        <w:t> executives, and company in general, ensuring regulatory compliance, risk management, and developing excellence in company governance.</w:t>
      </w:r>
      <w:r>
        <w:rPr/>
      </w:r>
    </w:p>
    <w:p>
      <w:pPr>
        <w:pStyle w:val="BodyText"/>
        <w:spacing w:line="240" w:lineRule="auto"/>
        <w:ind w:left="2557" w:right="466"/>
        <w:jc w:val="left"/>
      </w:pPr>
      <w:r>
        <w:rPr>
          <w:color w:val="231F20"/>
        </w:rPr>
        <w:t>Lisa</w:t>
      </w:r>
      <w:r>
        <w:rPr>
          <w:color w:val="231F20"/>
          <w:spacing w:val="-1"/>
        </w:rPr>
        <w:t> </w:t>
      </w:r>
      <w:r>
        <w:rPr>
          <w:color w:val="231F20"/>
        </w:rPr>
        <w:t>is</w:t>
      </w:r>
      <w:r>
        <w:rPr>
          <w:color w:val="231F20"/>
          <w:spacing w:val="-1"/>
        </w:rPr>
        <w:t> </w:t>
      </w:r>
      <w:r>
        <w:rPr>
          <w:color w:val="231F20"/>
        </w:rPr>
        <w:t>a</w:t>
      </w:r>
      <w:r>
        <w:rPr>
          <w:color w:val="231F20"/>
          <w:spacing w:val="-1"/>
        </w:rPr>
        <w:t> </w:t>
      </w:r>
      <w:r>
        <w:rPr>
          <w:color w:val="231F20"/>
        </w:rPr>
        <w:t>qualified</w:t>
      </w:r>
      <w:r>
        <w:rPr>
          <w:color w:val="231F20"/>
          <w:spacing w:val="-1"/>
        </w:rPr>
        <w:t> </w:t>
      </w:r>
      <w:r>
        <w:rPr>
          <w:color w:val="231F20"/>
        </w:rPr>
        <w:t>legal</w:t>
      </w:r>
      <w:r>
        <w:rPr>
          <w:color w:val="231F20"/>
          <w:spacing w:val="-1"/>
        </w:rPr>
        <w:t> </w:t>
      </w:r>
      <w:r>
        <w:rPr>
          <w:color w:val="231F20"/>
        </w:rPr>
        <w:t>professional</w:t>
      </w:r>
      <w:r>
        <w:rPr>
          <w:color w:val="231F20"/>
          <w:spacing w:val="-1"/>
        </w:rPr>
        <w:t> </w:t>
      </w:r>
      <w:r>
        <w:rPr>
          <w:color w:val="231F20"/>
        </w:rPr>
        <w:t>with</w:t>
      </w:r>
      <w:r>
        <w:rPr>
          <w:color w:val="231F20"/>
          <w:spacing w:val="-1"/>
        </w:rPr>
        <w:t> </w:t>
      </w:r>
      <w:r>
        <w:rPr>
          <w:color w:val="231F20"/>
        </w:rPr>
        <w:t>extensive experience</w:t>
      </w:r>
      <w:r>
        <w:rPr>
          <w:color w:val="231F20"/>
        </w:rPr>
        <w:t> working on boards of directors and providing legal, risk, and strategic advice to government and the private </w:t>
      </w:r>
      <w:r>
        <w:rPr>
          <w:color w:val="231F20"/>
          <w:spacing w:val="-3"/>
        </w:rPr>
        <w:t>sector.</w:t>
      </w:r>
      <w:r>
        <w:rPr>
          <w:color w:val="231F20"/>
        </w:rPr>
        <w:t> Prior to</w:t>
      </w:r>
      <w:r>
        <w:rPr>
          <w:color w:val="231F20"/>
          <w:spacing w:val="23"/>
        </w:rPr>
        <w:t> </w:t>
      </w:r>
      <w:r>
        <w:rPr>
          <w:color w:val="231F20"/>
        </w:rPr>
        <w:t>joining AITSL, Lisa worked with the Australian Government and</w:t>
      </w:r>
      <w:r>
        <w:rPr>
          <w:color w:val="231F20"/>
          <w:spacing w:val="25"/>
        </w:rPr>
        <w:t> </w:t>
      </w:r>
      <w:r>
        <w:rPr>
          <w:color w:val="231F20"/>
        </w:rPr>
        <w:t>in private practice.</w:t>
      </w:r>
      <w:r>
        <w:rPr/>
      </w:r>
    </w:p>
    <w:p>
      <w:pPr>
        <w:pStyle w:val="BodyText"/>
        <w:spacing w:line="240" w:lineRule="auto"/>
        <w:ind w:left="2557" w:right="466"/>
        <w:jc w:val="left"/>
      </w:pPr>
      <w:r>
        <w:rPr>
          <w:color w:val="231F20"/>
        </w:rPr>
        <w:t>In</w:t>
      </w:r>
      <w:r>
        <w:rPr>
          <w:color w:val="231F20"/>
          <w:spacing w:val="-2"/>
        </w:rPr>
        <w:t> </w:t>
      </w:r>
      <w:r>
        <w:rPr>
          <w:color w:val="231F20"/>
        </w:rPr>
        <w:t>addition</w:t>
      </w:r>
      <w:r>
        <w:rPr>
          <w:color w:val="231F20"/>
          <w:spacing w:val="-1"/>
        </w:rPr>
        <w:t> </w:t>
      </w:r>
      <w:r>
        <w:rPr>
          <w:color w:val="231F20"/>
        </w:rPr>
        <w:t>to</w:t>
      </w:r>
      <w:r>
        <w:rPr>
          <w:color w:val="231F20"/>
          <w:spacing w:val="-1"/>
        </w:rPr>
        <w:t> </w:t>
      </w:r>
      <w:r>
        <w:rPr>
          <w:color w:val="231F20"/>
        </w:rPr>
        <w:t>her</w:t>
      </w:r>
      <w:r>
        <w:rPr>
          <w:color w:val="231F20"/>
          <w:spacing w:val="-1"/>
        </w:rPr>
        <w:t> </w:t>
      </w:r>
      <w:r>
        <w:rPr>
          <w:color w:val="231F20"/>
        </w:rPr>
        <w:t>legal</w:t>
      </w:r>
      <w:r>
        <w:rPr>
          <w:color w:val="231F20"/>
          <w:spacing w:val="-1"/>
        </w:rPr>
        <w:t> </w:t>
      </w:r>
      <w:r>
        <w:rPr>
          <w:color w:val="231F20"/>
        </w:rPr>
        <w:t>qualifications,</w:t>
      </w:r>
      <w:r>
        <w:rPr>
          <w:color w:val="231F20"/>
          <w:spacing w:val="-1"/>
        </w:rPr>
        <w:t> </w:t>
      </w:r>
      <w:r>
        <w:rPr>
          <w:color w:val="231F20"/>
        </w:rPr>
        <w:t>Lisa</w:t>
      </w:r>
      <w:r>
        <w:rPr>
          <w:color w:val="231F20"/>
          <w:spacing w:val="-1"/>
        </w:rPr>
        <w:t> </w:t>
      </w:r>
      <w:r>
        <w:rPr>
          <w:color w:val="231F20"/>
        </w:rPr>
        <w:t>holds</w:t>
      </w:r>
      <w:r>
        <w:rPr>
          <w:color w:val="231F20"/>
          <w:spacing w:val="-1"/>
        </w:rPr>
        <w:t> </w:t>
      </w:r>
      <w:r>
        <w:rPr>
          <w:color w:val="231F20"/>
        </w:rPr>
        <w:t>a</w:t>
      </w:r>
      <w:r>
        <w:rPr>
          <w:color w:val="231F20"/>
          <w:spacing w:val="-2"/>
        </w:rPr>
        <w:t> </w:t>
      </w:r>
      <w:r>
        <w:rPr>
          <w:color w:val="231F20"/>
        </w:rPr>
        <w:t>Master</w:t>
      </w:r>
      <w:r>
        <w:rPr>
          <w:color w:val="231F20"/>
          <w:spacing w:val="-1"/>
        </w:rPr>
        <w:t> </w:t>
      </w:r>
      <w:r>
        <w:rPr>
          <w:color w:val="231F20"/>
        </w:rPr>
        <w:t>of</w:t>
      </w:r>
      <w:r>
        <w:rPr>
          <w:color w:val="231F20"/>
        </w:rPr>
        <w:t> </w:t>
      </w:r>
      <w:r>
        <w:rPr>
          <w:color w:val="231F20"/>
          <w:spacing w:val="-6"/>
        </w:rPr>
        <w:t>P</w:t>
      </w:r>
      <w:r>
        <w:rPr>
          <w:color w:val="231F20"/>
        </w:rPr>
        <w:t>olicing, Intelligence and Counter </w:t>
      </w:r>
      <w:r>
        <w:rPr>
          <w:color w:val="231F20"/>
          <w:spacing w:val="-26"/>
        </w:rPr>
        <w:t>T</w:t>
      </w:r>
      <w:r>
        <w:rPr>
          <w:color w:val="231F20"/>
        </w:rPr>
        <w:t>errorism, she is a graduate</w:t>
      </w:r>
      <w:r>
        <w:rPr>
          <w:color w:val="231F20"/>
        </w:rPr>
        <w:t> of the Australian Institute of Company Directors, a </w:t>
      </w:r>
      <w:r>
        <w:rPr>
          <w:color w:val="231F20"/>
          <w:spacing w:val="-1"/>
        </w:rPr>
        <w:t>Fellow</w:t>
      </w:r>
      <w:r>
        <w:rPr>
          <w:color w:val="231F20"/>
        </w:rPr>
        <w:t> of the</w:t>
      </w:r>
      <w:r>
        <w:rPr>
          <w:color w:val="231F20"/>
          <w:spacing w:val="21"/>
        </w:rPr>
        <w:t> </w:t>
      </w:r>
      <w:r>
        <w:rPr>
          <w:color w:val="231F20"/>
        </w:rPr>
        <w:t>Governance Institute and an associate member of the Institute</w:t>
      </w:r>
      <w:r>
        <w:rPr>
          <w:color w:val="231F20"/>
        </w:rPr>
        <w:t> of Internal Auditors.</w:t>
      </w:r>
      <w:r>
        <w:rPr/>
      </w:r>
    </w:p>
    <w:p>
      <w:pPr>
        <w:spacing w:after="0" w:line="240" w:lineRule="auto"/>
        <w:jc w:val="left"/>
        <w:sectPr>
          <w:pgSz w:w="9980" w:h="14180"/>
          <w:pgMar w:header="0" w:footer="452" w:top="800" w:bottom="640" w:left="740" w:right="1020"/>
        </w:sectPr>
      </w:pPr>
    </w:p>
    <w:p>
      <w:pPr>
        <w:spacing w:before="58"/>
        <w:ind w:left="0" w:right="10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1"/>
        <w:rPr>
          <w:rFonts w:ascii="Swis721 Lt BT" w:hAnsi="Swis721 Lt BT" w:cs="Swis721 Lt BT" w:eastAsia="Swis721 Lt BT"/>
          <w:sz w:val="11"/>
          <w:szCs w:val="11"/>
        </w:rPr>
      </w:pPr>
    </w:p>
    <w:p>
      <w:pPr>
        <w:spacing w:line="200" w:lineRule="atLeast"/>
        <w:ind w:left="113"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399.7pt;height:237.6pt;mso-position-horizontal-relative:char;mso-position-vertical-relative:line" coordorigin="0,0" coordsize="7994,4752">
            <v:group style="position:absolute;left:0;top:0;width:2277;height:4752" coordorigin="0,0" coordsize="2277,4752">
              <v:shape style="position:absolute;left:0;top:0;width:2277;height:4752" coordorigin="0,0" coordsize="2277,4752" path="m2277,0l0,0,0,4752,2277,4752,2277,0xe" filled="true" fillcolor="#dae7e8" stroked="false">
                <v:path arrowok="t"/>
                <v:fill type="solid"/>
              </v:shape>
            </v:group>
            <v:group style="position:absolute;left:2277;top:0;width:5718;height:4752" coordorigin="2277,0" coordsize="5718,4752">
              <v:shape style="position:absolute;left:2277;top:0;width:5718;height:4752" coordorigin="2277,0" coordsize="5718,4752" path="m7994,0l2277,0,2277,4752,7994,4752,7994,0xe" filled="true" fillcolor="#dae7e8" stroked="false">
                <v:path arrowok="t"/>
                <v:fill type="solid"/>
              </v:shape>
              <v:shape style="position:absolute;left:173;top:173;width:2024;height:2530" type="#_x0000_t75" stroked="false">
                <v:imagedata r:id="rId41" o:title=""/>
              </v:shape>
            </v:group>
            <v:group style="position:absolute;left:173;top:173;width:2024;height:2530" coordorigin="173,173" coordsize="2024,2530">
              <v:shape style="position:absolute;left:173;top:173;width:2024;height:2530" coordorigin="173,173" coordsize="2024,2530" path="m173,2703l2197,2703,2197,173,173,173,173,2703xe" filled="false" stroked="true" strokeweight=".3pt" strokecolor="#71797f">
                <v:path arrowok="t"/>
              </v:shape>
              <v:shape style="position:absolute;left:0;top:0;width:7994;height:4752" type="#_x0000_t202" filled="false" stroked="false">
                <v:textbox inset="0,0,0,0">
                  <w:txbxContent>
                    <w:p>
                      <w:pPr>
                        <w:spacing w:before="135"/>
                        <w:ind w:left="2446" w:right="0" w:firstLine="0"/>
                        <w:jc w:val="left"/>
                        <w:rPr>
                          <w:rFonts w:ascii="Swis721 BT" w:hAnsi="Swis721 BT" w:cs="Swis721 BT" w:eastAsia="Swis721 BT"/>
                          <w:sz w:val="22"/>
                          <w:szCs w:val="22"/>
                        </w:rPr>
                      </w:pPr>
                      <w:r>
                        <w:rPr>
                          <w:rFonts w:ascii="Swis721 BT"/>
                          <w:b/>
                          <w:color w:val="00757A"/>
                          <w:sz w:val="22"/>
                        </w:rPr>
                        <w:t>Daniel Pinchas</w:t>
                      </w:r>
                      <w:r>
                        <w:rPr>
                          <w:rFonts w:ascii="Swis721 BT"/>
                          <w:sz w:val="22"/>
                        </w:rPr>
                      </w:r>
                    </w:p>
                    <w:p>
                      <w:pPr>
                        <w:spacing w:before="34"/>
                        <w:ind w:left="2446" w:right="0" w:firstLine="0"/>
                        <w:jc w:val="left"/>
                        <w:rPr>
                          <w:rFonts w:ascii="Swis721 Lt BT" w:hAnsi="Swis721 Lt BT" w:cs="Swis721 Lt BT" w:eastAsia="Swis721 Lt BT"/>
                          <w:sz w:val="18"/>
                          <w:szCs w:val="18"/>
                        </w:rPr>
                      </w:pPr>
                      <w:r>
                        <w:rPr>
                          <w:rFonts w:ascii="Swis721 Lt BT"/>
                          <w:i/>
                          <w:color w:val="00757A"/>
                          <w:sz w:val="18"/>
                        </w:rPr>
                        <w:t>BEcon PGDipEd</w:t>
                      </w:r>
                      <w:r>
                        <w:rPr>
                          <w:rFonts w:ascii="Swis721 Lt BT"/>
                          <w:sz w:val="18"/>
                        </w:rPr>
                      </w:r>
                    </w:p>
                    <w:p>
                      <w:pPr>
                        <w:spacing w:line="240" w:lineRule="auto" w:before="2"/>
                        <w:rPr>
                          <w:rFonts w:ascii="Swis721 Lt BT" w:hAnsi="Swis721 Lt BT" w:cs="Swis721 Lt BT" w:eastAsia="Swis721 Lt BT"/>
                          <w:sz w:val="18"/>
                          <w:szCs w:val="18"/>
                        </w:rPr>
                      </w:pPr>
                    </w:p>
                    <w:p>
                      <w:pPr>
                        <w:spacing w:before="0"/>
                        <w:ind w:left="2446" w:right="0" w:firstLine="0"/>
                        <w:jc w:val="left"/>
                        <w:rPr>
                          <w:rFonts w:ascii="Swis721 Md BT" w:hAnsi="Swis721 Md BT" w:cs="Swis721 Md BT" w:eastAsia="Swis721 Md BT"/>
                          <w:sz w:val="19"/>
                          <w:szCs w:val="19"/>
                        </w:rPr>
                      </w:pPr>
                      <w:r>
                        <w:rPr>
                          <w:rFonts w:ascii="Swis721 Md BT"/>
                          <w:color w:val="303B41"/>
                          <w:sz w:val="19"/>
                        </w:rPr>
                        <w:t>General Manage</w:t>
                      </w:r>
                      <w:r>
                        <w:rPr>
                          <w:rFonts w:ascii="Swis721 Md BT"/>
                          <w:color w:val="303B41"/>
                          <w:spacing w:val="-18"/>
                          <w:sz w:val="19"/>
                        </w:rPr>
                        <w:t>r</w:t>
                      </w:r>
                      <w:r>
                        <w:rPr>
                          <w:rFonts w:ascii="Swis721 Md BT"/>
                          <w:color w:val="303B41"/>
                          <w:sz w:val="19"/>
                        </w:rPr>
                        <w:t>, </w:t>
                      </w:r>
                      <w:r>
                        <w:rPr>
                          <w:rFonts w:ascii="Swis721 Md BT"/>
                          <w:color w:val="303B41"/>
                          <w:spacing w:val="-24"/>
                          <w:sz w:val="19"/>
                        </w:rPr>
                        <w:t>T</w:t>
                      </w:r>
                      <w:r>
                        <w:rPr>
                          <w:rFonts w:ascii="Swis721 Md BT"/>
                          <w:color w:val="303B41"/>
                          <w:sz w:val="19"/>
                        </w:rPr>
                        <w:t>eaching and School Leadership</w:t>
                      </w:r>
                      <w:r>
                        <w:rPr>
                          <w:rFonts w:ascii="Swis721 Md BT"/>
                          <w:sz w:val="19"/>
                        </w:rPr>
                      </w:r>
                    </w:p>
                    <w:p>
                      <w:pPr>
                        <w:spacing w:before="113"/>
                        <w:ind w:left="2446" w:right="266" w:firstLine="0"/>
                        <w:jc w:val="left"/>
                        <w:rPr>
                          <w:rFonts w:ascii="Swis721 Lt BT" w:hAnsi="Swis721 Lt BT" w:cs="Swis721 Lt BT" w:eastAsia="Swis721 Lt BT"/>
                          <w:sz w:val="19"/>
                          <w:szCs w:val="19"/>
                        </w:rPr>
                      </w:pPr>
                      <w:r>
                        <w:rPr>
                          <w:rFonts w:ascii="Swis721 Lt BT"/>
                          <w:color w:val="231F20"/>
                          <w:sz w:val="19"/>
                        </w:rPr>
                        <w:t>Daniel Pinchas joined AITSL in 2013 after spending several years as a </w:t>
                      </w:r>
                      <w:r>
                        <w:rPr>
                          <w:rFonts w:ascii="Swis721 Lt BT"/>
                          <w:color w:val="231F20"/>
                          <w:spacing w:val="-3"/>
                          <w:sz w:val="19"/>
                        </w:rPr>
                        <w:t>teacher,</w:t>
                      </w:r>
                      <w:r>
                        <w:rPr>
                          <w:rFonts w:ascii="Swis721 Lt BT"/>
                          <w:color w:val="231F20"/>
                          <w:sz w:val="19"/>
                        </w:rPr>
                        <w:t> principal and numeracy coach in remote</w:t>
                      </w:r>
                      <w:r>
                        <w:rPr>
                          <w:rFonts w:ascii="Swis721 Lt BT"/>
                          <w:color w:val="231F20"/>
                          <w:spacing w:val="26"/>
                          <w:sz w:val="19"/>
                        </w:rPr>
                        <w:t> </w:t>
                      </w:r>
                      <w:r>
                        <w:rPr>
                          <w:rFonts w:ascii="Swis721 Lt BT"/>
                          <w:color w:val="231F20"/>
                          <w:sz w:val="19"/>
                        </w:rPr>
                        <w:t>communities in </w:t>
                      </w:r>
                      <w:r>
                        <w:rPr>
                          <w:rFonts w:ascii="Swis721 Lt BT"/>
                          <w:color w:val="231F20"/>
                          <w:spacing w:val="-1"/>
                          <w:sz w:val="19"/>
                        </w:rPr>
                        <w:t>Western</w:t>
                      </w:r>
                      <w:r>
                        <w:rPr>
                          <w:rFonts w:ascii="Swis721 Lt BT"/>
                          <w:color w:val="231F20"/>
                          <w:sz w:val="19"/>
                        </w:rPr>
                        <w:t> Australia. As General </w:t>
                      </w:r>
                      <w:r>
                        <w:rPr>
                          <w:rFonts w:ascii="Swis721 Lt BT"/>
                          <w:color w:val="231F20"/>
                          <w:spacing w:val="-3"/>
                          <w:sz w:val="19"/>
                        </w:rPr>
                        <w:t>Manager,</w:t>
                      </w:r>
                      <w:r>
                        <w:rPr>
                          <w:rFonts w:ascii="Swis721 Lt BT"/>
                          <w:color w:val="231F20"/>
                          <w:sz w:val="19"/>
                        </w:rPr>
                        <w:t> he is</w:t>
                      </w:r>
                      <w:r>
                        <w:rPr>
                          <w:rFonts w:ascii="Swis721 Lt BT"/>
                          <w:color w:val="231F20"/>
                          <w:spacing w:val="30"/>
                          <w:sz w:val="19"/>
                        </w:rPr>
                        <w:t> </w:t>
                      </w:r>
                      <w:r>
                        <w:rPr>
                          <w:rFonts w:ascii="Swis721 Lt BT"/>
                          <w:color w:val="231F20"/>
                          <w:sz w:val="19"/>
                        </w:rPr>
                        <w:t>responsible for leading the Initial </w:t>
                      </w:r>
                      <w:r>
                        <w:rPr>
                          <w:rFonts w:ascii="Swis721 Lt BT"/>
                          <w:color w:val="231F20"/>
                          <w:spacing w:val="-26"/>
                          <w:sz w:val="19"/>
                        </w:rPr>
                        <w:t>T</w:t>
                      </w:r>
                      <w:r>
                        <w:rPr>
                          <w:rFonts w:ascii="Swis721 Lt BT"/>
                          <w:color w:val="231F20"/>
                          <w:sz w:val="19"/>
                        </w:rPr>
                        <w:t>eacher Education,</w:t>
                      </w:r>
                      <w:r>
                        <w:rPr>
                          <w:rFonts w:ascii="Swis721 Lt BT"/>
                          <w:color w:val="231F20"/>
                          <w:spacing w:val="-26"/>
                          <w:sz w:val="19"/>
                        </w:rPr>
                        <w:t>T</w:t>
                      </w:r>
                      <w:r>
                        <w:rPr>
                          <w:rFonts w:ascii="Swis721 Lt BT"/>
                          <w:color w:val="231F20"/>
                          <w:sz w:val="19"/>
                        </w:rPr>
                        <w:t>eaching</w:t>
                      </w:r>
                      <w:r>
                        <w:rPr>
                          <w:rFonts w:ascii="Swis721 Lt BT"/>
                          <w:color w:val="231F20"/>
                          <w:sz w:val="19"/>
                        </w:rPr>
                        <w:t> and School Leadership teams. During his previous role at AITSL,</w:t>
                      </w:r>
                      <w:r>
                        <w:rPr>
                          <w:rFonts w:ascii="Swis721 Lt BT"/>
                          <w:color w:val="231F20"/>
                          <w:spacing w:val="25"/>
                          <w:sz w:val="19"/>
                        </w:rPr>
                        <w:t> </w:t>
                      </w:r>
                      <w:r>
                        <w:rPr>
                          <w:rFonts w:ascii="Swis721 Lt BT"/>
                          <w:color w:val="231F20"/>
                          <w:sz w:val="19"/>
                        </w:rPr>
                        <w:t>as manager of the Quality </w:t>
                      </w:r>
                      <w:r>
                        <w:rPr>
                          <w:rFonts w:ascii="Swis721 Lt BT"/>
                          <w:color w:val="231F20"/>
                          <w:spacing w:val="-26"/>
                          <w:sz w:val="19"/>
                        </w:rPr>
                        <w:t>T</w:t>
                      </w:r>
                      <w:r>
                        <w:rPr>
                          <w:rFonts w:ascii="Swis721 Lt BT"/>
                          <w:color w:val="231F20"/>
                          <w:sz w:val="19"/>
                        </w:rPr>
                        <w:t>eaching team, Daniel supported</w:t>
                      </w:r>
                      <w:r>
                        <w:rPr>
                          <w:rFonts w:ascii="Swis721 Lt BT"/>
                          <w:sz w:val="19"/>
                        </w:rPr>
                      </w:r>
                    </w:p>
                    <w:p>
                      <w:pPr>
                        <w:spacing w:before="0"/>
                        <w:ind w:left="2446" w:right="433" w:firstLine="0"/>
                        <w:jc w:val="both"/>
                        <w:rPr>
                          <w:rFonts w:ascii="Swis721 Lt BT" w:hAnsi="Swis721 Lt BT" w:cs="Swis721 Lt BT" w:eastAsia="Swis721 Lt BT"/>
                          <w:sz w:val="19"/>
                          <w:szCs w:val="19"/>
                        </w:rPr>
                      </w:pPr>
                      <w:r>
                        <w:rPr>
                          <w:rFonts w:ascii="Swis721 Lt BT"/>
                          <w:color w:val="231F20"/>
                          <w:sz w:val="19"/>
                        </w:rPr>
                        <w:t>the implementation of the </w:t>
                      </w:r>
                      <w:r>
                        <w:rPr>
                          <w:rFonts w:ascii="Swis721 Lt BT"/>
                          <w:i/>
                          <w:color w:val="231F20"/>
                          <w:sz w:val="19"/>
                        </w:rPr>
                        <w:t>Australian Professional Standards for</w:t>
                      </w:r>
                      <w:r>
                        <w:rPr>
                          <w:rFonts w:ascii="Swis721 Lt BT"/>
                          <w:i/>
                          <w:color w:val="231F20"/>
                          <w:sz w:val="19"/>
                        </w:rPr>
                        <w:t> </w:t>
                      </w:r>
                      <w:r>
                        <w:rPr>
                          <w:rFonts w:ascii="Swis721 Lt BT"/>
                          <w:i/>
                          <w:color w:val="231F20"/>
                          <w:spacing w:val="-3"/>
                          <w:sz w:val="19"/>
                        </w:rPr>
                        <w:t>Teachers</w:t>
                      </w:r>
                      <w:r>
                        <w:rPr>
                          <w:rFonts w:ascii="Swis721 Lt BT"/>
                          <w:i/>
                          <w:color w:val="231F20"/>
                          <w:sz w:val="19"/>
                        </w:rPr>
                        <w:t> </w:t>
                      </w:r>
                      <w:r>
                        <w:rPr>
                          <w:rFonts w:ascii="Swis721 Lt BT"/>
                          <w:color w:val="231F20"/>
                          <w:sz w:val="19"/>
                        </w:rPr>
                        <w:t>through a range of policy initiatives and development</w:t>
                      </w:r>
                      <w:r>
                        <w:rPr>
                          <w:rFonts w:ascii="Swis721 Lt BT"/>
                          <w:color w:val="231F20"/>
                          <w:spacing w:val="21"/>
                          <w:sz w:val="19"/>
                        </w:rPr>
                        <w:t> </w:t>
                      </w:r>
                      <w:r>
                        <w:rPr>
                          <w:rFonts w:ascii="Swis721 Lt BT"/>
                          <w:color w:val="231F20"/>
                          <w:sz w:val="19"/>
                        </w:rPr>
                        <w:t>of online resources.</w:t>
                      </w:r>
                      <w:r>
                        <w:rPr>
                          <w:rFonts w:ascii="Swis721 Lt BT"/>
                          <w:sz w:val="19"/>
                        </w:rPr>
                      </w:r>
                    </w:p>
                    <w:p>
                      <w:pPr>
                        <w:spacing w:before="113"/>
                        <w:ind w:left="2446" w:right="637" w:firstLine="0"/>
                        <w:jc w:val="left"/>
                        <w:rPr>
                          <w:rFonts w:ascii="Swis721 Lt BT" w:hAnsi="Swis721 Lt BT" w:cs="Swis721 Lt BT" w:eastAsia="Swis721 Lt BT"/>
                          <w:sz w:val="19"/>
                          <w:szCs w:val="19"/>
                        </w:rPr>
                      </w:pPr>
                      <w:r>
                        <w:rPr>
                          <w:rFonts w:ascii="Swis721 Lt BT"/>
                          <w:color w:val="231F20"/>
                          <w:spacing w:val="-2"/>
                          <w:sz w:val="19"/>
                        </w:rPr>
                        <w:t>Additionally,</w:t>
                      </w:r>
                      <w:r>
                        <w:rPr>
                          <w:rFonts w:ascii="Swis721 Lt BT"/>
                          <w:color w:val="231F20"/>
                          <w:sz w:val="19"/>
                        </w:rPr>
                        <w:t> Daniel brings to his current role educational</w:t>
                      </w:r>
                      <w:r>
                        <w:rPr>
                          <w:rFonts w:ascii="Swis721 Lt BT"/>
                          <w:color w:val="231F20"/>
                          <w:spacing w:val="22"/>
                          <w:sz w:val="19"/>
                        </w:rPr>
                        <w:t> </w:t>
                      </w:r>
                      <w:r>
                        <w:rPr>
                          <w:rFonts w:ascii="Swis721 Lt BT"/>
                          <w:color w:val="231F20"/>
                          <w:sz w:val="19"/>
                        </w:rPr>
                        <w:t>leadership experience gained at the Victorian Department of</w:t>
                      </w:r>
                      <w:r>
                        <w:rPr>
                          <w:rFonts w:ascii="Swis721 Lt BT"/>
                          <w:color w:val="231F20"/>
                          <w:sz w:val="19"/>
                        </w:rPr>
                        <w:t> Education and Early Childhood Development.</w:t>
                      </w:r>
                      <w:r>
                        <w:rPr>
                          <w:rFonts w:ascii="Swis721 Lt BT"/>
                          <w:sz w:val="19"/>
                        </w:rPr>
                      </w:r>
                    </w:p>
                    <w:p>
                      <w:pPr>
                        <w:spacing w:before="113"/>
                        <w:ind w:left="2446" w:right="651"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Daniel’s</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qualifications</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include</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a</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Bachelor</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of</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Economics</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and</w:t>
                      </w:r>
                      <w:r>
                        <w:rPr>
                          <w:rFonts w:ascii="Swis721 Lt BT" w:hAnsi="Swis721 Lt BT" w:cs="Swis721 Lt BT" w:eastAsia="Swis721 Lt BT"/>
                          <w:color w:val="231F20"/>
                          <w:sz w:val="19"/>
                          <w:szCs w:val="19"/>
                        </w:rPr>
                        <w:t> a </w:t>
                      </w:r>
                      <w:r>
                        <w:rPr>
                          <w:rFonts w:ascii="Swis721 Lt BT" w:hAnsi="Swis721 Lt BT" w:cs="Swis721 Lt BT" w:eastAsia="Swis721 Lt BT"/>
                          <w:color w:val="231F20"/>
                          <w:spacing w:val="-1"/>
                          <w:sz w:val="19"/>
                          <w:szCs w:val="19"/>
                        </w:rPr>
                        <w:t>Postgraduate</w:t>
                      </w:r>
                      <w:r>
                        <w:rPr>
                          <w:rFonts w:ascii="Swis721 Lt BT" w:hAnsi="Swis721 Lt BT" w:cs="Swis721 Lt BT" w:eastAsia="Swis721 Lt BT"/>
                          <w:color w:val="231F20"/>
                          <w:sz w:val="19"/>
                          <w:szCs w:val="19"/>
                        </w:rPr>
                        <w:t> Diploma of Education.</w:t>
                      </w:r>
                      <w:r>
                        <w:rPr>
                          <w:rFonts w:ascii="Swis721 Lt BT" w:hAnsi="Swis721 Lt BT" w:cs="Swis721 Lt BT" w:eastAsia="Swis721 Lt BT"/>
                          <w:sz w:val="19"/>
                          <w:szCs w:val="19"/>
                        </w:rPr>
                      </w:r>
                    </w:p>
                  </w:txbxContent>
                </v:textbox>
                <w10:wrap type="none"/>
              </v:shape>
            </v:group>
          </v:group>
        </w:pict>
      </w:r>
      <w:r>
        <w:rPr>
          <w:rFonts w:ascii="Swis721 Lt BT" w:hAnsi="Swis721 Lt BT" w:cs="Swis721 Lt BT" w:eastAsia="Swis721 Lt BT"/>
          <w:sz w:val="20"/>
          <w:szCs w:val="20"/>
        </w:rPr>
      </w:r>
    </w:p>
    <w:p>
      <w:pPr>
        <w:spacing w:line="240" w:lineRule="auto" w:before="12"/>
        <w:rPr>
          <w:rFonts w:ascii="Swis721 Lt BT" w:hAnsi="Swis721 Lt BT" w:cs="Swis721 Lt BT" w:eastAsia="Swis721 Lt BT"/>
          <w:sz w:val="21"/>
          <w:szCs w:val="21"/>
        </w:rPr>
      </w:pPr>
    </w:p>
    <w:p>
      <w:pPr>
        <w:pStyle w:val="Heading7"/>
        <w:spacing w:line="240" w:lineRule="auto"/>
        <w:ind w:left="2560" w:right="0"/>
        <w:jc w:val="left"/>
        <w:rPr>
          <w:b w:val="0"/>
          <w:bCs w:val="0"/>
        </w:rPr>
      </w:pPr>
      <w:r>
        <w:rPr/>
        <w:pict>
          <v:group style="position:absolute;margin-left:56.693001pt;margin-top:-3.495211pt;width:399.7pt;height:294.6pt;mso-position-horizontal-relative:page;mso-position-vertical-relative:paragraph;z-index:-183688" coordorigin="1134,-70" coordsize="7994,5892">
            <v:group style="position:absolute;left:1134;top:-70;width:2277;height:5892" coordorigin="1134,-70" coordsize="2277,5892">
              <v:shape style="position:absolute;left:1134;top:-70;width:2277;height:5892" coordorigin="1134,-70" coordsize="2277,5892" path="m3410,-70l1134,-70,1134,5822,3410,5822,3410,-70xe" filled="true" fillcolor="#dae7e8" stroked="false">
                <v:path arrowok="t"/>
                <v:fill type="solid"/>
              </v:shape>
            </v:group>
            <v:group style="position:absolute;left:3410;top:-70;width:5718;height:5892" coordorigin="3410,-70" coordsize="5718,5892">
              <v:shape style="position:absolute;left:3410;top:-70;width:5718;height:5892" coordorigin="3410,-70" coordsize="5718,5892" path="m9128,-70l3410,-70,3410,5822,9128,5822,9128,-70xe" filled="true" fillcolor="#dae7e8" stroked="false">
                <v:path arrowok="t"/>
                <v:fill type="solid"/>
              </v:shape>
              <v:shape style="position:absolute;left:1307;top:103;width:2024;height:2530" type="#_x0000_t75" stroked="false">
                <v:imagedata r:id="rId42" o:title=""/>
              </v:shape>
            </v:group>
            <v:group style="position:absolute;left:1307;top:103;width:2024;height:2530" coordorigin="1307,103" coordsize="2024,2530">
              <v:shape style="position:absolute;left:1307;top:103;width:2024;height:2530" coordorigin="1307,103" coordsize="2024,2530" path="m1307,2633l3331,2633,3331,103,1307,103,1307,2633xe" filled="false" stroked="true" strokeweight=".3pt" strokecolor="#71797f">
                <v:path arrowok="t"/>
              </v:shape>
            </v:group>
            <w10:wrap type="none"/>
          </v:group>
        </w:pict>
      </w:r>
      <w:r>
        <w:rPr>
          <w:color w:val="00757A"/>
        </w:rPr>
        <w:t>Xian-Zhi Soon</w:t>
      </w:r>
      <w:r>
        <w:rPr>
          <w:b w:val="0"/>
        </w:rPr>
      </w:r>
    </w:p>
    <w:p>
      <w:pPr>
        <w:spacing w:before="34"/>
        <w:ind w:left="2560" w:right="0" w:firstLine="0"/>
        <w:jc w:val="left"/>
        <w:rPr>
          <w:rFonts w:ascii="Swis721 Lt BT" w:hAnsi="Swis721 Lt BT" w:cs="Swis721 Lt BT" w:eastAsia="Swis721 Lt BT"/>
          <w:sz w:val="18"/>
          <w:szCs w:val="18"/>
        </w:rPr>
      </w:pPr>
      <w:r>
        <w:rPr>
          <w:rFonts w:ascii="Swis721 Lt BT"/>
          <w:i/>
          <w:color w:val="00757A"/>
          <w:sz w:val="18"/>
        </w:rPr>
        <w:t>BA LLB GDLP</w:t>
      </w:r>
      <w:r>
        <w:rPr>
          <w:rFonts w:ascii="Swis721 Lt BT"/>
          <w:sz w:val="18"/>
        </w:rPr>
      </w:r>
    </w:p>
    <w:p>
      <w:pPr>
        <w:spacing w:line="240" w:lineRule="auto" w:before="2"/>
        <w:rPr>
          <w:rFonts w:ascii="Swis721 Lt BT" w:hAnsi="Swis721 Lt BT" w:cs="Swis721 Lt BT" w:eastAsia="Swis721 Lt BT"/>
          <w:i/>
          <w:sz w:val="18"/>
          <w:szCs w:val="18"/>
        </w:rPr>
      </w:pPr>
    </w:p>
    <w:p>
      <w:pPr>
        <w:pStyle w:val="BodyText"/>
        <w:spacing w:line="240" w:lineRule="auto" w:before="0"/>
        <w:ind w:left="2560" w:right="0"/>
        <w:jc w:val="left"/>
        <w:rPr>
          <w:rFonts w:ascii="Swis721 Md BT" w:hAnsi="Swis721 Md BT" w:cs="Swis721 Md BT" w:eastAsia="Swis721 Md BT"/>
        </w:rPr>
      </w:pPr>
      <w:r>
        <w:rPr>
          <w:rFonts w:ascii="Swis721 Md BT"/>
          <w:color w:val="303B41"/>
        </w:rPr>
        <w:t>General </w:t>
      </w:r>
      <w:r>
        <w:rPr>
          <w:rFonts w:ascii="Swis721 Md BT"/>
          <w:color w:val="303B41"/>
          <w:spacing w:val="-3"/>
        </w:rPr>
        <w:t>Manager,</w:t>
      </w:r>
      <w:r>
        <w:rPr>
          <w:rFonts w:ascii="Swis721 Md BT"/>
          <w:color w:val="303B41"/>
        </w:rPr>
        <w:t> Evidence and Impact</w:t>
      </w:r>
      <w:r>
        <w:rPr>
          <w:rFonts w:ascii="Swis721 Md BT"/>
        </w:rPr>
      </w:r>
    </w:p>
    <w:p>
      <w:pPr>
        <w:pStyle w:val="BodyText"/>
        <w:spacing w:line="240" w:lineRule="auto"/>
        <w:ind w:left="2560" w:right="296"/>
        <w:jc w:val="left"/>
      </w:pPr>
      <w:r>
        <w:rPr>
          <w:color w:val="231F20"/>
        </w:rPr>
        <w:t>Zhi Soon joined AITSL as the General </w:t>
      </w:r>
      <w:r>
        <w:rPr>
          <w:color w:val="231F20"/>
          <w:spacing w:val="-3"/>
        </w:rPr>
        <w:t>Manager,</w:t>
      </w:r>
      <w:r>
        <w:rPr>
          <w:color w:val="231F20"/>
        </w:rPr>
        <w:t> Evidence and</w:t>
      </w:r>
      <w:r>
        <w:rPr>
          <w:color w:val="231F20"/>
          <w:spacing w:val="26"/>
        </w:rPr>
        <w:t> </w:t>
      </w:r>
      <w:r>
        <w:rPr>
          <w:color w:val="231F20"/>
        </w:rPr>
        <w:t>Impact in March 2019. He is responsible for building a robust and</w:t>
      </w:r>
      <w:r>
        <w:rPr>
          <w:color w:val="231F20"/>
        </w:rPr>
        <w:t> credible research foundation for use in developing and delivering evidence-based policy and programs, and also leads AITSL’s work measuring its impact in the </w:t>
      </w:r>
      <w:r>
        <w:rPr>
          <w:color w:val="231F20"/>
          <w:spacing w:val="-3"/>
        </w:rPr>
        <w:t>sector.</w:t>
      </w:r>
      <w:r>
        <w:rPr/>
      </w:r>
    </w:p>
    <w:p>
      <w:pPr>
        <w:pStyle w:val="BodyText"/>
        <w:spacing w:line="240" w:lineRule="auto"/>
        <w:ind w:left="2560" w:right="349"/>
        <w:jc w:val="left"/>
      </w:pPr>
      <w:r>
        <w:rPr>
          <w:color w:val="231F20"/>
          <w:spacing w:val="-2"/>
        </w:rPr>
        <w:t>Previously,</w:t>
      </w:r>
      <w:r>
        <w:rPr>
          <w:color w:val="231F20"/>
        </w:rPr>
        <w:t> Zhi worked as Director of Education </w:t>
      </w:r>
      <w:r>
        <w:rPr>
          <w:color w:val="231F20"/>
          <w:spacing w:val="-1"/>
        </w:rPr>
        <w:t>Policy</w:t>
      </w:r>
      <w:r>
        <w:rPr>
          <w:color w:val="231F20"/>
        </w:rPr>
        <w:t> and a</w:t>
      </w:r>
      <w:r>
        <w:rPr>
          <w:color w:val="231F20"/>
          <w:spacing w:val="27"/>
        </w:rPr>
        <w:t> </w:t>
      </w:r>
      <w:r>
        <w:rPr>
          <w:color w:val="231F20"/>
        </w:rPr>
        <w:t>global executive member of the Behavioural Insights </w:t>
      </w:r>
      <w:r>
        <w:rPr>
          <w:color w:val="231F20"/>
          <w:spacing w:val="-7"/>
        </w:rPr>
        <w:t>Team</w:t>
      </w:r>
      <w:r>
        <w:rPr>
          <w:color w:val="231F20"/>
        </w:rPr>
        <w:t> (BIT),</w:t>
      </w:r>
      <w:r>
        <w:rPr>
          <w:color w:val="231F20"/>
          <w:spacing w:val="22"/>
        </w:rPr>
        <w:t> </w:t>
      </w:r>
      <w:r>
        <w:rPr>
          <w:color w:val="231F20"/>
        </w:rPr>
        <w:t>an international research and policy organisation that originated</w:t>
      </w:r>
      <w:r>
        <w:rPr>
          <w:color w:val="231F20"/>
        </w:rPr>
        <w:t> at the heart of the Government of the United Kingdom. At BI</w:t>
      </w:r>
      <w:r>
        <w:rPr>
          <w:color w:val="231F20"/>
          <w:spacing w:val="-29"/>
        </w:rPr>
        <w:t>T</w:t>
      </w:r>
      <w:r>
        <w:rPr>
          <w:color w:val="231F20"/>
        </w:rPr>
        <w:t>, Zhi</w:t>
      </w:r>
      <w:r>
        <w:rPr>
          <w:color w:val="231F20"/>
        </w:rPr>
        <w:t> also served as the Director of the Behavioural Research Centre for Adult Skills and Knowledge, and as the Director responsible for economic growth, </w:t>
      </w:r>
      <w:r>
        <w:rPr>
          <w:color w:val="231F20"/>
          <w:spacing w:val="-2"/>
        </w:rPr>
        <w:t>productivity,</w:t>
      </w:r>
      <w:r>
        <w:rPr>
          <w:color w:val="231F20"/>
        </w:rPr>
        <w:t> consumer markets, and</w:t>
      </w:r>
      <w:r>
        <w:rPr>
          <w:color w:val="231F20"/>
          <w:spacing w:val="22"/>
        </w:rPr>
        <w:t> </w:t>
      </w:r>
      <w:r>
        <w:rPr>
          <w:color w:val="231F20"/>
        </w:rPr>
        <w:t>environmental sustainability </w:t>
      </w:r>
      <w:r>
        <w:rPr>
          <w:color w:val="231F20"/>
          <w:spacing w:val="-3"/>
        </w:rPr>
        <w:t>policy.</w:t>
      </w:r>
      <w:r>
        <w:rPr/>
      </w:r>
    </w:p>
    <w:p>
      <w:pPr>
        <w:pStyle w:val="BodyText"/>
        <w:spacing w:line="240" w:lineRule="auto"/>
        <w:ind w:left="2560" w:right="466"/>
        <w:jc w:val="left"/>
      </w:pPr>
      <w:r>
        <w:rPr>
          <w:color w:val="231F20"/>
        </w:rPr>
        <w:t>Zhi has held positions in the Australian Government, including in</w:t>
      </w:r>
      <w:r>
        <w:rPr>
          <w:color w:val="231F20"/>
          <w:spacing w:val="-1"/>
        </w:rPr>
        <w:t> </w:t>
      </w:r>
      <w:r>
        <w:rPr>
          <w:color w:val="231F20"/>
        </w:rPr>
        <w:t>the</w:t>
      </w:r>
      <w:r>
        <w:rPr>
          <w:color w:val="231F20"/>
          <w:spacing w:val="-1"/>
        </w:rPr>
        <w:t> </w:t>
      </w:r>
      <w:r>
        <w:rPr>
          <w:color w:val="231F20"/>
        </w:rPr>
        <w:t>Prime Minister’s</w:t>
      </w:r>
      <w:r>
        <w:rPr>
          <w:color w:val="231F20"/>
          <w:spacing w:val="-1"/>
        </w:rPr>
        <w:t> </w:t>
      </w:r>
      <w:r>
        <w:rPr>
          <w:color w:val="231F20"/>
        </w:rPr>
        <w:t>Office and</w:t>
      </w:r>
      <w:r>
        <w:rPr>
          <w:color w:val="231F20"/>
          <w:spacing w:val="-1"/>
        </w:rPr>
        <w:t> </w:t>
      </w:r>
      <w:r>
        <w:rPr>
          <w:color w:val="231F20"/>
        </w:rPr>
        <w:t>the Department</w:t>
      </w:r>
      <w:r>
        <w:rPr>
          <w:color w:val="231F20"/>
          <w:spacing w:val="-1"/>
        </w:rPr>
        <w:t> </w:t>
      </w:r>
      <w:r>
        <w:rPr>
          <w:color w:val="231F20"/>
        </w:rPr>
        <w:t>of </w:t>
      </w:r>
      <w:r>
        <w:rPr>
          <w:color w:val="231F20"/>
          <w:spacing w:val="-1"/>
        </w:rPr>
        <w:t>Foreign</w:t>
      </w:r>
      <w:r>
        <w:rPr>
          <w:color w:val="231F20"/>
          <w:spacing w:val="22"/>
        </w:rPr>
        <w:t> </w:t>
      </w:r>
      <w:r>
        <w:rPr>
          <w:color w:val="231F20"/>
        </w:rPr>
        <w:t>Affairs and </w:t>
      </w:r>
      <w:r>
        <w:rPr>
          <w:color w:val="231F20"/>
          <w:spacing w:val="-4"/>
        </w:rPr>
        <w:t>Trade</w:t>
      </w:r>
      <w:r>
        <w:rPr>
          <w:color w:val="231F20"/>
        </w:rPr>
        <w:t> as a diplomat. At state level, he has worked at</w:t>
      </w:r>
      <w:r>
        <w:rPr>
          <w:color w:val="231F20"/>
          <w:spacing w:val="21"/>
        </w:rPr>
        <w:t> </w:t>
      </w:r>
      <w:r>
        <w:rPr>
          <w:color w:val="231F20"/>
        </w:rPr>
        <w:t>the NSW Department of Premier and Cabinet and as a Board</w:t>
      </w:r>
      <w:r>
        <w:rPr/>
      </w:r>
    </w:p>
    <w:p>
      <w:pPr>
        <w:pStyle w:val="BodyText"/>
        <w:spacing w:line="240" w:lineRule="auto" w:before="0"/>
        <w:ind w:left="2560" w:right="157"/>
        <w:jc w:val="left"/>
      </w:pPr>
      <w:r>
        <w:rPr>
          <w:color w:val="231F20"/>
        </w:rPr>
        <w:t>Member on the NSW Board of Studies. He also has private-sector experience as a management consultant.</w:t>
      </w:r>
      <w:r>
        <w:rPr/>
      </w:r>
    </w:p>
    <w:p>
      <w:pPr>
        <w:spacing w:after="0" w:line="240" w:lineRule="auto"/>
        <w:jc w:val="left"/>
        <w:sectPr>
          <w:pgSz w:w="9980" w:h="14180"/>
          <w:pgMar w:header="0" w:footer="452" w:top="360" w:bottom="640" w:left="1020" w:right="740"/>
        </w:sect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pStyle w:val="Heading2"/>
        <w:spacing w:line="240" w:lineRule="auto" w:before="171"/>
        <w:ind w:left="850" w:right="0"/>
        <w:jc w:val="left"/>
        <w:rPr>
          <w:b w:val="0"/>
          <w:bCs w:val="0"/>
        </w:rPr>
      </w:pPr>
      <w:r>
        <w:rPr/>
        <w:pict>
          <v:group style="position:absolute;margin-left:0pt;margin-top:-72.632072pt;width:498.95pt;height:51pt;mso-position-horizontal-relative:page;mso-position-vertical-relative:paragraph;z-index:1984" coordorigin="0,-1453" coordsize="9979,1020">
            <v:group style="position:absolute;left:0;top:-1452;width:9978;height:1018" coordorigin="0,-1452" coordsize="9978,1018">
              <v:shape style="position:absolute;left:0;top:-1452;width:9978;height:1018" coordorigin="0,-1452" coordsize="9978,1018" path="m0,-434l9978,-434,9978,-1452,0,-1452,0,-434xe" filled="true" fillcolor="#003b45" stroked="false">
                <v:path arrowok="t"/>
                <v:fill type="solid"/>
              </v:shape>
            </v:group>
            <v:group style="position:absolute;left:9978;top:-1452;width:2;height:1018" coordorigin="9978,-1452" coordsize="2,1018">
              <v:shape style="position:absolute;left:9978;top:-1452;width:2;height:1018" coordorigin="9978,-1452" coordsize="0,1018" path="m9978,-1452l9978,-434e" filled="false" stroked="true" strokeweight=".1pt" strokecolor="#a2c6ca">
                <v:path arrowok="t"/>
              </v:shape>
            </v:group>
            <w10:wrap type="none"/>
          </v:group>
        </w:pict>
      </w:r>
      <w:bookmarkStart w:name="_TOC_250006" w:id="7"/>
      <w:bookmarkStart w:name="INITIAL TEACHER EDUCATION" w:id="8"/>
      <w:r>
        <w:rPr>
          <w:b w:val="0"/>
        </w:rPr>
      </w:r>
      <w:r>
        <w:rPr>
          <w:color w:val="005E63"/>
        </w:rPr>
        <w:t>INITIAL TEACHER </w:t>
      </w:r>
      <w:r>
        <w:rPr>
          <w:color w:val="005E63"/>
          <w:spacing w:val="-2"/>
        </w:rPr>
        <w:t>EDUCATION</w:t>
      </w:r>
      <w:bookmarkEnd w:id="7"/>
      <w:r>
        <w:rPr>
          <w:b w:val="0"/>
        </w:rPr>
      </w:r>
    </w:p>
    <w:p>
      <w:pPr>
        <w:spacing w:line="240" w:lineRule="auto" w:before="0"/>
        <w:rPr>
          <w:rFonts w:ascii="Swis721 BT" w:hAnsi="Swis721 BT" w:cs="Swis721 BT" w:eastAsia="Swis721 BT"/>
          <w:b/>
          <w:bCs/>
          <w:sz w:val="20"/>
          <w:szCs w:val="20"/>
        </w:rPr>
      </w:pPr>
    </w:p>
    <w:p>
      <w:pPr>
        <w:spacing w:line="240" w:lineRule="auto" w:before="4"/>
        <w:rPr>
          <w:rFonts w:ascii="Swis721 BT" w:hAnsi="Swis721 BT" w:cs="Swis721 BT" w:eastAsia="Swis721 BT"/>
          <w:b/>
          <w:bCs/>
          <w:sz w:val="17"/>
          <w:szCs w:val="17"/>
        </w:rPr>
      </w:pPr>
    </w:p>
    <w:p>
      <w:pPr>
        <w:spacing w:after="0" w:line="240" w:lineRule="auto"/>
        <w:rPr>
          <w:rFonts w:ascii="Swis721 BT" w:hAnsi="Swis721 BT" w:cs="Swis721 BT" w:eastAsia="Swis721 BT"/>
          <w:sz w:val="17"/>
          <w:szCs w:val="17"/>
        </w:rPr>
        <w:sectPr>
          <w:pgSz w:w="9980" w:h="14180"/>
          <w:pgMar w:header="0" w:footer="452" w:top="0" w:bottom="640" w:left="0" w:right="0"/>
        </w:sectPr>
      </w:pPr>
    </w:p>
    <w:p>
      <w:pPr>
        <w:pStyle w:val="BodyText"/>
        <w:spacing w:line="240" w:lineRule="auto" w:before="69"/>
        <w:ind w:left="850" w:right="18"/>
        <w:jc w:val="left"/>
      </w:pPr>
      <w:r>
        <w:rPr>
          <w:color w:val="231F20"/>
        </w:rPr>
        <w:t>In September 2018, Education Council agreed:</w:t>
      </w:r>
      <w:r>
        <w:rPr/>
      </w:r>
    </w:p>
    <w:p>
      <w:pPr>
        <w:pStyle w:val="BodyText"/>
        <w:spacing w:line="240" w:lineRule="auto"/>
        <w:ind w:left="1077" w:right="44" w:hanging="227"/>
        <w:jc w:val="left"/>
      </w:pPr>
      <w:r>
        <w:rPr>
          <w:rFonts w:ascii="Arial" w:hAnsi="Arial"/>
          <w:color w:val="00757A"/>
        </w:rPr>
        <w:t>ϐ </w:t>
      </w:r>
      <w:r>
        <w:rPr>
          <w:rFonts w:ascii="Arial" w:hAnsi="Arial"/>
          <w:color w:val="00757A"/>
          <w:spacing w:val="8"/>
        </w:rPr>
        <w:t> </w:t>
      </w:r>
      <w:r>
        <w:rPr>
          <w:color w:val="231F20"/>
        </w:rPr>
        <w:t>AITSL</w:t>
      </w:r>
      <w:r>
        <w:rPr>
          <w:color w:val="231F20"/>
          <w:spacing w:val="1"/>
        </w:rPr>
        <w:t> </w:t>
      </w:r>
      <w:r>
        <w:rPr>
          <w:color w:val="231F20"/>
        </w:rPr>
        <w:t>will lead</w:t>
      </w:r>
      <w:r>
        <w:rPr>
          <w:color w:val="231F20"/>
          <w:spacing w:val="1"/>
        </w:rPr>
        <w:t> </w:t>
      </w:r>
      <w:r>
        <w:rPr>
          <w:color w:val="231F20"/>
        </w:rPr>
        <w:t>standard-setting</w:t>
      </w:r>
      <w:r>
        <w:rPr>
          <w:color w:val="231F20"/>
          <w:spacing w:val="1"/>
        </w:rPr>
        <w:t> </w:t>
      </w:r>
      <w:r>
        <w:rPr>
          <w:color w:val="231F20"/>
        </w:rPr>
        <w:t>processes</w:t>
      </w:r>
      <w:r>
        <w:rPr>
          <w:color w:val="231F20"/>
        </w:rPr>
        <w:t> to establish sound national agreement on what it means to meet the accreditation standards and identify priorities for improvement.</w:t>
      </w:r>
      <w:r>
        <w:rPr/>
      </w:r>
    </w:p>
    <w:p>
      <w:pPr>
        <w:pStyle w:val="BodyText"/>
        <w:spacing w:line="240" w:lineRule="auto"/>
        <w:ind w:left="1077" w:right="44" w:hanging="227"/>
        <w:jc w:val="left"/>
      </w:pPr>
      <w:r>
        <w:rPr>
          <w:rFonts w:ascii="Arial" w:hAnsi="Arial" w:cs="Arial" w:eastAsia="Arial"/>
          <w:color w:val="00757A"/>
        </w:rPr>
        <w:t>ϐ </w:t>
      </w:r>
      <w:r>
        <w:rPr>
          <w:rFonts w:ascii="Arial" w:hAnsi="Arial" w:cs="Arial" w:eastAsia="Arial"/>
          <w:color w:val="00757A"/>
          <w:spacing w:val="8"/>
        </w:rPr>
        <w:t> </w:t>
      </w:r>
      <w:r>
        <w:rPr>
          <w:color w:val="231F20"/>
        </w:rPr>
        <w:t>AITSL’s expert</w:t>
      </w:r>
      <w:r>
        <w:rPr>
          <w:color w:val="231F20"/>
          <w:spacing w:val="1"/>
        </w:rPr>
        <w:t> </w:t>
      </w:r>
      <w:r>
        <w:rPr>
          <w:color w:val="231F20"/>
        </w:rPr>
        <w:t>advisory</w:t>
      </w:r>
      <w:r>
        <w:rPr>
          <w:color w:val="231F20"/>
          <w:spacing w:val="1"/>
        </w:rPr>
        <w:t> </w:t>
      </w:r>
      <w:r>
        <w:rPr>
          <w:color w:val="231F20"/>
        </w:rPr>
        <w:t>group will</w:t>
      </w:r>
      <w:r>
        <w:rPr>
          <w:color w:val="231F20"/>
          <w:spacing w:val="1"/>
        </w:rPr>
        <w:t> </w:t>
      </w:r>
      <w:r>
        <w:rPr>
          <w:color w:val="231F20"/>
        </w:rPr>
        <w:t>provide</w:t>
      </w:r>
      <w:r>
        <w:rPr>
          <w:color w:val="231F20"/>
        </w:rPr>
        <w:t> advice to all teacher regulatory authorities on whether all teaching performance assessments </w:t>
      </w:r>
      <w:r>
        <w:rPr>
          <w:color w:val="231F20"/>
          <w:spacing w:val="-3"/>
        </w:rPr>
        <w:t>(TPAs)</w:t>
      </w:r>
      <w:r>
        <w:rPr>
          <w:color w:val="231F20"/>
        </w:rPr>
        <w:t> used by initial teacher</w:t>
      </w:r>
      <w:r>
        <w:rPr>
          <w:color w:val="231F20"/>
          <w:spacing w:val="23"/>
        </w:rPr>
        <w:t> </w:t>
      </w:r>
      <w:r>
        <w:rPr>
          <w:color w:val="231F20"/>
        </w:rPr>
        <w:t>education (ITE) providers align with the</w:t>
      </w:r>
      <w:r>
        <w:rPr>
          <w:color w:val="231F20"/>
        </w:rPr>
        <w:t> accreditation requirements.</w:t>
      </w:r>
      <w:r>
        <w:rPr/>
      </w:r>
    </w:p>
    <w:p>
      <w:pPr>
        <w:pStyle w:val="BodyText"/>
        <w:spacing w:line="240" w:lineRule="auto"/>
        <w:ind w:left="1077" w:right="44" w:hanging="227"/>
        <w:jc w:val="left"/>
      </w:pPr>
      <w:r>
        <w:rPr>
          <w:rFonts w:ascii="Arial" w:hAnsi="Arial"/>
          <w:color w:val="00757A"/>
        </w:rPr>
        <w:t>ϐ </w:t>
      </w:r>
      <w:r>
        <w:rPr>
          <w:rFonts w:ascii="Arial" w:hAnsi="Arial"/>
          <w:color w:val="00757A"/>
          <w:spacing w:val="8"/>
        </w:rPr>
        <w:t> </w:t>
      </w:r>
      <w:r>
        <w:rPr>
          <w:color w:val="231F20"/>
        </w:rPr>
        <w:t>AITSL will</w:t>
      </w:r>
      <w:r>
        <w:rPr>
          <w:color w:val="231F20"/>
          <w:spacing w:val="1"/>
        </w:rPr>
        <w:t> </w:t>
      </w:r>
      <w:r>
        <w:rPr>
          <w:color w:val="231F20"/>
        </w:rPr>
        <w:t>lead</w:t>
      </w:r>
      <w:r>
        <w:rPr>
          <w:color w:val="231F20"/>
          <w:spacing w:val="1"/>
        </w:rPr>
        <w:t> </w:t>
      </w:r>
      <w:r>
        <w:rPr>
          <w:color w:val="231F20"/>
        </w:rPr>
        <w:t>benchmarking of</w:t>
      </w:r>
      <w:r>
        <w:rPr>
          <w:color w:val="231F20"/>
          <w:spacing w:val="1"/>
        </w:rPr>
        <w:t> </w:t>
      </w:r>
      <w:r>
        <w:rPr>
          <w:color w:val="231F20"/>
        </w:rPr>
        <w:t>the</w:t>
      </w:r>
      <w:r>
        <w:rPr>
          <w:color w:val="231F20"/>
        </w:rPr>
        <w:t> passing standard between different </w:t>
      </w:r>
      <w:r>
        <w:rPr>
          <w:color w:val="231F20"/>
          <w:spacing w:val="-3"/>
        </w:rPr>
        <w:t>TPAs.</w:t>
      </w:r>
      <w:r>
        <w:rPr/>
      </w:r>
    </w:p>
    <w:p>
      <w:pPr>
        <w:pStyle w:val="BodyText"/>
        <w:spacing w:line="240" w:lineRule="auto"/>
        <w:ind w:left="1077" w:right="18" w:hanging="227"/>
        <w:jc w:val="left"/>
      </w:pPr>
      <w:r>
        <w:rPr>
          <w:rFonts w:ascii="Arial" w:hAnsi="Arial"/>
          <w:color w:val="00757A"/>
        </w:rPr>
        <w:t>ϐ </w:t>
      </w:r>
      <w:r>
        <w:rPr>
          <w:rFonts w:ascii="Arial" w:hAnsi="Arial"/>
          <w:color w:val="00757A"/>
          <w:spacing w:val="8"/>
        </w:rPr>
        <w:t> </w:t>
      </w:r>
      <w:r>
        <w:rPr>
          <w:color w:val="231F20"/>
        </w:rPr>
        <w:t>AITSL will</w:t>
      </w:r>
      <w:r>
        <w:rPr>
          <w:color w:val="231F20"/>
          <w:spacing w:val="1"/>
        </w:rPr>
        <w:t> </w:t>
      </w:r>
      <w:r>
        <w:rPr>
          <w:color w:val="231F20"/>
        </w:rPr>
        <w:t>conduct national</w:t>
      </w:r>
      <w:r>
        <w:rPr>
          <w:color w:val="231F20"/>
          <w:spacing w:val="1"/>
        </w:rPr>
        <w:t> </w:t>
      </w:r>
      <w:r>
        <w:rPr>
          <w:color w:val="231F20"/>
        </w:rPr>
        <w:t>analysis of</w:t>
      </w:r>
      <w:r>
        <w:rPr>
          <w:color w:val="231F20"/>
          <w:spacing w:val="1"/>
        </w:rPr>
        <w:t> </w:t>
      </w:r>
      <w:r>
        <w:rPr>
          <w:color w:val="231F20"/>
        </w:rPr>
        <w:t>data</w:t>
      </w:r>
      <w:r>
        <w:rPr>
          <w:color w:val="231F20"/>
        </w:rPr>
        <w:t> collected by jurisdictions on the impact of ITE programs.</w:t>
      </w:r>
      <w:r>
        <w:rPr/>
      </w:r>
    </w:p>
    <w:p>
      <w:pPr>
        <w:pStyle w:val="BodyText"/>
        <w:spacing w:line="240" w:lineRule="auto"/>
        <w:ind w:left="850" w:right="426"/>
        <w:jc w:val="left"/>
      </w:pPr>
      <w:r>
        <w:rPr>
          <w:color w:val="231F20"/>
        </w:rPr>
        <w:t>AITSL’s work in 2018–19 has focused on establishing comprehensive processes to support a collaborative and productive</w:t>
      </w:r>
      <w:r>
        <w:rPr/>
      </w:r>
    </w:p>
    <w:p>
      <w:pPr>
        <w:pStyle w:val="BodyText"/>
        <w:spacing w:line="240" w:lineRule="auto" w:before="0"/>
        <w:ind w:left="850" w:right="44"/>
        <w:jc w:val="left"/>
      </w:pPr>
      <w:r>
        <w:rPr>
          <w:color w:val="231F20"/>
        </w:rPr>
        <w:t>approach to implementing these national ITE reforms, fundamental aspects of which are quality assurance and standard-setting for program accreditation.</w:t>
      </w:r>
      <w:r>
        <w:rPr/>
      </w:r>
    </w:p>
    <w:p>
      <w:pPr>
        <w:pStyle w:val="BodyText"/>
        <w:spacing w:line="240" w:lineRule="auto"/>
        <w:ind w:left="850" w:right="44"/>
        <w:jc w:val="left"/>
      </w:pPr>
      <w:r>
        <w:rPr>
          <w:color w:val="231F20"/>
        </w:rPr>
        <w:t>With multiple authorities responsible for</w:t>
      </w:r>
      <w:r>
        <w:rPr>
          <w:color w:val="231F20"/>
          <w:spacing w:val="23"/>
        </w:rPr>
        <w:t> </w:t>
      </w:r>
      <w:r>
        <w:rPr>
          <w:color w:val="231F20"/>
        </w:rPr>
        <w:t>decision-making against national standards,</w:t>
      </w:r>
      <w:r>
        <w:rPr>
          <w:color w:val="231F20"/>
        </w:rPr>
        <w:t> it is critical that all ITE programs are assessed</w:t>
      </w:r>
      <w:r>
        <w:rPr/>
      </w:r>
    </w:p>
    <w:p>
      <w:pPr>
        <w:pStyle w:val="BodyText"/>
        <w:spacing w:line="240" w:lineRule="auto" w:before="0"/>
        <w:ind w:left="850" w:right="0"/>
        <w:jc w:val="left"/>
      </w:pPr>
      <w:r>
        <w:rPr>
          <w:color w:val="231F20"/>
          <w:spacing w:val="-2"/>
        </w:rPr>
        <w:t>consistently,</w:t>
      </w:r>
      <w:r>
        <w:rPr>
          <w:color w:val="231F20"/>
        </w:rPr>
        <w:t> to the same level of </w:t>
      </w:r>
      <w:r>
        <w:rPr>
          <w:color w:val="231F20"/>
          <w:spacing w:val="-2"/>
        </w:rPr>
        <w:t>quality.</w:t>
      </w:r>
      <w:r>
        <w:rPr>
          <w:color w:val="231F20"/>
        </w:rPr>
        <w:t> AITSL</w:t>
      </w:r>
      <w:r>
        <w:rPr>
          <w:color w:val="231F20"/>
          <w:spacing w:val="24"/>
        </w:rPr>
        <w:t> </w:t>
      </w:r>
      <w:r>
        <w:rPr>
          <w:color w:val="231F20"/>
        </w:rPr>
        <w:t>has continued to progress implementation</w:t>
      </w:r>
      <w:r>
        <w:rPr/>
      </w:r>
    </w:p>
    <w:p>
      <w:pPr>
        <w:pStyle w:val="BodyText"/>
        <w:spacing w:line="240" w:lineRule="auto" w:before="0"/>
        <w:ind w:left="850" w:right="18"/>
        <w:jc w:val="left"/>
      </w:pPr>
      <w:r>
        <w:rPr>
          <w:color w:val="231F20"/>
        </w:rPr>
        <w:t>of a strengthened national approach to the accreditation of ITE programs of providers.</w:t>
      </w:r>
      <w:r>
        <w:rPr/>
      </w:r>
    </w:p>
    <w:p>
      <w:pPr>
        <w:pStyle w:val="BodyText"/>
        <w:spacing w:line="240" w:lineRule="auto" w:before="70"/>
        <w:ind w:left="334" w:right="1101"/>
        <w:jc w:val="left"/>
      </w:pPr>
      <w:r>
        <w:rPr/>
        <w:br w:type="column"/>
      </w:r>
      <w:r>
        <w:rPr>
          <w:color w:val="231F20"/>
        </w:rPr>
        <w:t>In late 2018, AITSL established two new</w:t>
      </w:r>
      <w:r>
        <w:rPr>
          <w:color w:val="231F20"/>
        </w:rPr>
        <w:t> groups:</w:t>
      </w:r>
      <w:r>
        <w:rPr/>
      </w:r>
    </w:p>
    <w:p>
      <w:pPr>
        <w:pStyle w:val="BodyText"/>
        <w:spacing w:line="240" w:lineRule="auto"/>
        <w:ind w:left="561" w:right="1152" w:hanging="227"/>
        <w:jc w:val="left"/>
      </w:pPr>
      <w:r>
        <w:rPr>
          <w:rFonts w:ascii="Arial" w:hAnsi="Arial" w:cs="Arial" w:eastAsia="Arial"/>
          <w:color w:val="00757A"/>
        </w:rPr>
        <w:t>ϐ </w:t>
      </w:r>
      <w:r>
        <w:rPr>
          <w:rFonts w:ascii="Arial" w:hAnsi="Arial" w:cs="Arial" w:eastAsia="Arial"/>
          <w:color w:val="00757A"/>
          <w:spacing w:val="8"/>
        </w:rPr>
        <w:t> </w:t>
      </w:r>
      <w:r>
        <w:rPr>
          <w:color w:val="231F20"/>
        </w:rPr>
        <w:t>The</w:t>
      </w:r>
      <w:r>
        <w:rPr>
          <w:color w:val="231F20"/>
          <w:spacing w:val="1"/>
        </w:rPr>
        <w:t> </w:t>
      </w:r>
      <w:r>
        <w:rPr>
          <w:color w:val="231F20"/>
        </w:rPr>
        <w:t>Standard Setting</w:t>
      </w:r>
      <w:r>
        <w:rPr>
          <w:color w:val="231F20"/>
          <w:spacing w:val="1"/>
        </w:rPr>
        <w:t> </w:t>
      </w:r>
      <w:r>
        <w:rPr>
          <w:color w:val="231F20"/>
        </w:rPr>
        <w:t>Advisory</w:t>
      </w:r>
      <w:r>
        <w:rPr>
          <w:color w:val="231F20"/>
          <w:spacing w:val="1"/>
        </w:rPr>
        <w:t> </w:t>
      </w:r>
      <w:r>
        <w:rPr>
          <w:color w:val="231F20"/>
        </w:rPr>
        <w:t>Group</w:t>
      </w:r>
      <w:r>
        <w:rPr>
          <w:color w:val="231F20"/>
        </w:rPr>
        <w:t> (SSAG) provides independent expert</w:t>
      </w:r>
      <w:r>
        <w:rPr>
          <w:color w:val="231F20"/>
          <w:spacing w:val="23"/>
        </w:rPr>
        <w:t> </w:t>
      </w:r>
      <w:r>
        <w:rPr>
          <w:color w:val="231F20"/>
        </w:rPr>
        <w:t>advice across AITSL’s standards-based</w:t>
      </w:r>
      <w:r>
        <w:rPr>
          <w:color w:val="231F20"/>
        </w:rPr>
        <w:t> assessment work. The group has convened to advise on the operational principles</w:t>
      </w:r>
      <w:r>
        <w:rPr/>
      </w:r>
    </w:p>
    <w:p>
      <w:pPr>
        <w:pStyle w:val="BodyText"/>
        <w:spacing w:line="240" w:lineRule="auto" w:before="0"/>
        <w:ind w:left="561" w:right="1101"/>
        <w:jc w:val="left"/>
      </w:pPr>
      <w:r>
        <w:rPr>
          <w:color w:val="231F20"/>
        </w:rPr>
        <w:t>for the </w:t>
      </w:r>
      <w:r>
        <w:rPr>
          <w:color w:val="231F20"/>
          <w:spacing w:val="-5"/>
        </w:rPr>
        <w:t>TPA</w:t>
      </w:r>
      <w:r>
        <w:rPr>
          <w:color w:val="231F20"/>
        </w:rPr>
        <w:t> Expert Advisory Group, </w:t>
      </w:r>
      <w:r>
        <w:rPr>
          <w:color w:val="231F20"/>
          <w:spacing w:val="-5"/>
        </w:rPr>
        <w:t>TPA</w:t>
      </w:r>
      <w:r>
        <w:rPr>
          <w:color w:val="231F20"/>
        </w:rPr>
        <w:t> benchmarking, and methodology for accreditation standard-setting.</w:t>
      </w:r>
      <w:r>
        <w:rPr/>
      </w:r>
    </w:p>
    <w:p>
      <w:pPr>
        <w:pStyle w:val="BodyText"/>
        <w:spacing w:line="240" w:lineRule="auto"/>
        <w:ind w:left="561" w:right="1174" w:hanging="227"/>
        <w:jc w:val="left"/>
      </w:pPr>
      <w:r>
        <w:rPr>
          <w:rFonts w:ascii="Arial" w:hAnsi="Arial"/>
          <w:color w:val="00757A"/>
        </w:rPr>
        <w:t>ϐ </w:t>
      </w:r>
      <w:r>
        <w:rPr>
          <w:rFonts w:ascii="Arial" w:hAnsi="Arial"/>
          <w:color w:val="00757A"/>
          <w:spacing w:val="8"/>
        </w:rPr>
        <w:t> </w:t>
      </w:r>
      <w:r>
        <w:rPr>
          <w:color w:val="231F20"/>
        </w:rPr>
        <w:t>The</w:t>
      </w:r>
      <w:r>
        <w:rPr>
          <w:color w:val="231F20"/>
          <w:spacing w:val="1"/>
        </w:rPr>
        <w:t> </w:t>
      </w:r>
      <w:r>
        <w:rPr>
          <w:color w:val="231F20"/>
        </w:rPr>
        <w:t>ITE Stakeholder</w:t>
      </w:r>
      <w:r>
        <w:rPr>
          <w:color w:val="231F20"/>
          <w:spacing w:val="1"/>
        </w:rPr>
        <w:t> </w:t>
      </w:r>
      <w:r>
        <w:rPr>
          <w:color w:val="231F20"/>
          <w:spacing w:val="-1"/>
        </w:rPr>
        <w:t>Working</w:t>
      </w:r>
      <w:r>
        <w:rPr>
          <w:color w:val="231F20"/>
          <w:spacing w:val="1"/>
        </w:rPr>
        <w:t> </w:t>
      </w:r>
      <w:r>
        <w:rPr>
          <w:color w:val="231F20"/>
        </w:rPr>
        <w:t>Group</w:t>
      </w:r>
      <w:r>
        <w:rPr>
          <w:color w:val="231F20"/>
          <w:spacing w:val="23"/>
        </w:rPr>
        <w:t> </w:t>
      </w:r>
      <w:r>
        <w:rPr>
          <w:color w:val="231F20"/>
        </w:rPr>
        <w:t>ensures ongoing collaboration and</w:t>
      </w:r>
      <w:r>
        <w:rPr>
          <w:color w:val="231F20"/>
        </w:rPr>
        <w:t> provides input into how best to implement the proposed reforms. The group has expertise across a range of stakeholder representatives including employers, teacher regulatory authorities, ITE providers and peak bodies, and the </w:t>
      </w:r>
      <w:r>
        <w:rPr>
          <w:color w:val="231F20"/>
          <w:spacing w:val="-1"/>
        </w:rPr>
        <w:t>Federal</w:t>
      </w:r>
      <w:r>
        <w:rPr>
          <w:color w:val="231F20"/>
          <w:spacing w:val="22"/>
        </w:rPr>
        <w:t> </w:t>
      </w:r>
      <w:r>
        <w:rPr>
          <w:color w:val="231F20"/>
        </w:rPr>
        <w:t>Department of Education.</w:t>
      </w:r>
      <w:r>
        <w:rPr/>
      </w:r>
    </w:p>
    <w:p>
      <w:pPr>
        <w:pStyle w:val="BodyText"/>
        <w:spacing w:line="240" w:lineRule="auto"/>
        <w:ind w:left="334" w:right="1210"/>
        <w:jc w:val="left"/>
      </w:pPr>
      <w:r>
        <w:rPr>
          <w:color w:val="231F20"/>
        </w:rPr>
        <w:t>In early 2019, AITSL developed a proposed standard-setting methodology in consultation with key stakeholders and the SSAG. </w:t>
      </w:r>
      <w:r>
        <w:rPr>
          <w:color w:val="231F20"/>
          <w:spacing w:val="-1"/>
        </w:rPr>
        <w:t>Work</w:t>
      </w:r>
      <w:r>
        <w:rPr>
          <w:color w:val="231F20"/>
        </w:rPr>
        <w:t> on</w:t>
      </w:r>
      <w:r>
        <w:rPr>
          <w:color w:val="231F20"/>
          <w:spacing w:val="23"/>
        </w:rPr>
        <w:t> </w:t>
      </w:r>
      <w:r>
        <w:rPr>
          <w:color w:val="231F20"/>
        </w:rPr>
        <w:t>this methodology will continue into the next</w:t>
      </w:r>
      <w:r>
        <w:rPr>
          <w:color w:val="231F20"/>
        </w:rPr>
        <w:t> financial</w:t>
      </w:r>
      <w:r>
        <w:rPr>
          <w:color w:val="231F20"/>
          <w:spacing w:val="-7"/>
        </w:rPr>
        <w:t> </w:t>
      </w:r>
      <w:r>
        <w:rPr>
          <w:color w:val="231F20"/>
          <w:spacing w:val="-4"/>
        </w:rPr>
        <w:t>year.</w:t>
      </w:r>
      <w:r>
        <w:rPr/>
      </w:r>
    </w:p>
    <w:p>
      <w:pPr>
        <w:pStyle w:val="BodyText"/>
        <w:spacing w:line="240" w:lineRule="auto"/>
        <w:ind w:left="334" w:right="1360"/>
        <w:jc w:val="left"/>
      </w:pPr>
      <w:r>
        <w:rPr>
          <w:color w:val="231F20"/>
        </w:rPr>
        <w:t>During 2018–19, AITSL led three ITE accreditation panellist training sessions, training 211 individuals and bringing the total number of trained assessors to 608. In</w:t>
      </w:r>
      <w:r>
        <w:rPr/>
      </w:r>
    </w:p>
    <w:p>
      <w:pPr>
        <w:pStyle w:val="BodyText"/>
        <w:spacing w:line="240" w:lineRule="auto" w:before="0"/>
        <w:ind w:left="334" w:right="1152"/>
        <w:jc w:val="left"/>
      </w:pPr>
      <w:r>
        <w:rPr>
          <w:color w:val="231F20"/>
        </w:rPr>
        <w:t>response to the requirement that all panels be led by trained chairs selected from a national pool on the basis of agreed criteria, AITSL offered three training sessions for 57 panel chairs, bringing the total pool of trained chairs to 77.</w:t>
      </w:r>
      <w:r>
        <w:rPr/>
      </w:r>
    </w:p>
    <w:p>
      <w:pPr>
        <w:pStyle w:val="BodyText"/>
        <w:spacing w:line="240" w:lineRule="auto"/>
        <w:ind w:left="334" w:right="1454"/>
        <w:jc w:val="left"/>
      </w:pPr>
      <w:r>
        <w:rPr>
          <w:color w:val="231F20"/>
          <w:spacing w:val="-4"/>
        </w:rPr>
        <w:t>TPAs</w:t>
      </w:r>
      <w:r>
        <w:rPr>
          <w:color w:val="231F20"/>
        </w:rPr>
        <w:t> have been another major focus of</w:t>
      </w:r>
      <w:r>
        <w:rPr>
          <w:color w:val="231F20"/>
          <w:spacing w:val="21"/>
        </w:rPr>
        <w:t> </w:t>
      </w:r>
      <w:r>
        <w:rPr>
          <w:color w:val="231F20"/>
        </w:rPr>
        <w:t>work for AITSL in relation to ITE reform,</w:t>
      </w:r>
      <w:r>
        <w:rPr>
          <w:color w:val="231F20"/>
        </w:rPr>
        <w:t> with</w:t>
      </w:r>
      <w:r>
        <w:rPr>
          <w:color w:val="231F20"/>
          <w:spacing w:val="-2"/>
        </w:rPr>
        <w:t> </w:t>
      </w:r>
      <w:r>
        <w:rPr>
          <w:color w:val="231F20"/>
        </w:rPr>
        <w:t>significant</w:t>
      </w:r>
      <w:r>
        <w:rPr>
          <w:color w:val="231F20"/>
          <w:spacing w:val="-2"/>
        </w:rPr>
        <w:t> </w:t>
      </w:r>
      <w:r>
        <w:rPr>
          <w:color w:val="231F20"/>
        </w:rPr>
        <w:t>work</w:t>
      </w:r>
      <w:r>
        <w:rPr>
          <w:color w:val="231F20"/>
          <w:spacing w:val="-1"/>
        </w:rPr>
        <w:t> </w:t>
      </w:r>
      <w:r>
        <w:rPr>
          <w:color w:val="231F20"/>
        </w:rPr>
        <w:t>undertaken</w:t>
      </w:r>
      <w:r>
        <w:rPr>
          <w:color w:val="231F20"/>
          <w:spacing w:val="-2"/>
        </w:rPr>
        <w:t> </w:t>
      </w:r>
      <w:r>
        <w:rPr>
          <w:color w:val="231F20"/>
        </w:rPr>
        <w:t>to</w:t>
      </w:r>
      <w:r>
        <w:rPr>
          <w:color w:val="231F20"/>
          <w:spacing w:val="-2"/>
        </w:rPr>
        <w:t> </w:t>
      </w:r>
      <w:r>
        <w:rPr>
          <w:color w:val="231F20"/>
        </w:rPr>
        <w:t>support</w:t>
      </w:r>
      <w:r>
        <w:rPr/>
      </w:r>
    </w:p>
    <w:p>
      <w:pPr>
        <w:pStyle w:val="BodyText"/>
        <w:spacing w:line="240" w:lineRule="auto" w:before="0"/>
        <w:ind w:left="334" w:right="0"/>
        <w:jc w:val="left"/>
      </w:pPr>
      <w:r>
        <w:rPr>
          <w:color w:val="231F20"/>
        </w:rPr>
        <w:t>development and quality assurance of </w:t>
      </w:r>
      <w:r>
        <w:rPr>
          <w:color w:val="231F20"/>
          <w:spacing w:val="-3"/>
        </w:rPr>
        <w:t>TPAs.</w:t>
      </w:r>
      <w:r>
        <w:rPr/>
      </w:r>
    </w:p>
    <w:p>
      <w:pPr>
        <w:spacing w:after="0" w:line="240" w:lineRule="auto"/>
        <w:jc w:val="left"/>
        <w:sectPr>
          <w:type w:val="continuous"/>
          <w:pgSz w:w="9980" w:h="14180"/>
          <w:pgMar w:top="0" w:bottom="280" w:left="0" w:right="0"/>
          <w:cols w:num="2" w:equalWidth="0">
            <w:col w:w="4644" w:space="40"/>
            <w:col w:w="5296"/>
          </w:cols>
        </w:sect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pStyle w:val="Heading5"/>
        <w:spacing w:line="240" w:lineRule="auto" w:before="210"/>
        <w:ind w:left="1133" w:right="0"/>
        <w:jc w:val="left"/>
        <w:rPr>
          <w:b w:val="0"/>
          <w:bCs w:val="0"/>
        </w:rPr>
      </w:pPr>
      <w:r>
        <w:rPr/>
        <w:pict>
          <v:group style="position:absolute;margin-left:0pt;margin-top:-72.619987pt;width:498.9pt;height:50.9pt;mso-position-horizontal-relative:page;mso-position-vertical-relative:paragraph;z-index:2272" coordorigin="0,-1452" coordsize="9978,1018">
            <v:group style="position:absolute;left:0;top:-1452;width:9978;height:1018" coordorigin="0,-1452" coordsize="9978,1018">
              <v:shape style="position:absolute;left:0;top:-1452;width:9978;height:1018" coordorigin="0,-1452" coordsize="9978,1018" path="m0,-434l9978,-434,9978,-1452,0,-1452,0,-434xe" filled="true" fillcolor="#a2c6ca" stroked="false">
                <v:path arrowok="t"/>
                <v:fill type="solid"/>
              </v:shape>
              <v:shape style="position:absolute;left:7468;top:-999;width:1660;height:140" type="#_x0000_t202" filled="false" stroked="false">
                <v:textbox inset="0,0,0,0">
                  <w:txbxContent>
                    <w:p>
                      <w:pPr>
                        <w:spacing w:line="140" w:lineRule="exact" w:before="0"/>
                        <w:ind w:left="0" w:right="0" w:firstLine="0"/>
                        <w:jc w:val="lef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txbxContent>
                </v:textbox>
                <w10:wrap type="none"/>
              </v:shape>
            </v:group>
            <w10:wrap type="none"/>
          </v:group>
        </w:pict>
      </w:r>
      <w:r>
        <w:rPr>
          <w:color w:val="005E63"/>
        </w:rPr>
        <w:t>CASE </w:t>
      </w:r>
      <w:r>
        <w:rPr>
          <w:color w:val="005E63"/>
          <w:spacing w:val="-1"/>
        </w:rPr>
        <w:t>STUDY</w:t>
      </w:r>
      <w:r>
        <w:rPr>
          <w:color w:val="005E63"/>
        </w:rPr>
        <w:t> 1</w:t>
      </w:r>
      <w:r>
        <w:rPr>
          <w:b w:val="0"/>
        </w:rPr>
      </w:r>
    </w:p>
    <w:p>
      <w:pPr>
        <w:spacing w:line="240" w:lineRule="auto" w:before="2"/>
        <w:rPr>
          <w:rFonts w:ascii="Swis721 BT" w:hAnsi="Swis721 BT" w:cs="Swis721 BT" w:eastAsia="Swis721 BT"/>
          <w:b/>
          <w:bCs/>
          <w:sz w:val="12"/>
          <w:szCs w:val="12"/>
        </w:rPr>
      </w:pPr>
    </w:p>
    <w:p>
      <w:pPr>
        <w:spacing w:after="0" w:line="240" w:lineRule="auto"/>
        <w:rPr>
          <w:rFonts w:ascii="Swis721 BT" w:hAnsi="Swis721 BT" w:cs="Swis721 BT" w:eastAsia="Swis721 BT"/>
          <w:sz w:val="12"/>
          <w:szCs w:val="12"/>
        </w:rPr>
        <w:sectPr>
          <w:pgSz w:w="9980" w:h="14180"/>
          <w:pgMar w:header="0" w:footer="452" w:top="0" w:bottom="640" w:left="0" w:right="0"/>
        </w:sectPr>
      </w:pPr>
    </w:p>
    <w:p>
      <w:pPr>
        <w:pStyle w:val="Heading8"/>
        <w:spacing w:line="262" w:lineRule="exact" w:before="73"/>
        <w:ind w:left="1133" w:right="0"/>
        <w:jc w:val="left"/>
      </w:pPr>
      <w:r>
        <w:rPr>
          <w:color w:val="00757A"/>
          <w:spacing w:val="-28"/>
        </w:rPr>
        <w:t>T</w:t>
      </w:r>
      <w:r>
        <w:rPr>
          <w:color w:val="00757A"/>
        </w:rPr>
        <w:t>eaching </w:t>
      </w:r>
      <w:r>
        <w:rPr>
          <w:color w:val="00757A"/>
          <w:spacing w:val="-5"/>
        </w:rPr>
        <w:t>P</w:t>
      </w:r>
      <w:r>
        <w:rPr>
          <w:color w:val="00757A"/>
        </w:rPr>
        <w:t>erformance Assessments</w:t>
      </w:r>
      <w:r>
        <w:rPr/>
      </w:r>
    </w:p>
    <w:p>
      <w:pPr>
        <w:spacing w:line="260" w:lineRule="exact" w:before="2"/>
        <w:ind w:left="1133" w:right="5" w:firstLine="0"/>
        <w:jc w:val="left"/>
        <w:rPr>
          <w:rFonts w:ascii="Swis721 Md BT" w:hAnsi="Swis721 Md BT" w:cs="Swis721 Md BT" w:eastAsia="Swis721 Md BT"/>
          <w:sz w:val="22"/>
          <w:szCs w:val="22"/>
        </w:rPr>
      </w:pPr>
      <w:r>
        <w:rPr>
          <w:rFonts w:ascii="Swis721 Md BT" w:hAnsi="Swis721 Md BT" w:cs="Swis721 Md BT" w:eastAsia="Swis721 Md BT"/>
          <w:color w:val="00757A"/>
          <w:sz w:val="22"/>
          <w:szCs w:val="22"/>
        </w:rPr>
        <w:t>– A robust assessment of graduate preparedness</w:t>
      </w:r>
      <w:r>
        <w:rPr>
          <w:rFonts w:ascii="Swis721 Md BT" w:hAnsi="Swis721 Md BT" w:cs="Swis721 Md BT" w:eastAsia="Swis721 Md BT"/>
          <w:sz w:val="22"/>
          <w:szCs w:val="22"/>
        </w:rPr>
      </w:r>
    </w:p>
    <w:p>
      <w:pPr>
        <w:spacing w:before="106"/>
        <w:ind w:left="1133" w:right="5" w:firstLine="0"/>
        <w:jc w:val="left"/>
        <w:rPr>
          <w:rFonts w:ascii="Swis721 Lt BT" w:hAnsi="Swis721 Lt BT" w:cs="Swis721 Lt BT" w:eastAsia="Swis721 Lt BT"/>
          <w:sz w:val="19"/>
          <w:szCs w:val="19"/>
        </w:rPr>
      </w:pPr>
      <w:r>
        <w:rPr>
          <w:rFonts w:ascii="Swis721 Lt BT"/>
          <w:color w:val="231F20"/>
          <w:sz w:val="19"/>
        </w:rPr>
        <w:t>The </w:t>
      </w:r>
      <w:r>
        <w:rPr>
          <w:rFonts w:ascii="Swis721 Lt BT"/>
          <w:i/>
          <w:color w:val="231F20"/>
          <w:sz w:val="19"/>
        </w:rPr>
        <w:t>Accreditation of initial teacher education</w:t>
      </w:r>
      <w:r>
        <w:rPr>
          <w:rFonts w:ascii="Swis721 Lt BT"/>
          <w:i/>
          <w:color w:val="231F20"/>
          <w:sz w:val="19"/>
        </w:rPr>
        <w:t> programs in Australia: Standards and Procedures (Standards and Procedures) </w:t>
      </w:r>
      <w:r>
        <w:rPr>
          <w:rFonts w:ascii="Swis721 Lt BT"/>
          <w:color w:val="231F20"/>
          <w:sz w:val="19"/>
        </w:rPr>
        <w:t>requires all pre-service teachers to</w:t>
      </w:r>
      <w:r>
        <w:rPr>
          <w:rFonts w:ascii="Swis721 Lt BT"/>
          <w:color w:val="231F20"/>
          <w:sz w:val="19"/>
        </w:rPr>
        <w:t> successfully complete an authentic, valid, reliable and moderated assessment of teaching performance at the culmination of their initial teacher education studies.</w:t>
      </w:r>
      <w:r>
        <w:rPr>
          <w:rFonts w:ascii="Swis721 Lt BT"/>
          <w:sz w:val="19"/>
        </w:rPr>
      </w:r>
    </w:p>
    <w:p>
      <w:pPr>
        <w:pStyle w:val="BodyText"/>
        <w:spacing w:line="240" w:lineRule="auto"/>
        <w:ind w:left="1133" w:right="110"/>
        <w:jc w:val="left"/>
      </w:pPr>
      <w:r>
        <w:rPr>
          <w:color w:val="231F20"/>
        </w:rPr>
        <w:t>During 2018–19, AITSL established an Expert Advisory Group (EAG) to ensure that all </w:t>
      </w:r>
      <w:r>
        <w:rPr>
          <w:color w:val="231F20"/>
          <w:spacing w:val="-4"/>
        </w:rPr>
        <w:t>TPAs</w:t>
      </w:r>
      <w:r>
        <w:rPr>
          <w:color w:val="231F20"/>
          <w:spacing w:val="21"/>
        </w:rPr>
        <w:t> </w:t>
      </w:r>
      <w:r>
        <w:rPr>
          <w:color w:val="231F20"/>
        </w:rPr>
        <w:t>developed by ITE providers are consistent in</w:t>
      </w:r>
      <w:r>
        <w:rPr>
          <w:color w:val="231F20"/>
        </w:rPr>
        <w:t> their rigour and align with the requirements of the </w:t>
      </w:r>
      <w:r>
        <w:rPr>
          <w:rFonts w:ascii="Swis721 Lt BT" w:hAnsi="Swis721 Lt BT" w:cs="Swis721 Lt BT" w:eastAsia="Swis721 Lt BT"/>
          <w:i/>
          <w:color w:val="231F20"/>
        </w:rPr>
        <w:t>Standards and Procedures</w:t>
      </w:r>
      <w:r>
        <w:rPr>
          <w:color w:val="231F20"/>
        </w:rPr>
        <w:t>. The EAG</w:t>
      </w:r>
      <w:r>
        <w:rPr/>
      </w:r>
    </w:p>
    <w:p>
      <w:pPr>
        <w:pStyle w:val="BodyText"/>
        <w:spacing w:line="240" w:lineRule="auto" w:before="0"/>
        <w:ind w:left="1133" w:right="0"/>
        <w:jc w:val="left"/>
      </w:pPr>
      <w:r>
        <w:rPr>
          <w:color w:val="231F20"/>
        </w:rPr>
        <w:t>will help ensure that all ITE program providers develop and implement </w:t>
      </w:r>
      <w:r>
        <w:rPr>
          <w:color w:val="231F20"/>
          <w:spacing w:val="-4"/>
        </w:rPr>
        <w:t>TPAs</w:t>
      </w:r>
      <w:r>
        <w:rPr>
          <w:color w:val="231F20"/>
        </w:rPr>
        <w:t> that robustly</w:t>
      </w:r>
      <w:r>
        <w:rPr>
          <w:color w:val="231F20"/>
          <w:spacing w:val="21"/>
        </w:rPr>
        <w:t> </w:t>
      </w:r>
      <w:r>
        <w:rPr>
          <w:color w:val="231F20"/>
        </w:rPr>
        <w:t>assess their graduates against the</w:t>
      </w:r>
      <w:r>
        <w:rPr>
          <w:color w:val="231F20"/>
          <w:spacing w:val="1"/>
        </w:rPr>
        <w:t> </w:t>
      </w:r>
      <w:r>
        <w:rPr>
          <w:rFonts w:ascii="Swis721 Lt BT"/>
          <w:i/>
          <w:color w:val="231F20"/>
        </w:rPr>
        <w:t>Australian</w:t>
      </w:r>
      <w:r>
        <w:rPr>
          <w:rFonts w:ascii="Swis721 Lt BT"/>
          <w:i/>
          <w:color w:val="231F20"/>
        </w:rPr>
        <w:t> Professional Standards for </w:t>
      </w:r>
      <w:r>
        <w:rPr>
          <w:rFonts w:ascii="Swis721 Lt BT"/>
          <w:i/>
          <w:color w:val="231F20"/>
          <w:spacing w:val="-3"/>
        </w:rPr>
        <w:t>Teachers</w:t>
      </w:r>
      <w:r>
        <w:rPr>
          <w:rFonts w:ascii="Swis721 Lt BT"/>
          <w:i/>
          <w:color w:val="231F20"/>
        </w:rPr>
        <w:t> </w:t>
      </w:r>
      <w:r>
        <w:rPr>
          <w:color w:val="231F20"/>
        </w:rPr>
        <w:t>Graduate</w:t>
      </w:r>
      <w:r>
        <w:rPr>
          <w:color w:val="231F20"/>
          <w:spacing w:val="21"/>
        </w:rPr>
        <w:t> </w:t>
      </w:r>
      <w:r>
        <w:rPr>
          <w:color w:val="231F20"/>
          <w:spacing w:val="-26"/>
        </w:rPr>
        <w:t>T</w:t>
      </w:r>
      <w:r>
        <w:rPr>
          <w:color w:val="231F20"/>
        </w:rPr>
        <w:t>eacher Standards, prior to graduation. EAG</w:t>
      </w:r>
      <w:r>
        <w:rPr>
          <w:color w:val="231F20"/>
        </w:rPr>
        <w:t> members bring together expertise in standard- setting, ITE </w:t>
      </w:r>
      <w:r>
        <w:rPr>
          <w:color w:val="231F20"/>
          <w:spacing w:val="-2"/>
        </w:rPr>
        <w:t>delivery,</w:t>
      </w:r>
      <w:r>
        <w:rPr>
          <w:color w:val="231F20"/>
        </w:rPr>
        <w:t> accreditation, and</w:t>
      </w:r>
      <w:r>
        <w:rPr>
          <w:color w:val="231F20"/>
          <w:spacing w:val="23"/>
        </w:rPr>
        <w:t> </w:t>
      </w:r>
      <w:r>
        <w:rPr>
          <w:color w:val="231F20"/>
        </w:rPr>
        <w:t>assessment.</w:t>
      </w:r>
      <w:r>
        <w:rPr/>
      </w:r>
    </w:p>
    <w:p>
      <w:pPr>
        <w:pStyle w:val="BodyText"/>
        <w:spacing w:line="240" w:lineRule="auto" w:before="69"/>
        <w:ind w:left="320" w:right="710"/>
        <w:jc w:val="left"/>
      </w:pPr>
      <w:r>
        <w:rPr/>
        <w:br w:type="column"/>
      </w:r>
      <w:r>
        <w:rPr>
          <w:color w:val="231F20"/>
        </w:rPr>
        <w:t>As of June 2019, three </w:t>
      </w:r>
      <w:r>
        <w:rPr>
          <w:color w:val="231F20"/>
          <w:spacing w:val="-4"/>
        </w:rPr>
        <w:t>TPAs</w:t>
      </w:r>
      <w:r>
        <w:rPr>
          <w:color w:val="231F20"/>
        </w:rPr>
        <w:t> have been</w:t>
      </w:r>
      <w:r>
        <w:rPr>
          <w:color w:val="231F20"/>
          <w:spacing w:val="21"/>
        </w:rPr>
        <w:t> </w:t>
      </w:r>
      <w:r>
        <w:rPr>
          <w:color w:val="231F20"/>
        </w:rPr>
        <w:t>endorsed by the EAG:</w:t>
      </w:r>
      <w:r>
        <w:rPr/>
      </w:r>
    </w:p>
    <w:p>
      <w:pPr>
        <w:pStyle w:val="BodyText"/>
        <w:spacing w:line="240" w:lineRule="auto"/>
        <w:ind w:left="547" w:right="710" w:hanging="227"/>
        <w:jc w:val="left"/>
      </w:pPr>
      <w:r>
        <w:rPr>
          <w:rFonts w:ascii="Arial" w:hAnsi="Arial"/>
          <w:color w:val="00757A"/>
        </w:rPr>
        <w:t>ϐ </w:t>
      </w:r>
      <w:r>
        <w:rPr>
          <w:rFonts w:ascii="Arial" w:hAnsi="Arial"/>
          <w:color w:val="00757A"/>
          <w:spacing w:val="8"/>
        </w:rPr>
        <w:t> </w:t>
      </w:r>
      <w:r>
        <w:rPr>
          <w:color w:val="231F20"/>
        </w:rPr>
        <w:t>the</w:t>
      </w:r>
      <w:r>
        <w:rPr>
          <w:color w:val="231F20"/>
          <w:spacing w:val="1"/>
        </w:rPr>
        <w:t> </w:t>
      </w:r>
      <w:r>
        <w:rPr>
          <w:color w:val="231F20"/>
        </w:rPr>
        <w:t>Graduate</w:t>
      </w:r>
      <w:r>
        <w:rPr>
          <w:color w:val="231F20"/>
          <w:spacing w:val="1"/>
        </w:rPr>
        <w:t> </w:t>
      </w:r>
      <w:r>
        <w:rPr>
          <w:color w:val="231F20"/>
          <w:spacing w:val="-26"/>
        </w:rPr>
        <w:t>T</w:t>
      </w:r>
      <w:r>
        <w:rPr>
          <w:color w:val="231F20"/>
        </w:rPr>
        <w:t>eacher</w:t>
      </w:r>
      <w:r>
        <w:rPr>
          <w:color w:val="231F20"/>
          <w:spacing w:val="1"/>
        </w:rPr>
        <w:t> </w:t>
      </w:r>
      <w:r>
        <w:rPr>
          <w:color w:val="231F20"/>
          <w:spacing w:val="-6"/>
        </w:rPr>
        <w:t>P</w:t>
      </w:r>
      <w:r>
        <w:rPr>
          <w:color w:val="231F20"/>
        </w:rPr>
        <w:t>erformance</w:t>
      </w:r>
      <w:r>
        <w:rPr>
          <w:color w:val="231F20"/>
        </w:rPr>
        <w:t> Assessment</w:t>
      </w:r>
      <w:r>
        <w:rPr/>
      </w:r>
    </w:p>
    <w:p>
      <w:pPr>
        <w:pStyle w:val="BodyText"/>
        <w:spacing w:line="240" w:lineRule="auto"/>
        <w:ind w:left="320" w:right="0"/>
        <w:jc w:val="left"/>
      </w:pPr>
      <w:r>
        <w:rPr>
          <w:rFonts w:ascii="Arial" w:hAnsi="Arial"/>
          <w:color w:val="00757A"/>
        </w:rPr>
        <w:t>ϐ </w:t>
      </w:r>
      <w:r>
        <w:rPr>
          <w:rFonts w:ascii="Arial" w:hAnsi="Arial"/>
          <w:color w:val="00757A"/>
          <w:spacing w:val="8"/>
        </w:rPr>
        <w:t> </w:t>
      </w:r>
      <w:r>
        <w:rPr>
          <w:color w:val="231F20"/>
        </w:rPr>
        <w:t>the</w:t>
      </w:r>
      <w:r>
        <w:rPr>
          <w:color w:val="231F20"/>
          <w:spacing w:val="1"/>
        </w:rPr>
        <w:t> </w:t>
      </w:r>
      <w:r>
        <w:rPr>
          <w:color w:val="231F20"/>
        </w:rPr>
        <w:t>Assessment for</w:t>
      </w:r>
      <w:r>
        <w:rPr>
          <w:color w:val="231F20"/>
          <w:spacing w:val="1"/>
        </w:rPr>
        <w:t> </w:t>
      </w:r>
      <w:r>
        <w:rPr>
          <w:color w:val="231F20"/>
        </w:rPr>
        <w:t>Graduate</w:t>
      </w:r>
      <w:r>
        <w:rPr>
          <w:color w:val="231F20"/>
          <w:spacing w:val="1"/>
        </w:rPr>
        <w:t> </w:t>
      </w:r>
      <w:r>
        <w:rPr>
          <w:color w:val="231F20"/>
          <w:spacing w:val="-26"/>
        </w:rPr>
        <w:t>T</w:t>
      </w:r>
      <w:r>
        <w:rPr>
          <w:color w:val="231F20"/>
        </w:rPr>
        <w:t>eaching</w:t>
      </w:r>
      <w:r>
        <w:rPr/>
      </w:r>
    </w:p>
    <w:p>
      <w:pPr>
        <w:pStyle w:val="BodyText"/>
        <w:spacing w:line="240" w:lineRule="auto"/>
        <w:ind w:left="547" w:right="939" w:hanging="227"/>
        <w:jc w:val="left"/>
      </w:pPr>
      <w:r>
        <w:rPr>
          <w:rFonts w:ascii="Arial" w:hAnsi="Arial"/>
          <w:color w:val="00757A"/>
        </w:rPr>
        <w:t>ϐ </w:t>
      </w:r>
      <w:r>
        <w:rPr>
          <w:rFonts w:ascii="Arial" w:hAnsi="Arial"/>
          <w:color w:val="00757A"/>
          <w:spacing w:val="8"/>
        </w:rPr>
        <w:t> </w:t>
      </w:r>
      <w:r>
        <w:rPr>
          <w:color w:val="231F20"/>
        </w:rPr>
        <w:t>the</w:t>
      </w:r>
      <w:r>
        <w:rPr>
          <w:color w:val="231F20"/>
          <w:spacing w:val="1"/>
        </w:rPr>
        <w:t> </w:t>
      </w:r>
      <w:r>
        <w:rPr>
          <w:color w:val="231F20"/>
        </w:rPr>
        <w:t>Queensland</w:t>
      </w:r>
      <w:r>
        <w:rPr>
          <w:color w:val="231F20"/>
          <w:spacing w:val="1"/>
        </w:rPr>
        <w:t> </w:t>
      </w:r>
      <w:r>
        <w:rPr>
          <w:color w:val="231F20"/>
          <w:spacing w:val="-26"/>
        </w:rPr>
        <w:t>T</w:t>
      </w:r>
      <w:r>
        <w:rPr>
          <w:color w:val="231F20"/>
        </w:rPr>
        <w:t>eaching</w:t>
      </w:r>
      <w:r>
        <w:rPr>
          <w:color w:val="231F20"/>
          <w:spacing w:val="1"/>
        </w:rPr>
        <w:t> </w:t>
      </w:r>
      <w:r>
        <w:rPr>
          <w:color w:val="231F20"/>
          <w:spacing w:val="-6"/>
        </w:rPr>
        <w:t>P</w:t>
      </w:r>
      <w:r>
        <w:rPr>
          <w:color w:val="231F20"/>
        </w:rPr>
        <w:t>erformance</w:t>
      </w:r>
      <w:r>
        <w:rPr>
          <w:color w:val="231F20"/>
        </w:rPr>
        <w:t> Assessment.</w:t>
      </w:r>
      <w:r>
        <w:rPr/>
      </w:r>
    </w:p>
    <w:p>
      <w:pPr>
        <w:pStyle w:val="BodyText"/>
        <w:spacing w:line="240" w:lineRule="auto"/>
        <w:ind w:left="320" w:right="939"/>
        <w:jc w:val="left"/>
      </w:pPr>
      <w:r>
        <w:rPr>
          <w:color w:val="231F20"/>
        </w:rPr>
        <w:t>These </w:t>
      </w:r>
      <w:r>
        <w:rPr>
          <w:color w:val="231F20"/>
          <w:spacing w:val="-4"/>
        </w:rPr>
        <w:t>TPAs</w:t>
      </w:r>
      <w:r>
        <w:rPr>
          <w:color w:val="231F20"/>
        </w:rPr>
        <w:t> cover 27 ITE providers. All other</w:t>
      </w:r>
      <w:r>
        <w:rPr>
          <w:color w:val="231F20"/>
          <w:spacing w:val="21"/>
        </w:rPr>
        <w:t> </w:t>
      </w:r>
      <w:r>
        <w:rPr>
          <w:color w:val="231F20"/>
          <w:spacing w:val="-4"/>
        </w:rPr>
        <w:t>TPAs</w:t>
      </w:r>
      <w:r>
        <w:rPr>
          <w:color w:val="231F20"/>
        </w:rPr>
        <w:t> in development must be assessed by</w:t>
      </w:r>
      <w:r>
        <w:rPr>
          <w:color w:val="231F20"/>
          <w:spacing w:val="21"/>
        </w:rPr>
        <w:t> </w:t>
      </w:r>
      <w:r>
        <w:rPr>
          <w:color w:val="231F20"/>
        </w:rPr>
        <w:t>the EAG by the end of 2019.</w:t>
      </w:r>
      <w:r>
        <w:rPr/>
      </w:r>
    </w:p>
    <w:p>
      <w:pPr>
        <w:pStyle w:val="BodyText"/>
        <w:spacing w:line="240" w:lineRule="auto"/>
        <w:ind w:left="320" w:right="939"/>
        <w:jc w:val="left"/>
      </w:pPr>
      <w:r>
        <w:rPr>
          <w:color w:val="231F20"/>
        </w:rPr>
        <w:t>In addition to the EAG, AITSL has introduced a </w:t>
      </w:r>
      <w:r>
        <w:rPr>
          <w:color w:val="231F20"/>
          <w:spacing w:val="-5"/>
        </w:rPr>
        <w:t>TPA</w:t>
      </w:r>
      <w:r>
        <w:rPr>
          <w:color w:val="231F20"/>
        </w:rPr>
        <w:t> support service involving </w:t>
      </w:r>
      <w:r>
        <w:rPr>
          <w:color w:val="231F20"/>
          <w:spacing w:val="-1"/>
        </w:rPr>
        <w:t>Formative</w:t>
      </w:r>
      <w:r>
        <w:rPr>
          <w:color w:val="231F20"/>
          <w:spacing w:val="24"/>
        </w:rPr>
        <w:t> </w:t>
      </w:r>
      <w:r>
        <w:rPr>
          <w:color w:val="231F20"/>
        </w:rPr>
        <w:t>Advisors who can advise ITE providers on the</w:t>
      </w:r>
      <w:r>
        <w:rPr>
          <w:color w:val="231F20"/>
        </w:rPr>
        <w:t> development and implementation of a T</w:t>
      </w:r>
      <w:r>
        <w:rPr>
          <w:color w:val="231F20"/>
          <w:spacing w:val="-15"/>
        </w:rPr>
        <w:t>P</w:t>
      </w:r>
      <w:r>
        <w:rPr>
          <w:color w:val="231F20"/>
          <w:spacing w:val="3"/>
        </w:rPr>
        <w:t>A</w:t>
      </w:r>
      <w:r>
        <w:rPr>
          <w:color w:val="231F20"/>
        </w:rPr>
        <w:t>.</w:t>
      </w:r>
      <w:r>
        <w:rPr/>
      </w:r>
    </w:p>
    <w:p>
      <w:pPr>
        <w:pStyle w:val="BodyText"/>
        <w:spacing w:line="240" w:lineRule="auto"/>
        <w:ind w:left="320" w:right="871"/>
        <w:jc w:val="left"/>
      </w:pPr>
      <w:r>
        <w:rPr>
          <w:color w:val="231F20"/>
        </w:rPr>
        <w:t>A robust accreditation system should also have mechanisms in place to ensure that all graduates, regardless of where they </w:t>
      </w:r>
      <w:r>
        <w:rPr>
          <w:color w:val="231F20"/>
          <w:spacing w:val="-3"/>
        </w:rPr>
        <w:t>study,</w:t>
      </w:r>
      <w:r>
        <w:rPr>
          <w:color w:val="231F20"/>
        </w:rPr>
        <w:t> are</w:t>
      </w:r>
      <w:r>
        <w:rPr>
          <w:color w:val="231F20"/>
          <w:spacing w:val="23"/>
        </w:rPr>
        <w:t> </w:t>
      </w:r>
      <w:r>
        <w:rPr>
          <w:color w:val="231F20"/>
        </w:rPr>
        <w:t>assessed against the same passing standard.</w:t>
      </w:r>
      <w:r>
        <w:rPr>
          <w:color w:val="231F20"/>
        </w:rPr>
        <w:t> AITSL has worked collaboratively with jurisdictions, authorities and other key experts to establish a nationally agreed benchmarking framework for </w:t>
      </w:r>
      <w:r>
        <w:rPr>
          <w:color w:val="231F20"/>
          <w:spacing w:val="-3"/>
        </w:rPr>
        <w:t>TPAs.</w:t>
      </w:r>
      <w:r>
        <w:rPr>
          <w:color w:val="231F20"/>
        </w:rPr>
        <w:t> Providers are required</w:t>
      </w:r>
      <w:r>
        <w:rPr/>
      </w:r>
    </w:p>
    <w:p>
      <w:pPr>
        <w:pStyle w:val="BodyText"/>
        <w:spacing w:line="240" w:lineRule="auto" w:before="0"/>
        <w:ind w:left="320" w:right="611"/>
        <w:jc w:val="left"/>
      </w:pPr>
      <w:r>
        <w:rPr>
          <w:color w:val="231F20"/>
        </w:rPr>
        <w:t>to participate in this national benchmarking </w:t>
      </w:r>
      <w:r>
        <w:rPr>
          <w:color w:val="231F20"/>
          <w:spacing w:val="-2"/>
        </w:rPr>
        <w:t>activity,</w:t>
      </w:r>
      <w:r>
        <w:rPr>
          <w:color w:val="231F20"/>
        </w:rPr>
        <w:t> or in a cross-institutional activity that</w:t>
      </w:r>
      <w:r>
        <w:rPr>
          <w:color w:val="231F20"/>
          <w:spacing w:val="23"/>
        </w:rPr>
        <w:t> </w:t>
      </w:r>
      <w:r>
        <w:rPr>
          <w:color w:val="231F20"/>
        </w:rPr>
        <w:t>aligns with the framework and is approved and</w:t>
      </w:r>
      <w:r>
        <w:rPr>
          <w:color w:val="231F20"/>
        </w:rPr>
        <w:t> assured through AITSL’s EAG.</w:t>
      </w:r>
      <w:r>
        <w:rPr/>
      </w:r>
    </w:p>
    <w:p>
      <w:pPr>
        <w:spacing w:after="0" w:line="240" w:lineRule="auto"/>
        <w:jc w:val="left"/>
        <w:sectPr>
          <w:type w:val="continuous"/>
          <w:pgSz w:w="9980" w:h="14180"/>
          <w:pgMar w:top="0" w:bottom="280" w:left="0" w:right="0"/>
          <w:cols w:num="2" w:equalWidth="0">
            <w:col w:w="4941" w:space="40"/>
            <w:col w:w="4999"/>
          </w:cols>
        </w:sectPr>
      </w:pPr>
    </w:p>
    <w:p>
      <w:pPr>
        <w:spacing w:line="240" w:lineRule="auto" w:before="0"/>
        <w:rPr>
          <w:rFonts w:ascii="Swis721 Lt BT" w:hAnsi="Swis721 Lt BT" w:cs="Swis721 Lt BT" w:eastAsia="Swis721 Lt BT"/>
          <w:sz w:val="20"/>
          <w:szCs w:val="20"/>
        </w:rPr>
      </w:pPr>
      <w:r>
        <w:rPr/>
        <w:pict>
          <v:group style="position:absolute;margin-left:0pt;margin-top:50.900009pt;width:498.9pt;height:657.8pt;mso-position-horizontal-relative:page;mso-position-vertical-relative:page;z-index:-183424" coordorigin="0,1018" coordsize="9978,13156">
            <v:shape style="position:absolute;left:0;top:1018;width:9978;height:13156" coordorigin="0,1018" coordsize="9978,13156" path="m0,14173l9978,14173,9978,1018,0,1018,0,14173xe" filled="true" fillcolor="#dae7e8" stroked="false">
              <v:path arrowok="t"/>
              <v:fill type="solid"/>
            </v:shape>
            <w10:wrap type="none"/>
          </v:group>
        </w:pict>
      </w:r>
    </w:p>
    <w:p>
      <w:pPr>
        <w:spacing w:line="240" w:lineRule="auto" w:before="0"/>
        <w:rPr>
          <w:rFonts w:ascii="Swis721 Lt BT" w:hAnsi="Swis721 Lt BT" w:cs="Swis721 Lt BT" w:eastAsia="Swis721 Lt BT"/>
          <w:sz w:val="20"/>
          <w:szCs w:val="20"/>
        </w:rPr>
      </w:pPr>
    </w:p>
    <w:p>
      <w:pPr>
        <w:spacing w:line="240" w:lineRule="auto" w:before="10"/>
        <w:rPr>
          <w:rFonts w:ascii="Swis721 Lt BT" w:hAnsi="Swis721 Lt BT" w:cs="Swis721 Lt BT" w:eastAsia="Swis721 Lt BT"/>
          <w:sz w:val="27"/>
          <w:szCs w:val="27"/>
        </w:rPr>
      </w:pPr>
    </w:p>
    <w:p>
      <w:pPr>
        <w:spacing w:line="247" w:lineRule="auto" w:before="69"/>
        <w:ind w:left="1114" w:right="1656" w:firstLine="0"/>
        <w:jc w:val="left"/>
        <w:rPr>
          <w:rFonts w:ascii="Swis721 BT" w:hAnsi="Swis721 BT" w:cs="Swis721 BT" w:eastAsia="Swis721 BT"/>
          <w:sz w:val="23"/>
          <w:szCs w:val="23"/>
        </w:rPr>
      </w:pPr>
      <w:r>
        <w:rPr>
          <w:rFonts w:ascii="Swis721 BT"/>
          <w:b/>
          <w:color w:val="057578"/>
          <w:w w:val="105"/>
          <w:sz w:val="23"/>
        </w:rPr>
        <w:t>In</w:t>
      </w:r>
      <w:r>
        <w:rPr>
          <w:rFonts w:ascii="Swis721 BT"/>
          <w:b/>
          <w:color w:val="057578"/>
          <w:spacing w:val="-18"/>
          <w:w w:val="105"/>
          <w:sz w:val="23"/>
        </w:rPr>
        <w:t> </w:t>
      </w:r>
      <w:r>
        <w:rPr>
          <w:rFonts w:ascii="Swis721 BT"/>
          <w:b/>
          <w:color w:val="057578"/>
          <w:w w:val="105"/>
          <w:sz w:val="23"/>
        </w:rPr>
        <w:t>2019</w:t>
      </w:r>
      <w:r>
        <w:rPr>
          <w:rFonts w:ascii="Swis721 BT"/>
          <w:b/>
          <w:color w:val="057578"/>
          <w:spacing w:val="-17"/>
          <w:w w:val="105"/>
          <w:sz w:val="23"/>
        </w:rPr>
        <w:t> </w:t>
      </w:r>
      <w:r>
        <w:rPr>
          <w:rFonts w:ascii="Swis721 BT"/>
          <w:b/>
          <w:color w:val="057578"/>
          <w:w w:val="105"/>
          <w:sz w:val="23"/>
        </w:rPr>
        <w:t>all</w:t>
      </w:r>
      <w:r>
        <w:rPr>
          <w:rFonts w:ascii="Swis721 BT"/>
          <w:b/>
          <w:color w:val="057578"/>
          <w:spacing w:val="-17"/>
          <w:w w:val="105"/>
          <w:sz w:val="23"/>
        </w:rPr>
        <w:t> </w:t>
      </w:r>
      <w:r>
        <w:rPr>
          <w:rFonts w:ascii="Swis721 BT"/>
          <w:b/>
          <w:color w:val="057578"/>
          <w:w w:val="105"/>
          <w:sz w:val="23"/>
        </w:rPr>
        <w:t>teaching</w:t>
      </w:r>
      <w:r>
        <w:rPr>
          <w:rFonts w:ascii="Swis721 BT"/>
          <w:b/>
          <w:color w:val="057578"/>
          <w:spacing w:val="-17"/>
          <w:w w:val="105"/>
          <w:sz w:val="23"/>
        </w:rPr>
        <w:t> </w:t>
      </w:r>
      <w:r>
        <w:rPr>
          <w:rFonts w:ascii="Swis721 BT"/>
          <w:b/>
          <w:color w:val="057578"/>
          <w:w w:val="105"/>
          <w:sz w:val="23"/>
        </w:rPr>
        <w:t>performance</w:t>
      </w:r>
      <w:r>
        <w:rPr>
          <w:rFonts w:ascii="Swis721 BT"/>
          <w:b/>
          <w:color w:val="057578"/>
          <w:spacing w:val="-17"/>
          <w:w w:val="105"/>
          <w:sz w:val="23"/>
        </w:rPr>
        <w:t> </w:t>
      </w:r>
      <w:r>
        <w:rPr>
          <w:rFonts w:ascii="Swis721 BT"/>
          <w:b/>
          <w:color w:val="057578"/>
          <w:w w:val="105"/>
          <w:sz w:val="23"/>
        </w:rPr>
        <w:t>assessments</w:t>
      </w:r>
      <w:r>
        <w:rPr>
          <w:rFonts w:ascii="Swis721 BT"/>
          <w:b/>
          <w:color w:val="057578"/>
          <w:spacing w:val="-17"/>
          <w:w w:val="105"/>
          <w:sz w:val="23"/>
        </w:rPr>
        <w:t> </w:t>
      </w:r>
      <w:r>
        <w:rPr>
          <w:rFonts w:ascii="Swis721 BT"/>
          <w:b/>
          <w:color w:val="057578"/>
          <w:w w:val="105"/>
          <w:sz w:val="23"/>
        </w:rPr>
        <w:t>must</w:t>
      </w:r>
      <w:r>
        <w:rPr>
          <w:rFonts w:ascii="Swis721 BT"/>
          <w:b/>
          <w:color w:val="057578"/>
          <w:spacing w:val="-17"/>
          <w:w w:val="105"/>
          <w:sz w:val="23"/>
        </w:rPr>
        <w:t> </w:t>
      </w:r>
      <w:r>
        <w:rPr>
          <w:rFonts w:ascii="Swis721 BT"/>
          <w:b/>
          <w:color w:val="057578"/>
          <w:w w:val="105"/>
          <w:sz w:val="23"/>
        </w:rPr>
        <w:t>be</w:t>
      </w:r>
      <w:r>
        <w:rPr>
          <w:rFonts w:ascii="Swis721 BT"/>
          <w:b/>
          <w:color w:val="057578"/>
          <w:w w:val="103"/>
          <w:sz w:val="23"/>
        </w:rPr>
        <w:t> </w:t>
      </w:r>
      <w:r>
        <w:rPr>
          <w:rFonts w:ascii="Swis721 BT"/>
          <w:b/>
          <w:color w:val="057578"/>
          <w:w w:val="105"/>
          <w:sz w:val="23"/>
        </w:rPr>
        <w:t>reviewed</w:t>
      </w:r>
      <w:r>
        <w:rPr>
          <w:rFonts w:ascii="Swis721 BT"/>
          <w:b/>
          <w:color w:val="057578"/>
          <w:spacing w:val="-18"/>
          <w:w w:val="105"/>
          <w:sz w:val="23"/>
        </w:rPr>
        <w:t> </w:t>
      </w:r>
      <w:r>
        <w:rPr>
          <w:rFonts w:ascii="Swis721 BT"/>
          <w:b/>
          <w:color w:val="057578"/>
          <w:w w:val="105"/>
          <w:sz w:val="23"/>
        </w:rPr>
        <w:t>by</w:t>
      </w:r>
      <w:r>
        <w:rPr>
          <w:rFonts w:ascii="Swis721 BT"/>
          <w:b/>
          <w:color w:val="057578"/>
          <w:spacing w:val="-17"/>
          <w:w w:val="105"/>
          <w:sz w:val="23"/>
        </w:rPr>
        <w:t> </w:t>
      </w:r>
      <w:r>
        <w:rPr>
          <w:rFonts w:ascii="Swis721 BT"/>
          <w:b/>
          <w:color w:val="057578"/>
          <w:w w:val="105"/>
          <w:sz w:val="23"/>
        </w:rPr>
        <w:t>the</w:t>
      </w:r>
      <w:r>
        <w:rPr>
          <w:rFonts w:ascii="Swis721 BT"/>
          <w:b/>
          <w:color w:val="057578"/>
          <w:spacing w:val="-17"/>
          <w:w w:val="105"/>
          <w:sz w:val="23"/>
        </w:rPr>
        <w:t> </w:t>
      </w:r>
      <w:r>
        <w:rPr>
          <w:rFonts w:ascii="Swis721 BT"/>
          <w:b/>
          <w:color w:val="057578"/>
          <w:w w:val="105"/>
          <w:sz w:val="23"/>
        </w:rPr>
        <w:t>Expert</w:t>
      </w:r>
      <w:r>
        <w:rPr>
          <w:rFonts w:ascii="Swis721 BT"/>
          <w:b/>
          <w:color w:val="057578"/>
          <w:spacing w:val="-17"/>
          <w:w w:val="105"/>
          <w:sz w:val="23"/>
        </w:rPr>
        <w:t> </w:t>
      </w:r>
      <w:r>
        <w:rPr>
          <w:rFonts w:ascii="Swis721 BT"/>
          <w:b/>
          <w:color w:val="057578"/>
          <w:w w:val="105"/>
          <w:sz w:val="23"/>
        </w:rPr>
        <w:t>Advisory</w:t>
      </w:r>
      <w:r>
        <w:rPr>
          <w:rFonts w:ascii="Swis721 BT"/>
          <w:b/>
          <w:color w:val="057578"/>
          <w:spacing w:val="-17"/>
          <w:w w:val="105"/>
          <w:sz w:val="23"/>
        </w:rPr>
        <w:t> </w:t>
      </w:r>
      <w:r>
        <w:rPr>
          <w:rFonts w:ascii="Swis721 BT"/>
          <w:b/>
          <w:color w:val="057578"/>
          <w:w w:val="105"/>
          <w:sz w:val="23"/>
        </w:rPr>
        <w:t>Group</w:t>
      </w:r>
      <w:r>
        <w:rPr>
          <w:rFonts w:ascii="Swis721 BT"/>
          <w:sz w:val="23"/>
        </w:rPr>
      </w:r>
    </w:p>
    <w:p>
      <w:pPr>
        <w:spacing w:line="240" w:lineRule="auto" w:before="12"/>
        <w:rPr>
          <w:rFonts w:ascii="Swis721 BT" w:hAnsi="Swis721 BT" w:cs="Swis721 BT" w:eastAsia="Swis721 BT"/>
          <w:b/>
          <w:bCs/>
          <w:sz w:val="24"/>
          <w:szCs w:val="24"/>
        </w:rPr>
      </w:pPr>
    </w:p>
    <w:p>
      <w:pPr>
        <w:tabs>
          <w:tab w:pos="7698" w:val="left" w:leader="none"/>
        </w:tabs>
        <w:spacing w:line="200" w:lineRule="atLeast"/>
        <w:ind w:left="1134" w:right="0" w:firstLine="0"/>
        <w:rPr>
          <w:rFonts w:ascii="Swis721 BT" w:hAnsi="Swis721 BT" w:cs="Swis721 BT" w:eastAsia="Swis721 BT"/>
          <w:sz w:val="20"/>
          <w:szCs w:val="20"/>
        </w:rPr>
      </w:pPr>
      <w:r>
        <w:rPr>
          <w:rFonts w:ascii="Swis721 BT"/>
          <w:sz w:val="20"/>
        </w:rPr>
        <w:pict>
          <v:group style="width:162.550pt;height:69.45pt;mso-position-horizontal-relative:char;mso-position-vertical-relative:line" coordorigin="0,0" coordsize="3251,1389">
            <v:group style="position:absolute;left:1517;top:650;width:2;height:2" coordorigin="1517,650" coordsize="2,2">
              <v:shape style="position:absolute;left:1517;top:650;width:2;height:2" coordorigin="1517,650" coordsize="0,2" path="m1517,650l1517,652e" filled="false" stroked="true" strokeweight=".1pt" strokecolor="#231f20">
                <v:path arrowok="t"/>
              </v:shape>
            </v:group>
            <v:group style="position:absolute;left:1517;top:651;width:226;height:2" coordorigin="1517,651" coordsize="226,2">
              <v:shape style="position:absolute;left:1517;top:651;width:226;height:2" coordorigin="1517,651" coordsize="226,0" path="m1517,651l1743,651e" filled="false" stroked="true" strokeweight="8.147pt" strokecolor="#999999">
                <v:path arrowok="t"/>
              </v:shape>
            </v:group>
            <v:group style="position:absolute;left:2721;top:651;width:360;height:2" coordorigin="2721,651" coordsize="360,2">
              <v:shape style="position:absolute;left:2721;top:651;width:360;height:2" coordorigin="2721,651" coordsize="360,0" path="m2721,651l3080,651e" filled="false" stroked="true" strokeweight="8.147pt" strokecolor="#999999">
                <v:path arrowok="t"/>
              </v:shape>
            </v:group>
            <v:group style="position:absolute;left:1743;top:40;width:867;height:1148" coordorigin="1743,40" coordsize="867,1148">
              <v:shape style="position:absolute;left:1743;top:40;width:867;height:1148" coordorigin="1743,40" coordsize="867,1148" path="m2610,1188l1743,1188,1743,40,2610,40,2610,1188xe" filled="true" fillcolor="#ffffff" stroked="false">
                <v:path arrowok="t"/>
                <v:fill type="solid"/>
              </v:shape>
            </v:group>
            <v:group style="position:absolute;left:1743;top:40;width:867;height:1148" coordorigin="1743,40" coordsize="867,1148">
              <v:shape style="position:absolute;left:1743;top:40;width:867;height:1148" coordorigin="1743,40" coordsize="867,1148" path="m2610,1188l1743,1188,1743,40,2610,40,2610,1188xe" filled="false" stroked="true" strokeweight=".37pt" strokecolor="#010202">
                <v:path arrowok="t"/>
              </v:shape>
            </v:group>
            <v:group style="position:absolute;left:1802;top:114;width:867;height:1148" coordorigin="1802,114" coordsize="867,1148">
              <v:shape style="position:absolute;left:1802;top:114;width:867;height:1148" coordorigin="1802,114" coordsize="867,1148" path="m2669,1262l1802,1262,1802,114,2669,114,2669,1262xe" filled="true" fillcolor="#ffffff" stroked="false">
                <v:path arrowok="t"/>
                <v:fill type="solid"/>
              </v:shape>
            </v:group>
            <v:group style="position:absolute;left:1802;top:114;width:867;height:1148" coordorigin="1802,114" coordsize="867,1148">
              <v:shape style="position:absolute;left:1802;top:114;width:867;height:1148" coordorigin="1802,114" coordsize="867,1148" path="m2669,1262l1802,1262,1802,114,2669,114,2669,1262xe" filled="false" stroked="true" strokeweight=".37pt" strokecolor="#010202">
                <v:path arrowok="t"/>
              </v:shape>
            </v:group>
            <v:group style="position:absolute;left:1854;top:181;width:867;height:1148" coordorigin="1854,181" coordsize="867,1148">
              <v:shape style="position:absolute;left:1854;top:181;width:867;height:1148" coordorigin="1854,181" coordsize="867,1148" path="m2721,1329l1854,1329,1854,181,2721,181,2721,1329xe" filled="true" fillcolor="#ffffff" stroked="false">
                <v:path arrowok="t"/>
                <v:fill type="solid"/>
              </v:shape>
            </v:group>
            <v:group style="position:absolute;left:1854;top:181;width:867;height:1148" coordorigin="1854,181" coordsize="867,1148">
              <v:shape style="position:absolute;left:1854;top:181;width:867;height:1148" coordorigin="1854,181" coordsize="867,1148" path="m2721,1329l1854,1329,1854,181,2721,181,2721,1329xe" filled="false" stroked="true" strokeweight=".37pt" strokecolor="#010202">
                <v:path arrowok="t"/>
              </v:shape>
            </v:group>
            <v:group style="position:absolute;left:1962;top:772;width:659;height:2" coordorigin="1962,772" coordsize="659,2">
              <v:shape style="position:absolute;left:1962;top:772;width:659;height:2" coordorigin="1962,772" coordsize="659,0" path="m1962,772l2621,772e" filled="false" stroked="true" strokeweight="1.845pt" strokecolor="#010202">
                <v:path arrowok="t"/>
              </v:shape>
            </v:group>
            <v:group style="position:absolute;left:2087;top:861;width:507;height:2" coordorigin="2087,861" coordsize="507,2">
              <v:shape style="position:absolute;left:2087;top:861;width:507;height:2" coordorigin="2087,861" coordsize="507,2" path="m2087,862l2594,861e" filled="false" stroked="true" strokeweight=".741pt" strokecolor="#010202">
                <v:path arrowok="t"/>
              </v:shape>
            </v:group>
            <v:group style="position:absolute;left:2087;top:899;width:356;height:2" coordorigin="2087,899" coordsize="356,2">
              <v:shape style="position:absolute;left:2087;top:899;width:356;height:2" coordorigin="2087,899" coordsize="356,0" path="m2087,899l2443,899e" filled="false" stroked="true" strokeweight=".741pt" strokecolor="#010202">
                <v:path arrowok="t"/>
              </v:shape>
            </v:group>
            <v:group style="position:absolute;left:1983;top:852;width:64;height:61" coordorigin="1983,852" coordsize="64,61">
              <v:shape style="position:absolute;left:1983;top:852;width:64;height:61" coordorigin="1983,852" coordsize="64,61" path="m1997,852l1986,868,1983,894,1997,908,2021,913,2040,902,2047,881,2047,879,2041,863,2025,853,1997,852xe" filled="true" fillcolor="#ffffff" stroked="false">
                <v:path arrowok="t"/>
                <v:fill type="solid"/>
              </v:shape>
            </v:group>
            <v:group style="position:absolute;left:1983;top:852;width:64;height:61" coordorigin="1983,852" coordsize="64,61">
              <v:shape style="position:absolute;left:1983;top:852;width:64;height:61" coordorigin="1983,852" coordsize="64,61" path="m2047,881l2040,902,2021,913,1997,908,1983,894,1986,868,1997,852,2025,853,2041,863,2047,879,2047,881xe" filled="false" stroked="true" strokeweight=".518pt" strokecolor="#010202">
                <v:path arrowok="t"/>
              </v:shape>
            </v:group>
            <v:group style="position:absolute;left:2087;top:987;width:507;height:2" coordorigin="2087,987" coordsize="507,2">
              <v:shape style="position:absolute;left:2087;top:987;width:507;height:2" coordorigin="2087,987" coordsize="507,2" path="m2087,988l2594,987e" filled="false" stroked="true" strokeweight=".741pt" strokecolor="#010202">
                <v:path arrowok="t"/>
              </v:shape>
            </v:group>
            <v:group style="position:absolute;left:2087;top:1025;width:356;height:2" coordorigin="2087,1025" coordsize="356,2">
              <v:shape style="position:absolute;left:2087;top:1025;width:356;height:2" coordorigin="2087,1025" coordsize="356,0" path="m2087,1025l2443,1025e" filled="false" stroked="true" strokeweight=".741pt" strokecolor="#010202">
                <v:path arrowok="t"/>
              </v:shape>
            </v:group>
            <v:group style="position:absolute;left:1983;top:978;width:64;height:61" coordorigin="1983,978" coordsize="64,61">
              <v:shape style="position:absolute;left:1983;top:978;width:64;height:61" coordorigin="1983,978" coordsize="64,61" path="m1997,978l1986,994,1983,1020,1997,1034,2021,1039,2040,1027,2047,1007,2047,1005,2041,989,2025,979,1997,978xe" filled="true" fillcolor="#ffffff" stroked="false">
                <v:path arrowok="t"/>
                <v:fill type="solid"/>
              </v:shape>
            </v:group>
            <v:group style="position:absolute;left:1983;top:978;width:64;height:61" coordorigin="1983,978" coordsize="64,61">
              <v:shape style="position:absolute;left:1983;top:978;width:64;height:61" coordorigin="1983,978" coordsize="64,61" path="m2047,1007l2040,1027,2021,1039,1997,1034,1983,1020,1986,994,1997,978,2025,979,2041,989,2047,1005,2047,1007xe" filled="false" stroked="true" strokeweight=".518pt" strokecolor="#010202">
                <v:path arrowok="t"/>
              </v:shape>
            </v:group>
            <v:group style="position:absolute;left:2087;top:1113;width:507;height:2" coordorigin="2087,1113" coordsize="507,2">
              <v:shape style="position:absolute;left:2087;top:1113;width:507;height:2" coordorigin="2087,1113" coordsize="507,2" path="m2087,1114l2594,1113e" filled="false" stroked="true" strokeweight=".741pt" strokecolor="#010202">
                <v:path arrowok="t"/>
              </v:shape>
            </v:group>
            <v:group style="position:absolute;left:1983;top:1104;width:64;height:61" coordorigin="1983,1104" coordsize="64,61">
              <v:shape style="position:absolute;left:1983;top:1104;width:64;height:61" coordorigin="1983,1104" coordsize="64,61" path="m1997,1104l1986,1119,1983,1146,1997,1160,2021,1165,2040,1153,2047,1133,2047,1131,2041,1115,2025,1105,1997,1104xe" filled="true" fillcolor="#ffffff" stroked="false">
                <v:path arrowok="t"/>
                <v:fill type="solid"/>
              </v:shape>
            </v:group>
            <v:group style="position:absolute;left:1983;top:1104;width:64;height:61" coordorigin="1983,1104" coordsize="64,61">
              <v:shape style="position:absolute;left:1983;top:1104;width:64;height:61" coordorigin="1983,1104" coordsize="64,61" path="m2047,1133l2040,1153,2021,1165,1997,1160,1983,1146,1986,1119,1997,1104,2025,1105,2041,1115,2047,1131,2047,1133xe" filled="false" stroked="true" strokeweight=".518pt" strokecolor="#010202">
                <v:path arrowok="t"/>
              </v:shape>
            </v:group>
            <v:group style="position:absolute;left:80;top:194;width:1297;height:710" coordorigin="80,194" coordsize="1297,710">
              <v:shape style="position:absolute;left:80;top:194;width:1297;height:710" coordorigin="80,194" coordsize="1297,710" path="m1376,194l80,194,80,904,506,904,507,820,152,820,152,663,511,663,511,627,152,627,152,470,514,470,515,441,152,441,152,284,518,284,518,272,1376,272,1376,194xe" filled="true" fillcolor="#599a48" stroked="false">
                <v:path arrowok="t"/>
                <v:fill type="solid"/>
              </v:shape>
              <v:shape style="position:absolute;left:80;top:194;width:1297;height:710" coordorigin="80,194" coordsize="1297,710" path="m711,272l586,272,598,904,698,904,711,272xe" filled="true" fillcolor="#599a48" stroked="false">
                <v:path arrowok="t"/>
                <v:fill type="solid"/>
              </v:shape>
              <v:shape style="position:absolute;left:80;top:194;width:1297;height:710" coordorigin="80,194" coordsize="1297,710" path="m906,272l778,272,791,904,893,904,906,272xe" filled="true" fillcolor="#599a48" stroked="false">
                <v:path arrowok="t"/>
                <v:fill type="solid"/>
              </v:shape>
              <v:shape style="position:absolute;left:80;top:194;width:1297;height:710" coordorigin="80,194" coordsize="1297,710" path="m1376,272l974,272,986,904,1376,904,1376,820,1075,820,1075,663,1376,663,1376,627,1075,627,1075,470,1376,470,1376,441,1075,441,1075,284,1376,284,1376,272xe" filled="true" fillcolor="#599a48" stroked="false">
                <v:path arrowok="t"/>
                <v:fill type="solid"/>
              </v:shape>
              <v:shape style="position:absolute;left:80;top:194;width:1297;height:710" coordorigin="80,194" coordsize="1297,710" path="m289,663l254,663,254,820,289,820,289,663xe" filled="true" fillcolor="#599a48" stroked="false">
                <v:path arrowok="t"/>
                <v:fill type="solid"/>
              </v:shape>
              <v:shape style="position:absolute;left:80;top:194;width:1297;height:710" coordorigin="80,194" coordsize="1297,710" path="m511,663l393,663,393,820,507,820,511,663xe" filled="true" fillcolor="#599a48" stroked="false">
                <v:path arrowok="t"/>
                <v:fill type="solid"/>
              </v:shape>
              <v:shape style="position:absolute;left:80;top:194;width:1297;height:710" coordorigin="80,194" coordsize="1297,710" path="m1212,663l1177,663,1177,820,1212,820,1212,663xe" filled="true" fillcolor="#599a48" stroked="false">
                <v:path arrowok="t"/>
                <v:fill type="solid"/>
              </v:shape>
              <v:shape style="position:absolute;left:80;top:194;width:1297;height:710" coordorigin="80,194" coordsize="1297,710" path="m1376,663l1316,663,1316,820,1376,820,1376,663xe" filled="true" fillcolor="#599a48" stroked="false">
                <v:path arrowok="t"/>
                <v:fill type="solid"/>
              </v:shape>
              <v:shape style="position:absolute;left:80;top:194;width:1297;height:710" coordorigin="80,194" coordsize="1297,710" path="m289,470l254,470,254,627,289,627,289,470xe" filled="true" fillcolor="#599a48" stroked="false">
                <v:path arrowok="t"/>
                <v:fill type="solid"/>
              </v:shape>
              <v:shape style="position:absolute;left:80;top:194;width:1297;height:710" coordorigin="80,194" coordsize="1297,710" path="m514,470l393,470,393,627,511,627,514,470xe" filled="true" fillcolor="#599a48" stroked="false">
                <v:path arrowok="t"/>
                <v:fill type="solid"/>
              </v:shape>
              <v:shape style="position:absolute;left:80;top:194;width:1297;height:710" coordorigin="80,194" coordsize="1297,710" path="m1212,470l1177,470,1177,627,1212,627,1212,470xe" filled="true" fillcolor="#599a48" stroked="false">
                <v:path arrowok="t"/>
                <v:fill type="solid"/>
              </v:shape>
              <v:shape style="position:absolute;left:80;top:194;width:1297;height:710" coordorigin="80,194" coordsize="1297,710" path="m1376,470l1316,470,1316,627,1376,627,1376,470xe" filled="true" fillcolor="#599a48" stroked="false">
                <v:path arrowok="t"/>
                <v:fill type="solid"/>
              </v:shape>
              <v:shape style="position:absolute;left:80;top:194;width:1297;height:710" coordorigin="80,194" coordsize="1297,710" path="m289,284l254,284,254,441,289,441,289,284xe" filled="true" fillcolor="#599a48" stroked="false">
                <v:path arrowok="t"/>
                <v:fill type="solid"/>
              </v:shape>
              <v:shape style="position:absolute;left:80;top:194;width:1297;height:710" coordorigin="80,194" coordsize="1297,710" path="m518,284l393,284,393,441,515,441,518,284xe" filled="true" fillcolor="#599a48" stroked="false">
                <v:path arrowok="t"/>
                <v:fill type="solid"/>
              </v:shape>
              <v:shape style="position:absolute;left:80;top:194;width:1297;height:710" coordorigin="80,194" coordsize="1297,710" path="m1212,284l1177,284,1177,441,1212,441,1212,284xe" filled="true" fillcolor="#599a48" stroked="false">
                <v:path arrowok="t"/>
                <v:fill type="solid"/>
              </v:shape>
              <v:shape style="position:absolute;left:80;top:194;width:1297;height:710" coordorigin="80,194" coordsize="1297,710" path="m1376,284l1316,284,1316,441,1376,441,1376,284xe" filled="true" fillcolor="#599a48" stroked="false">
                <v:path arrowok="t"/>
                <v:fill type="solid"/>
              </v:shape>
            </v:group>
            <v:group style="position:absolute;left:398;top:0;width:706;height:158" coordorigin="398,0" coordsize="706,158">
              <v:shape style="position:absolute;left:398;top:0;width:706;height:158" coordorigin="398,0" coordsize="706,158" path="m773,0l745,0,398,157,1103,157,773,0xe" filled="true" fillcolor="#599a48" stroked="false">
                <v:path arrowok="t"/>
                <v:fill type="solid"/>
              </v:shape>
            </v:group>
            <v:group style="position:absolute;left:2863;top:355;width:307;height:571" coordorigin="2863,355" coordsize="307,571">
              <v:shape style="position:absolute;left:2863;top:355;width:307;height:571" coordorigin="2863,355" coordsize="307,571" path="m2863,355l3169,644,2892,925e" filled="false" stroked="true" strokeweight="8.147pt" strokecolor="#999999">
                <v:path arrowok="t"/>
              </v:shape>
              <v:shape style="position:absolute;left:1963;top:303;width:630;height:353" type="#_x0000_t202" filled="false" stroked="false">
                <v:textbox inset="0,0,0,0">
                  <w:txbxContent>
                    <w:p>
                      <w:pPr>
                        <w:spacing w:line="107" w:lineRule="exact" w:before="0"/>
                        <w:ind w:left="0" w:right="0" w:firstLine="0"/>
                        <w:jc w:val="left"/>
                        <w:rPr>
                          <w:rFonts w:ascii="Swis721 BT" w:hAnsi="Swis721 BT" w:cs="Swis721 BT" w:eastAsia="Swis721 BT"/>
                          <w:sz w:val="10"/>
                          <w:szCs w:val="10"/>
                        </w:rPr>
                      </w:pPr>
                      <w:r>
                        <w:rPr>
                          <w:rFonts w:ascii="Swis721 BT"/>
                          <w:b/>
                          <w:color w:val="010202"/>
                          <w:spacing w:val="-3"/>
                          <w:w w:val="105"/>
                          <w:sz w:val="10"/>
                        </w:rPr>
                        <w:t>Teaching</w:t>
                      </w:r>
                      <w:r>
                        <w:rPr>
                          <w:rFonts w:ascii="Swis721 BT"/>
                          <w:sz w:val="10"/>
                        </w:rPr>
                      </w:r>
                    </w:p>
                    <w:p>
                      <w:pPr>
                        <w:spacing w:line="249" w:lineRule="auto" w:before="4"/>
                        <w:ind w:left="0" w:right="0" w:firstLine="0"/>
                        <w:jc w:val="left"/>
                        <w:rPr>
                          <w:rFonts w:ascii="Swis721 BT" w:hAnsi="Swis721 BT" w:cs="Swis721 BT" w:eastAsia="Swis721 BT"/>
                          <w:sz w:val="10"/>
                          <w:szCs w:val="10"/>
                        </w:rPr>
                      </w:pPr>
                      <w:r>
                        <w:rPr>
                          <w:rFonts w:ascii="Swis721 BT"/>
                          <w:b/>
                          <w:color w:val="010202"/>
                          <w:spacing w:val="-1"/>
                          <w:sz w:val="10"/>
                        </w:rPr>
                        <w:t>Performance</w:t>
                      </w:r>
                      <w:r>
                        <w:rPr>
                          <w:rFonts w:ascii="Swis721 BT"/>
                          <w:b/>
                          <w:color w:val="010202"/>
                          <w:spacing w:val="29"/>
                          <w:w w:val="103"/>
                          <w:sz w:val="10"/>
                        </w:rPr>
                        <w:t> </w:t>
                      </w:r>
                      <w:r>
                        <w:rPr>
                          <w:rFonts w:ascii="Swis721 BT"/>
                          <w:b/>
                          <w:color w:val="010202"/>
                          <w:w w:val="105"/>
                          <w:sz w:val="10"/>
                        </w:rPr>
                        <w:t>Assessment</w:t>
                      </w:r>
                      <w:r>
                        <w:rPr>
                          <w:rFonts w:ascii="Swis721 BT"/>
                          <w:sz w:val="10"/>
                        </w:rPr>
                      </w:r>
                    </w:p>
                  </w:txbxContent>
                </v:textbox>
                <w10:wrap type="none"/>
              </v:shape>
              <v:shape style="position:absolute;left:0;top:1030;width:1472;height:359" type="#_x0000_t202" filled="false" stroked="false">
                <v:textbox inset="0,0,0,0">
                  <w:txbxContent>
                    <w:p>
                      <w:pPr>
                        <w:spacing w:line="169" w:lineRule="exact" w:before="0"/>
                        <w:ind w:left="0" w:right="0" w:firstLine="0"/>
                        <w:jc w:val="center"/>
                        <w:rPr>
                          <w:rFonts w:ascii="Swis721 BT" w:hAnsi="Swis721 BT" w:cs="Swis721 BT" w:eastAsia="Swis721 BT"/>
                          <w:sz w:val="16"/>
                          <w:szCs w:val="16"/>
                        </w:rPr>
                      </w:pPr>
                      <w:r>
                        <w:rPr>
                          <w:rFonts w:ascii="Swis721 BT"/>
                          <w:b/>
                          <w:color w:val="599A48"/>
                          <w:sz w:val="16"/>
                        </w:rPr>
                        <w:t>Initial</w:t>
                      </w:r>
                      <w:r>
                        <w:rPr>
                          <w:rFonts w:ascii="Swis721 BT"/>
                          <w:b/>
                          <w:color w:val="599A48"/>
                          <w:spacing w:val="10"/>
                          <w:sz w:val="16"/>
                        </w:rPr>
                        <w:t> </w:t>
                      </w:r>
                      <w:r>
                        <w:rPr>
                          <w:rFonts w:ascii="Swis721 BT"/>
                          <w:b/>
                          <w:color w:val="599A48"/>
                          <w:spacing w:val="-3"/>
                          <w:sz w:val="16"/>
                        </w:rPr>
                        <w:t>Teacher</w:t>
                      </w:r>
                      <w:r>
                        <w:rPr>
                          <w:rFonts w:ascii="Swis721 BT"/>
                          <w:sz w:val="16"/>
                        </w:rPr>
                      </w:r>
                    </w:p>
                    <w:p>
                      <w:pPr>
                        <w:spacing w:line="186" w:lineRule="exact" w:before="3"/>
                        <w:ind w:left="0" w:right="0" w:firstLine="0"/>
                        <w:jc w:val="center"/>
                        <w:rPr>
                          <w:rFonts w:ascii="Swis721 BT" w:hAnsi="Swis721 BT" w:cs="Swis721 BT" w:eastAsia="Swis721 BT"/>
                          <w:sz w:val="16"/>
                          <w:szCs w:val="16"/>
                        </w:rPr>
                      </w:pPr>
                      <w:r>
                        <w:rPr>
                          <w:rFonts w:ascii="Swis721 BT"/>
                          <w:b/>
                          <w:color w:val="599A48"/>
                          <w:sz w:val="16"/>
                        </w:rPr>
                        <w:t>Education</w:t>
                      </w:r>
                      <w:r>
                        <w:rPr>
                          <w:rFonts w:ascii="Swis721 BT"/>
                          <w:b/>
                          <w:color w:val="599A48"/>
                          <w:spacing w:val="14"/>
                          <w:sz w:val="16"/>
                        </w:rPr>
                        <w:t> </w:t>
                      </w:r>
                      <w:r>
                        <w:rPr>
                          <w:rFonts w:ascii="Swis721 BT"/>
                          <w:b/>
                          <w:color w:val="599A48"/>
                          <w:sz w:val="16"/>
                        </w:rPr>
                        <w:t>provider</w:t>
                      </w:r>
                      <w:r>
                        <w:rPr>
                          <w:rFonts w:ascii="Swis721 BT"/>
                          <w:sz w:val="16"/>
                        </w:rPr>
                      </w:r>
                    </w:p>
                  </w:txbxContent>
                </v:textbox>
                <w10:wrap type="none"/>
              </v:shape>
              <v:shape style="position:absolute;left:2087;top:1030;width:356;height:163" type="#_x0000_t202" filled="false" stroked="false">
                <v:textbox inset="0,0,0,0">
                  <w:txbxContent>
                    <w:p>
                      <w:pPr>
                        <w:tabs>
                          <w:tab w:pos="355" w:val="left" w:leader="none"/>
                        </w:tabs>
                        <w:spacing w:line="163" w:lineRule="exact" w:before="0"/>
                        <w:ind w:left="0" w:right="0" w:firstLine="0"/>
                        <w:jc w:val="left"/>
                        <w:rPr>
                          <w:rFonts w:ascii="Swis721 BT" w:hAnsi="Swis721 BT" w:cs="Swis721 BT" w:eastAsia="Swis721 BT"/>
                          <w:sz w:val="16"/>
                          <w:szCs w:val="16"/>
                        </w:rPr>
                      </w:pPr>
                      <w:r>
                        <w:rPr>
                          <w:rFonts w:ascii="Swis721 BT"/>
                          <w:b/>
                          <w:color w:val="599A48"/>
                          <w:w w:val="101"/>
                          <w:sz w:val="16"/>
                        </w:rPr>
                      </w:r>
                      <w:r>
                        <w:rPr>
                          <w:rFonts w:ascii="Swis721 BT"/>
                          <w:b/>
                          <w:color w:val="599A48"/>
                          <w:w w:val="101"/>
                          <w:sz w:val="16"/>
                          <w:u w:val="single" w:color="010202"/>
                        </w:rPr>
                        <w:t> </w:t>
                      </w:r>
                      <w:r>
                        <w:rPr>
                          <w:rFonts w:ascii="Swis721 BT"/>
                          <w:b/>
                          <w:color w:val="599A48"/>
                          <w:sz w:val="16"/>
                          <w:u w:val="single" w:color="010202"/>
                        </w:rPr>
                        <w:tab/>
                      </w:r>
                      <w:r>
                        <w:rPr>
                          <w:rFonts w:ascii="Swis721 BT"/>
                          <w:b/>
                          <w:color w:val="599A48"/>
                          <w:sz w:val="16"/>
                        </w:rPr>
                      </w:r>
                      <w:r>
                        <w:rPr>
                          <w:rFonts w:ascii="Swis721 BT"/>
                          <w:sz w:val="16"/>
                        </w:rPr>
                      </w:r>
                    </w:p>
                  </w:txbxContent>
                </v:textbox>
                <w10:wrap type="none"/>
              </v:shape>
            </v:group>
          </v:group>
        </w:pict>
      </w:r>
      <w:r>
        <w:rPr>
          <w:rFonts w:ascii="Swis721 BT"/>
          <w:sz w:val="20"/>
        </w:rPr>
      </w:r>
      <w:r>
        <w:rPr>
          <w:rFonts w:ascii="Times New Roman"/>
          <w:spacing w:val="38"/>
          <w:sz w:val="20"/>
        </w:rPr>
        <w:t> </w:t>
      </w:r>
      <w:r>
        <w:rPr>
          <w:rFonts w:ascii="Swis721 BT"/>
          <w:spacing w:val="38"/>
          <w:position w:val="6"/>
          <w:sz w:val="20"/>
        </w:rPr>
        <w:pict>
          <v:group style="width:155.550pt;height:64.8500pt;mso-position-horizontal-relative:char;mso-position-vertical-relative:line" coordorigin="0,0" coordsize="3111,1297">
            <v:group style="position:absolute;left:1340;top:606;width:2;height:2" coordorigin="1340,606" coordsize="2,2">
              <v:shape style="position:absolute;left:1340;top:606;width:2;height:2" coordorigin="1340,606" coordsize="0,2" path="m1340,606l1340,608e" filled="false" stroked="true" strokeweight=".1pt" strokecolor="#231f20">
                <v:path arrowok="t"/>
              </v:shape>
            </v:group>
            <v:group style="position:absolute;left:1340;top:607;width:241;height:2" coordorigin="1340,607" coordsize="241,2">
              <v:shape style="position:absolute;left:1340;top:607;width:241;height:2" coordorigin="1340,607" coordsize="241,0" path="m1340,607l1581,607e" filled="false" stroked="true" strokeweight="8.147pt" strokecolor="#999999">
                <v:path arrowok="t"/>
              </v:shape>
            </v:group>
            <v:group style="position:absolute;left:2559;top:607;width:441;height:2" coordorigin="2559,607" coordsize="441,2">
              <v:shape style="position:absolute;left:2559;top:607;width:441;height:2" coordorigin="2559,607" coordsize="441,0" path="m2559,607l2999,607e" filled="false" stroked="true" strokeweight="8.147pt" strokecolor="#999999">
                <v:path arrowok="t"/>
              </v:shape>
            </v:group>
            <v:group style="position:absolute;left:1581;top:4;width:867;height:1148" coordorigin="1581,4" coordsize="867,1148">
              <v:shape style="position:absolute;left:1581;top:4;width:867;height:1148" coordorigin="1581,4" coordsize="867,1148" path="m2448,1152l1581,1152,1581,4,2448,4,2448,1152xe" filled="true" fillcolor="#ffffff" stroked="false">
                <v:path arrowok="t"/>
                <v:fill type="solid"/>
              </v:shape>
            </v:group>
            <v:group style="position:absolute;left:1581;top:4;width:867;height:1148" coordorigin="1581,4" coordsize="867,1148">
              <v:shape style="position:absolute;left:1581;top:4;width:867;height:1148" coordorigin="1581,4" coordsize="867,1148" path="m2448,1152l1581,1152,1581,4,2448,4,2448,1152xe" filled="false" stroked="true" strokeweight=".37pt" strokecolor="#010202">
                <v:path arrowok="t"/>
              </v:shape>
            </v:group>
            <v:group style="position:absolute;left:1640;top:78;width:867;height:1148" coordorigin="1640,78" coordsize="867,1148">
              <v:shape style="position:absolute;left:1640;top:78;width:867;height:1148" coordorigin="1640,78" coordsize="867,1148" path="m2507,1226l1640,1226,1640,78,2507,78,2507,1226xe" filled="true" fillcolor="#ffffff" stroked="false">
                <v:path arrowok="t"/>
                <v:fill type="solid"/>
              </v:shape>
            </v:group>
            <v:group style="position:absolute;left:1640;top:78;width:867;height:1148" coordorigin="1640,78" coordsize="867,1148">
              <v:shape style="position:absolute;left:1640;top:78;width:867;height:1148" coordorigin="1640,78" coordsize="867,1148" path="m2507,1226l1640,1226,1640,78,2507,78,2507,1226xe" filled="false" stroked="true" strokeweight=".37pt" strokecolor="#010202">
                <v:path arrowok="t"/>
              </v:shape>
            </v:group>
            <v:group style="position:absolute;left:1692;top:144;width:867;height:1148" coordorigin="1692,144" coordsize="867,1148">
              <v:shape style="position:absolute;left:1692;top:144;width:867;height:1148" coordorigin="1692,144" coordsize="867,1148" path="m2559,1292l1692,1292,1692,144,2559,144,2559,1292xe" filled="true" fillcolor="#ffffff" stroked="false">
                <v:path arrowok="t"/>
                <v:fill type="solid"/>
              </v:shape>
            </v:group>
            <v:group style="position:absolute;left:1692;top:144;width:867;height:1148" coordorigin="1692,144" coordsize="867,1148">
              <v:shape style="position:absolute;left:1692;top:144;width:867;height:1148" coordorigin="1692,144" coordsize="867,1148" path="m2559,1292l1692,1292,1692,144,2559,144,2559,1292xe" filled="false" stroked="true" strokeweight=".37pt" strokecolor="#010202">
                <v:path arrowok="t"/>
              </v:shape>
            </v:group>
            <v:group style="position:absolute;left:1800;top:736;width:659;height:2" coordorigin="1800,736" coordsize="659,2">
              <v:shape style="position:absolute;left:1800;top:736;width:659;height:2" coordorigin="1800,736" coordsize="659,0" path="m1800,736l2459,736e" filled="false" stroked="true" strokeweight="1.845pt" strokecolor="#010202">
                <v:path arrowok="t"/>
              </v:shape>
            </v:group>
            <v:group style="position:absolute;left:1821;top:816;width:64;height:61" coordorigin="1821,816" coordsize="64,61">
              <v:shape style="position:absolute;left:1821;top:816;width:64;height:61" coordorigin="1821,816" coordsize="64,61" path="m1835,816l1824,831,1821,858,1835,872,1860,877,1878,865,1885,844,1885,842,1879,827,1863,817,1835,816xe" filled="true" fillcolor="#ffffff" stroked="false">
                <v:path arrowok="t"/>
                <v:fill type="solid"/>
              </v:shape>
            </v:group>
            <v:group style="position:absolute;left:1821;top:816;width:64;height:61" coordorigin="1821,816" coordsize="64,61">
              <v:shape style="position:absolute;left:1821;top:816;width:64;height:61" coordorigin="1821,816" coordsize="64,61" path="m1885,844l1878,865,1860,877,1835,872,1821,858,1824,831,1835,816,1863,817,1879,827,1885,842,1885,844xe" filled="false" stroked="true" strokeweight=".518pt" strokecolor="#010202">
                <v:path arrowok="t"/>
              </v:shape>
            </v:group>
            <v:group style="position:absolute;left:1926;top:950;width:507;height:2" coordorigin="1926,950" coordsize="507,2">
              <v:shape style="position:absolute;left:1926;top:950;width:507;height:2" coordorigin="1926,950" coordsize="507,2" path="m1926,952l2432,950e" filled="false" stroked="true" strokeweight=".741pt" strokecolor="#010202">
                <v:path arrowok="t"/>
              </v:shape>
            </v:group>
            <v:group style="position:absolute;left:1926;top:989;width:356;height:2" coordorigin="1926,989" coordsize="356,2">
              <v:shape style="position:absolute;left:1926;top:989;width:356;height:2" coordorigin="1926,989" coordsize="356,0" path="m1926,989l2281,989e" filled="false" stroked="true" strokeweight=".741pt" strokecolor="#010202">
                <v:path arrowok="t"/>
              </v:shape>
            </v:group>
            <v:group style="position:absolute;left:1821;top:942;width:64;height:61" coordorigin="1821,942" coordsize="64,61">
              <v:shape style="position:absolute;left:1821;top:942;width:64;height:61" coordorigin="1821,942" coordsize="64,61" path="m1835,942l1824,957,1821,983,1835,998,1860,1003,1878,991,1885,970,1885,968,1879,952,1863,943,1835,942xe" filled="true" fillcolor="#ffffff" stroked="false">
                <v:path arrowok="t"/>
                <v:fill type="solid"/>
              </v:shape>
            </v:group>
            <v:group style="position:absolute;left:1821;top:942;width:64;height:61" coordorigin="1821,942" coordsize="64,61">
              <v:shape style="position:absolute;left:1821;top:942;width:64;height:61" coordorigin="1821,942" coordsize="64,61" path="m1885,970l1878,991,1860,1003,1835,998,1821,983,1824,957,1835,942,1863,943,1879,952,1885,968,1885,970xe" filled="false" stroked="true" strokeweight=".518pt" strokecolor="#010202">
                <v:path arrowok="t"/>
              </v:shape>
            </v:group>
            <v:group style="position:absolute;left:1926;top:1076;width:507;height:2" coordorigin="1926,1076" coordsize="507,2">
              <v:shape style="position:absolute;left:1926;top:1076;width:507;height:2" coordorigin="1926,1076" coordsize="507,2" path="m1926,1078l2432,1076e" filled="false" stroked="true" strokeweight=".741pt" strokecolor="#010202">
                <v:path arrowok="t"/>
              </v:shape>
            </v:group>
            <v:group style="position:absolute;left:1926;top:1115;width:356;height:2" coordorigin="1926,1115" coordsize="356,2">
              <v:shape style="position:absolute;left:1926;top:1115;width:356;height:2" coordorigin="1926,1115" coordsize="356,0" path="m1926,1115l2281,1115e" filled="false" stroked="true" strokeweight=".741pt" strokecolor="#010202">
                <v:path arrowok="t"/>
              </v:shape>
            </v:group>
            <v:group style="position:absolute;left:1821;top:1067;width:64;height:61" coordorigin="1821,1067" coordsize="64,61">
              <v:shape style="position:absolute;left:1821;top:1067;width:64;height:61" coordorigin="1821,1067" coordsize="64,61" path="m1835,1067l1824,1083,1821,1109,1835,1124,1860,1128,1878,1117,1885,1096,1885,1094,1879,1078,1863,1068,1835,1067xe" filled="true" fillcolor="#ffffff" stroked="false">
                <v:path arrowok="t"/>
                <v:fill type="solid"/>
              </v:shape>
            </v:group>
            <v:group style="position:absolute;left:1821;top:1067;width:64;height:61" coordorigin="1821,1067" coordsize="64,61">
              <v:shape style="position:absolute;left:1821;top:1067;width:64;height:61" coordorigin="1821,1067" coordsize="64,61" path="m1885,1096l1878,1117,1860,1128,1835,1124,1821,1109,1824,1083,1835,1067,1863,1068,1879,1078,1885,1094,1885,1096xe" filled="false" stroked="true" strokeweight=".518pt" strokecolor="#010202">
                <v:path arrowok="t"/>
              </v:shape>
            </v:group>
            <v:group style="position:absolute;left:2723;top:326;width:307;height:571" coordorigin="2723,326" coordsize="307,571">
              <v:shape style="position:absolute;left:2723;top:326;width:307;height:571" coordorigin="2723,326" coordsize="307,571" path="m2723,326l3029,615,2752,896e" filled="false" stroked="true" strokeweight="8.147pt" strokecolor="#999999">
                <v:path arrowok="t"/>
              </v:shape>
            </v:group>
            <v:group style="position:absolute;left:11;top:19;width:1222;height:1222" coordorigin="11,19" coordsize="1222,1222">
              <v:shape style="position:absolute;left:11;top:19;width:1222;height:1222" coordorigin="11,19" coordsize="1222,1222" path="m622,19l523,27,429,50,342,87,261,137,190,198,129,269,79,349,42,437,19,531,11,629,13,680,29,776,59,867,103,951,158,1027,225,1093,300,1149,385,1192,475,1223,572,1238,622,1240,672,1238,769,1223,860,1192,944,1149,1020,1093,1086,1027,1141,951,1185,867,1215,776,1231,680,1233,629,1231,579,1215,483,1185,392,1141,308,1086,232,1020,166,944,110,860,67,769,36,672,21,622,19xe" filled="true" fillcolor="#d4a9cf" stroked="false">
                <v:path arrowok="t"/>
                <v:fill type="solid"/>
              </v:shape>
            </v:group>
            <v:group style="position:absolute;left:0;top:7;width:1245;height:1245" coordorigin="0,7" coordsize="1245,1245">
              <v:shape style="position:absolute;left:0;top:7;width:1245;height:1245" coordorigin="0,7" coordsize="1245,1245" path="m622,7l521,16,425,39,336,77,255,127,182,190,120,262,69,344,32,433,8,529,0,630,2,681,18,779,49,872,93,957,150,1034,217,1102,294,1158,380,1203,473,1234,571,1250,622,1252,673,1250,723,1243,772,1234,786,1229,622,1229,573,1227,478,1212,389,1182,306,1139,232,1085,167,1020,112,945,69,863,40,773,24,679,22,630,24,580,40,486,69,396,112,314,167,239,232,174,306,120,389,77,478,47,573,32,622,30,786,30,772,25,723,16,673,9,622,7xe" filled="true" fillcolor="#662f90" stroked="false">
                <v:path arrowok="t"/>
                <v:fill type="solid"/>
              </v:shape>
              <v:shape style="position:absolute;left:0;top:7;width:1245;height:1245" coordorigin="0,7" coordsize="1245,1245" path="m786,30l622,30,671,32,719,37,812,60,898,97,976,146,1046,206,1106,275,1155,354,1191,440,1214,532,1222,630,1220,679,1205,773,1175,863,1132,945,1077,1020,1012,1085,938,1139,855,1182,766,1212,671,1227,622,1229,786,1229,864,1203,950,1158,1027,1102,1094,1034,1151,957,1195,872,1226,779,1242,681,1244,630,1242,578,1226,480,1195,387,1151,302,1094,225,1027,157,950,101,864,56,819,39,786,30xe" filled="true" fillcolor="#662f90" stroked="false">
                <v:path arrowok="t"/>
                <v:fill type="solid"/>
              </v:shape>
              <v:shape style="position:absolute;left:208;top:325;width:844;height:554" type="#_x0000_t202" filled="false" stroked="false">
                <v:textbox inset="0,0,0,0">
                  <w:txbxContent>
                    <w:p>
                      <w:pPr>
                        <w:spacing w:line="169" w:lineRule="exact" w:before="0"/>
                        <w:ind w:left="-1" w:right="0" w:firstLine="0"/>
                        <w:jc w:val="center"/>
                        <w:rPr>
                          <w:rFonts w:ascii="Swis721 BT" w:hAnsi="Swis721 BT" w:cs="Swis721 BT" w:eastAsia="Swis721 BT"/>
                          <w:sz w:val="16"/>
                          <w:szCs w:val="16"/>
                        </w:rPr>
                      </w:pPr>
                      <w:r>
                        <w:rPr>
                          <w:rFonts w:ascii="Swis721 BT"/>
                          <w:b/>
                          <w:color w:val="662F90"/>
                          <w:spacing w:val="-3"/>
                          <w:sz w:val="16"/>
                        </w:rPr>
                        <w:t>Teacher</w:t>
                      </w:r>
                      <w:r>
                        <w:rPr>
                          <w:rFonts w:ascii="Swis721 BT"/>
                          <w:sz w:val="16"/>
                        </w:rPr>
                      </w:r>
                    </w:p>
                    <w:p>
                      <w:pPr>
                        <w:spacing w:line="244" w:lineRule="auto" w:before="3"/>
                        <w:ind w:left="0" w:right="0" w:firstLine="0"/>
                        <w:jc w:val="center"/>
                        <w:rPr>
                          <w:rFonts w:ascii="Swis721 BT" w:hAnsi="Swis721 BT" w:cs="Swis721 BT" w:eastAsia="Swis721 BT"/>
                          <w:sz w:val="16"/>
                          <w:szCs w:val="16"/>
                        </w:rPr>
                      </w:pPr>
                      <w:r>
                        <w:rPr>
                          <w:rFonts w:ascii="Swis721 BT"/>
                          <w:b/>
                          <w:color w:val="662F90"/>
                          <w:sz w:val="16"/>
                        </w:rPr>
                        <w:t>Regulatory</w:t>
                      </w:r>
                      <w:r>
                        <w:rPr>
                          <w:rFonts w:ascii="Swis721 BT"/>
                          <w:b/>
                          <w:color w:val="662F90"/>
                          <w:w w:val="101"/>
                          <w:sz w:val="16"/>
                        </w:rPr>
                        <w:t> </w:t>
                      </w:r>
                      <w:r>
                        <w:rPr>
                          <w:rFonts w:ascii="Swis721 BT"/>
                          <w:b/>
                          <w:color w:val="662F90"/>
                          <w:sz w:val="16"/>
                        </w:rPr>
                        <w:t>Authority</w:t>
                      </w:r>
                      <w:r>
                        <w:rPr>
                          <w:rFonts w:ascii="Swis721 BT"/>
                          <w:sz w:val="16"/>
                        </w:rPr>
                      </w:r>
                    </w:p>
                  </w:txbxContent>
                </v:textbox>
                <w10:wrap type="none"/>
              </v:shape>
              <v:shape style="position:absolute;left:1801;top:266;width:630;height:613" type="#_x0000_t202" filled="false" stroked="false">
                <v:textbox inset="0,0,0,0">
                  <w:txbxContent>
                    <w:p>
                      <w:pPr>
                        <w:spacing w:line="107" w:lineRule="exact" w:before="0"/>
                        <w:ind w:left="0" w:right="0" w:firstLine="0"/>
                        <w:jc w:val="left"/>
                        <w:rPr>
                          <w:rFonts w:ascii="Swis721 BT" w:hAnsi="Swis721 BT" w:cs="Swis721 BT" w:eastAsia="Swis721 BT"/>
                          <w:sz w:val="10"/>
                          <w:szCs w:val="10"/>
                        </w:rPr>
                      </w:pPr>
                      <w:r>
                        <w:rPr>
                          <w:rFonts w:ascii="Swis721 BT"/>
                          <w:b/>
                          <w:color w:val="010202"/>
                          <w:spacing w:val="-3"/>
                          <w:w w:val="105"/>
                          <w:sz w:val="10"/>
                        </w:rPr>
                        <w:t>Teaching</w:t>
                      </w:r>
                      <w:r>
                        <w:rPr>
                          <w:rFonts w:ascii="Swis721 BT"/>
                          <w:sz w:val="10"/>
                        </w:rPr>
                      </w:r>
                    </w:p>
                    <w:p>
                      <w:pPr>
                        <w:spacing w:line="249" w:lineRule="auto" w:before="4"/>
                        <w:ind w:left="0" w:right="0" w:firstLine="0"/>
                        <w:jc w:val="left"/>
                        <w:rPr>
                          <w:rFonts w:ascii="Swis721 BT" w:hAnsi="Swis721 BT" w:cs="Swis721 BT" w:eastAsia="Swis721 BT"/>
                          <w:sz w:val="10"/>
                          <w:szCs w:val="10"/>
                        </w:rPr>
                      </w:pPr>
                      <w:r>
                        <w:rPr>
                          <w:rFonts w:ascii="Swis721 BT"/>
                          <w:b/>
                          <w:color w:val="010202"/>
                          <w:spacing w:val="-1"/>
                          <w:sz w:val="10"/>
                        </w:rPr>
                        <w:t>Performance</w:t>
                      </w:r>
                      <w:r>
                        <w:rPr>
                          <w:rFonts w:ascii="Swis721 BT"/>
                          <w:b/>
                          <w:color w:val="010202"/>
                          <w:spacing w:val="29"/>
                          <w:w w:val="103"/>
                          <w:sz w:val="10"/>
                        </w:rPr>
                        <w:t> </w:t>
                      </w:r>
                      <w:r>
                        <w:rPr>
                          <w:rFonts w:ascii="Swis721 BT"/>
                          <w:b/>
                          <w:color w:val="010202"/>
                          <w:w w:val="105"/>
                          <w:sz w:val="10"/>
                        </w:rPr>
                        <w:t>Assessment</w:t>
                      </w:r>
                      <w:r>
                        <w:rPr>
                          <w:rFonts w:ascii="Swis721 BT"/>
                          <w:sz w:val="10"/>
                        </w:rPr>
                      </w:r>
                    </w:p>
                    <w:p>
                      <w:pPr>
                        <w:tabs>
                          <w:tab w:pos="355" w:val="left" w:leader="none"/>
                        </w:tabs>
                        <w:spacing w:line="186" w:lineRule="exact" w:before="66"/>
                        <w:ind w:left="0" w:right="23" w:firstLine="0"/>
                        <w:jc w:val="center"/>
                        <w:rPr>
                          <w:rFonts w:ascii="Swis721 BT" w:hAnsi="Swis721 BT" w:cs="Swis721 BT" w:eastAsia="Swis721 BT"/>
                          <w:sz w:val="16"/>
                          <w:szCs w:val="16"/>
                        </w:rPr>
                      </w:pPr>
                      <w:r>
                        <w:rPr>
                          <w:rFonts w:ascii="Swis721 BT"/>
                          <w:b/>
                          <w:color w:val="662F90"/>
                          <w:w w:val="101"/>
                          <w:sz w:val="16"/>
                        </w:rPr>
                      </w:r>
                      <w:r>
                        <w:rPr>
                          <w:rFonts w:ascii="Swis721 BT"/>
                          <w:b/>
                          <w:color w:val="662F90"/>
                          <w:w w:val="101"/>
                          <w:sz w:val="16"/>
                          <w:u w:val="single" w:color="010202"/>
                        </w:rPr>
                        <w:t> </w:t>
                      </w:r>
                      <w:r>
                        <w:rPr>
                          <w:rFonts w:ascii="Swis721 BT"/>
                          <w:b/>
                          <w:color w:val="662F90"/>
                          <w:sz w:val="16"/>
                          <w:u w:val="single" w:color="010202"/>
                        </w:rPr>
                        <w:tab/>
                      </w:r>
                      <w:r>
                        <w:rPr>
                          <w:rFonts w:ascii="Swis721 BT"/>
                          <w:b/>
                          <w:color w:val="662F90"/>
                          <w:sz w:val="16"/>
                        </w:rPr>
                      </w:r>
                      <w:r>
                        <w:rPr>
                          <w:rFonts w:ascii="Swis721 BT"/>
                          <w:sz w:val="16"/>
                        </w:rPr>
                      </w:r>
                    </w:p>
                  </w:txbxContent>
                </v:textbox>
                <w10:wrap type="none"/>
              </v:shape>
            </v:group>
          </v:group>
        </w:pict>
      </w:r>
      <w:r>
        <w:rPr>
          <w:rFonts w:ascii="Swis721 BT"/>
          <w:spacing w:val="38"/>
          <w:position w:val="6"/>
          <w:sz w:val="20"/>
        </w:rPr>
      </w:r>
      <w:r>
        <w:rPr>
          <w:rFonts w:ascii="Swis721 BT"/>
          <w:spacing w:val="38"/>
          <w:position w:val="6"/>
          <w:sz w:val="20"/>
        </w:rPr>
        <w:tab/>
      </w:r>
      <w:r>
        <w:rPr>
          <w:rFonts w:ascii="Swis721 BT"/>
          <w:spacing w:val="38"/>
          <w:position w:val="12"/>
          <w:sz w:val="20"/>
        </w:rPr>
        <w:pict>
          <v:group style="width:71.4pt;height:62pt;mso-position-horizontal-relative:char;mso-position-vertical-relative:line" coordorigin="0,0" coordsize="1428,1240">
            <v:group style="position:absolute;left:11;top:11;width:1406;height:1218" coordorigin="11,11" coordsize="1406,1218">
              <v:shape style="position:absolute;left:11;top:11;width:1406;height:1218" coordorigin="11,11" coordsize="1406,1218" path="m1065,11l362,11,11,620,362,1228,1065,1228,1417,620,1065,11xe" filled="true" fillcolor="#ced475" stroked="false">
                <v:path arrowok="t"/>
                <v:fill type="solid"/>
              </v:shape>
            </v:group>
            <v:group style="position:absolute;left:11;top:11;width:1406;height:1218" coordorigin="11,11" coordsize="1406,1218">
              <v:shape style="position:absolute;left:11;top:11;width:1406;height:1218" coordorigin="11,11" coordsize="1406,1218" path="m1065,11l362,11,11,620,362,1228,1065,1228,1417,620,1065,11xe" filled="false" stroked="true" strokeweight="1.111pt" strokecolor="#9db73a">
                <v:path arrowok="t"/>
              </v:shape>
              <v:shape style="position:absolute;left:0;top:0;width:1428;height:1240" type="#_x0000_t202" filled="false" stroked="false">
                <v:textbox inset="0,0,0,0">
                  <w:txbxContent>
                    <w:p>
                      <w:pPr>
                        <w:spacing w:line="240" w:lineRule="auto" w:before="0"/>
                        <w:rPr>
                          <w:rFonts w:ascii="Swis721 BT" w:hAnsi="Swis721 BT" w:cs="Swis721 BT" w:eastAsia="Swis721 BT"/>
                          <w:b/>
                          <w:bCs/>
                          <w:sz w:val="16"/>
                          <w:szCs w:val="16"/>
                        </w:rPr>
                      </w:pPr>
                    </w:p>
                    <w:p>
                      <w:pPr>
                        <w:spacing w:line="244" w:lineRule="auto" w:before="118"/>
                        <w:ind w:left="376" w:right="368" w:firstLine="0"/>
                        <w:jc w:val="center"/>
                        <w:rPr>
                          <w:rFonts w:ascii="Swis721 BT" w:hAnsi="Swis721 BT" w:cs="Swis721 BT" w:eastAsia="Swis721 BT"/>
                          <w:sz w:val="16"/>
                          <w:szCs w:val="16"/>
                        </w:rPr>
                      </w:pPr>
                      <w:r>
                        <w:rPr>
                          <w:rFonts w:ascii="Swis721 BT"/>
                          <w:b/>
                          <w:color w:val="557132"/>
                          <w:sz w:val="16"/>
                        </w:rPr>
                        <w:t>Expert</w:t>
                      </w:r>
                      <w:r>
                        <w:rPr>
                          <w:rFonts w:ascii="Swis721 BT"/>
                          <w:b/>
                          <w:color w:val="557132"/>
                          <w:w w:val="101"/>
                          <w:sz w:val="16"/>
                        </w:rPr>
                        <w:t> </w:t>
                      </w:r>
                      <w:r>
                        <w:rPr>
                          <w:rFonts w:ascii="Swis721 BT"/>
                          <w:b/>
                          <w:color w:val="557132"/>
                          <w:sz w:val="16"/>
                        </w:rPr>
                        <w:t>Advisory</w:t>
                      </w:r>
                      <w:r>
                        <w:rPr>
                          <w:rFonts w:ascii="Swis721 BT"/>
                          <w:b/>
                          <w:color w:val="557132"/>
                          <w:w w:val="101"/>
                          <w:sz w:val="16"/>
                        </w:rPr>
                        <w:t> </w:t>
                      </w:r>
                      <w:r>
                        <w:rPr>
                          <w:rFonts w:ascii="Swis721 BT"/>
                          <w:b/>
                          <w:color w:val="557132"/>
                          <w:sz w:val="16"/>
                        </w:rPr>
                        <w:t>Group</w:t>
                      </w:r>
                      <w:r>
                        <w:rPr>
                          <w:rFonts w:ascii="Swis721 BT"/>
                          <w:sz w:val="16"/>
                        </w:rPr>
                      </w:r>
                    </w:p>
                  </w:txbxContent>
                </v:textbox>
                <w10:wrap type="none"/>
              </v:shape>
            </v:group>
          </v:group>
        </w:pict>
      </w:r>
      <w:r>
        <w:rPr>
          <w:rFonts w:ascii="Swis721 BT"/>
          <w:spacing w:val="38"/>
          <w:position w:val="12"/>
          <w:sz w:val="20"/>
        </w:rPr>
      </w:r>
    </w:p>
    <w:p>
      <w:pPr>
        <w:spacing w:after="0" w:line="200" w:lineRule="atLeast"/>
        <w:rPr>
          <w:rFonts w:ascii="Swis721 BT" w:hAnsi="Swis721 BT" w:cs="Swis721 BT" w:eastAsia="Swis721 BT"/>
          <w:sz w:val="20"/>
          <w:szCs w:val="20"/>
        </w:rPr>
        <w:sectPr>
          <w:type w:val="continuous"/>
          <w:pgSz w:w="9980" w:h="14180"/>
          <w:pgMar w:top="0" w:bottom="280" w:left="0" w:right="0"/>
        </w:sect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8"/>
        <w:rPr>
          <w:rFonts w:ascii="Swis721 BT" w:hAnsi="Swis721 BT" w:cs="Swis721 BT" w:eastAsia="Swis721 BT"/>
          <w:b/>
          <w:bCs/>
          <w:sz w:val="22"/>
          <w:szCs w:val="22"/>
        </w:rPr>
      </w:pPr>
    </w:p>
    <w:p>
      <w:pPr>
        <w:spacing w:after="0" w:line="240" w:lineRule="auto"/>
        <w:rPr>
          <w:rFonts w:ascii="Swis721 BT" w:hAnsi="Swis721 BT" w:cs="Swis721 BT" w:eastAsia="Swis721 BT"/>
          <w:sz w:val="22"/>
          <w:szCs w:val="22"/>
        </w:rPr>
        <w:sectPr>
          <w:pgSz w:w="9980" w:h="14180"/>
          <w:pgMar w:header="0" w:footer="452" w:top="0" w:bottom="640" w:left="0" w:right="0"/>
        </w:sectPr>
      </w:pPr>
    </w:p>
    <w:p>
      <w:pPr>
        <w:spacing w:before="61"/>
        <w:ind w:left="850" w:right="0" w:firstLine="0"/>
        <w:jc w:val="left"/>
        <w:rPr>
          <w:rFonts w:ascii="Swis721 BT" w:hAnsi="Swis721 BT" w:cs="Swis721 BT" w:eastAsia="Swis721 BT"/>
          <w:sz w:val="24"/>
          <w:szCs w:val="24"/>
        </w:rPr>
      </w:pPr>
      <w:r>
        <w:rPr/>
        <w:pict>
          <v:group style="position:absolute;margin-left:0pt;margin-top:-278.022705pt;width:498.9pt;height:239.9pt;mso-position-horizontal-relative:page;mso-position-vertical-relative:paragraph;z-index:2320" coordorigin="0,-5560" coordsize="9978,4798">
            <v:group style="position:absolute;left:0;top:-5560;width:9978;height:1018" coordorigin="0,-5560" coordsize="9978,1018">
              <v:shape style="position:absolute;left:0;top:-5560;width:9978;height:1018" coordorigin="0,-5560" coordsize="9978,1018" path="m0,-4542l9978,-4542,9978,-5560,0,-5560,0,-4542xe" filled="true" fillcolor="#003b45" stroked="false">
                <v:path arrowok="t"/>
                <v:fill type="solid"/>
              </v:shape>
            </v:group>
            <v:group style="position:absolute;left:0;top:-4542;width:9978;height:3780" coordorigin="0,-4542" coordsize="9978,3780">
              <v:shape style="position:absolute;left:0;top:-4542;width:9978;height:3780" coordorigin="0,-4542" coordsize="9978,3780" path="m9978,-4542l0,-4542,0,-763,9978,-3585,9978,-4542xe" filled="true" fillcolor="#bfd22b" stroked="false">
                <v:path arrowok="t"/>
                <v:fill type="solid"/>
              </v:shape>
              <v:shape style="position:absolute;left:0;top:-5560;width:9978;height:4798" type="#_x0000_t202" filled="false" stroked="false">
                <v:textbox inset="0,0,0,0">
                  <w:txbxContent>
                    <w:p>
                      <w:pPr>
                        <w:spacing w:line="240" w:lineRule="auto" w:before="0"/>
                        <w:rPr>
                          <w:rFonts w:ascii="Swis721 Lt BT" w:hAnsi="Swis721 Lt BT" w:cs="Swis721 Lt BT" w:eastAsia="Swis721 Lt BT"/>
                          <w:sz w:val="40"/>
                          <w:szCs w:val="40"/>
                        </w:rPr>
                      </w:pPr>
                    </w:p>
                    <w:p>
                      <w:pPr>
                        <w:spacing w:line="240" w:lineRule="auto" w:before="0"/>
                        <w:rPr>
                          <w:rFonts w:ascii="Swis721 Lt BT" w:hAnsi="Swis721 Lt BT" w:cs="Swis721 Lt BT" w:eastAsia="Swis721 Lt BT"/>
                          <w:sz w:val="40"/>
                          <w:szCs w:val="40"/>
                        </w:rPr>
                      </w:pPr>
                    </w:p>
                    <w:p>
                      <w:pPr>
                        <w:spacing w:line="240" w:lineRule="auto" w:before="10"/>
                        <w:rPr>
                          <w:rFonts w:ascii="Swis721 Lt BT" w:hAnsi="Swis721 Lt BT" w:cs="Swis721 Lt BT" w:eastAsia="Swis721 Lt BT"/>
                          <w:sz w:val="51"/>
                          <w:szCs w:val="51"/>
                        </w:rPr>
                      </w:pPr>
                    </w:p>
                    <w:p>
                      <w:pPr>
                        <w:spacing w:before="0"/>
                        <w:ind w:left="850" w:right="4728" w:firstLine="0"/>
                        <w:jc w:val="left"/>
                        <w:rPr>
                          <w:rFonts w:ascii="Swis721 BT" w:hAnsi="Swis721 BT" w:cs="Swis721 BT" w:eastAsia="Swis721 BT"/>
                          <w:sz w:val="40"/>
                          <w:szCs w:val="40"/>
                        </w:rPr>
                      </w:pPr>
                      <w:r>
                        <w:rPr>
                          <w:rFonts w:ascii="Swis721 BT"/>
                          <w:b/>
                          <w:color w:val="005E63"/>
                          <w:sz w:val="40"/>
                        </w:rPr>
                        <w:t>TEACHING AND SCHOOL LEADERSHIP IN </w:t>
                      </w:r>
                      <w:r>
                        <w:rPr>
                          <w:rFonts w:ascii="Swis721 BT"/>
                          <w:b/>
                          <w:color w:val="005E63"/>
                          <w:spacing w:val="-1"/>
                          <w:sz w:val="40"/>
                        </w:rPr>
                        <w:t>AUSTRALIA</w:t>
                      </w:r>
                      <w:r>
                        <w:rPr>
                          <w:rFonts w:ascii="Swis721 BT"/>
                          <w:sz w:val="40"/>
                        </w:rPr>
                      </w:r>
                    </w:p>
                  </w:txbxContent>
                </v:textbox>
                <w10:wrap type="none"/>
              </v:shape>
            </v:group>
            <w10:wrap type="none"/>
          </v:group>
        </w:pict>
      </w:r>
      <w:bookmarkStart w:name="TEACHING AND SCHOOL LEADERSHIP IN AUSTRA" w:id="9"/>
      <w:bookmarkEnd w:id="9"/>
      <w:r>
        <w:rPr/>
      </w:r>
      <w:r>
        <w:rPr>
          <w:rFonts w:ascii="Swis721 BT"/>
          <w:b/>
          <w:color w:val="005E63"/>
          <w:sz w:val="24"/>
        </w:rPr>
        <w:t>TEACHING</w:t>
      </w:r>
      <w:r>
        <w:rPr>
          <w:rFonts w:ascii="Swis721 BT"/>
          <w:sz w:val="24"/>
        </w:rPr>
      </w:r>
    </w:p>
    <w:p>
      <w:pPr>
        <w:pStyle w:val="BodyText"/>
        <w:spacing w:line="240" w:lineRule="auto" w:before="215"/>
        <w:ind w:left="850" w:right="60"/>
        <w:jc w:val="left"/>
      </w:pPr>
      <w:r>
        <w:rPr>
          <w:color w:val="231F20"/>
        </w:rPr>
        <w:t>In</w:t>
      </w:r>
      <w:r>
        <w:rPr>
          <w:color w:val="231F20"/>
          <w:spacing w:val="-2"/>
        </w:rPr>
        <w:t> </w:t>
      </w:r>
      <w:r>
        <w:rPr>
          <w:color w:val="231F20"/>
        </w:rPr>
        <w:t>the</w:t>
      </w:r>
      <w:r>
        <w:rPr>
          <w:color w:val="231F20"/>
          <w:spacing w:val="-1"/>
        </w:rPr>
        <w:t> </w:t>
      </w:r>
      <w:r>
        <w:rPr>
          <w:color w:val="231F20"/>
        </w:rPr>
        <w:t>2018–19</w:t>
      </w:r>
      <w:r>
        <w:rPr>
          <w:color w:val="231F20"/>
          <w:spacing w:val="-1"/>
        </w:rPr>
        <w:t> </w:t>
      </w:r>
      <w:r>
        <w:rPr>
          <w:color w:val="231F20"/>
        </w:rPr>
        <w:t>financial</w:t>
      </w:r>
      <w:r>
        <w:rPr>
          <w:color w:val="231F20"/>
          <w:spacing w:val="-1"/>
        </w:rPr>
        <w:t> </w:t>
      </w:r>
      <w:r>
        <w:rPr>
          <w:color w:val="231F20"/>
          <w:spacing w:val="-4"/>
        </w:rPr>
        <w:t>year,</w:t>
      </w:r>
      <w:r>
        <w:rPr>
          <w:color w:val="231F20"/>
          <w:spacing w:val="-1"/>
        </w:rPr>
        <w:t> </w:t>
      </w:r>
      <w:r>
        <w:rPr>
          <w:color w:val="231F20"/>
        </w:rPr>
        <w:t>AITSL</w:t>
      </w:r>
      <w:r>
        <w:rPr>
          <w:color w:val="231F20"/>
          <w:spacing w:val="-1"/>
        </w:rPr>
        <w:t> </w:t>
      </w:r>
      <w:r>
        <w:rPr>
          <w:color w:val="231F20"/>
        </w:rPr>
        <w:t>focused</w:t>
      </w:r>
      <w:r>
        <w:rPr>
          <w:color w:val="231F20"/>
          <w:spacing w:val="22"/>
        </w:rPr>
        <w:t> </w:t>
      </w:r>
      <w:r>
        <w:rPr>
          <w:color w:val="231F20"/>
        </w:rPr>
        <w:t>on</w:t>
      </w:r>
      <w:r>
        <w:rPr>
          <w:color w:val="231F20"/>
          <w:spacing w:val="-3"/>
        </w:rPr>
        <w:t> </w:t>
      </w:r>
      <w:r>
        <w:rPr>
          <w:color w:val="231F20"/>
        </w:rPr>
        <w:t>professional</w:t>
      </w:r>
      <w:r>
        <w:rPr>
          <w:color w:val="231F20"/>
          <w:spacing w:val="-2"/>
        </w:rPr>
        <w:t> </w:t>
      </w:r>
      <w:r>
        <w:rPr>
          <w:color w:val="231F20"/>
        </w:rPr>
        <w:t>learning,</w:t>
      </w:r>
      <w:r>
        <w:rPr>
          <w:color w:val="231F20"/>
          <w:spacing w:val="-3"/>
        </w:rPr>
        <w:t> </w:t>
      </w:r>
      <w:r>
        <w:rPr>
          <w:color w:val="231F20"/>
        </w:rPr>
        <w:t>teacher</w:t>
      </w:r>
      <w:r>
        <w:rPr>
          <w:color w:val="231F20"/>
          <w:spacing w:val="-2"/>
        </w:rPr>
        <w:t> </w:t>
      </w:r>
      <w:r>
        <w:rPr>
          <w:color w:val="231F20"/>
        </w:rPr>
        <w:t>certification,</w:t>
      </w:r>
      <w:r>
        <w:rPr>
          <w:color w:val="231F20"/>
          <w:w w:val="99"/>
        </w:rPr>
        <w:t> </w:t>
      </w:r>
      <w:r>
        <w:rPr>
          <w:color w:val="231F20"/>
        </w:rPr>
        <w:t>the National Review of </w:t>
      </w:r>
      <w:r>
        <w:rPr>
          <w:color w:val="231F20"/>
          <w:spacing w:val="-26"/>
        </w:rPr>
        <w:t>T</w:t>
      </w:r>
      <w:r>
        <w:rPr>
          <w:color w:val="231F20"/>
        </w:rPr>
        <w:t>eacher Registration,</w:t>
      </w:r>
      <w:r>
        <w:rPr>
          <w:color w:val="231F20"/>
        </w:rPr>
        <w:t> cultural </w:t>
      </w:r>
      <w:r>
        <w:rPr>
          <w:color w:val="231F20"/>
          <w:spacing w:val="-2"/>
        </w:rPr>
        <w:t>competency,</w:t>
      </w:r>
      <w:r>
        <w:rPr>
          <w:color w:val="231F20"/>
        </w:rPr>
        <w:t> and the development of</w:t>
      </w:r>
      <w:r>
        <w:rPr>
          <w:color w:val="231F20"/>
          <w:spacing w:val="27"/>
        </w:rPr>
        <w:t> </w:t>
      </w:r>
      <w:r>
        <w:rPr>
          <w:color w:val="231F20"/>
        </w:rPr>
        <w:t>a formative assessment tool.</w:t>
      </w:r>
      <w:r>
        <w:rPr/>
      </w:r>
    </w:p>
    <w:p>
      <w:pPr>
        <w:spacing w:line="240" w:lineRule="auto" w:before="0"/>
        <w:rPr>
          <w:rFonts w:ascii="Swis721 Lt BT" w:hAnsi="Swis721 Lt BT" w:cs="Swis721 Lt BT" w:eastAsia="Swis721 Lt BT"/>
          <w:sz w:val="18"/>
          <w:szCs w:val="18"/>
        </w:rPr>
      </w:pPr>
    </w:p>
    <w:p>
      <w:pPr>
        <w:pStyle w:val="Heading8"/>
        <w:spacing w:line="260" w:lineRule="exact" w:before="131"/>
        <w:ind w:left="850" w:right="43"/>
        <w:jc w:val="left"/>
      </w:pPr>
      <w:r>
        <w:rPr>
          <w:color w:val="00757A"/>
        </w:rPr>
        <w:t>Improving the quality of professional learning</w:t>
      </w:r>
      <w:r>
        <w:rPr/>
      </w:r>
    </w:p>
    <w:p>
      <w:pPr>
        <w:pStyle w:val="BodyText"/>
        <w:spacing w:line="240" w:lineRule="auto" w:before="106"/>
        <w:ind w:left="850" w:right="456"/>
        <w:jc w:val="left"/>
      </w:pPr>
      <w:r>
        <w:rPr>
          <w:color w:val="231F20"/>
        </w:rPr>
        <w:t>AITSL continued its work on improving the quality of professional learning for all Australian teachers. This followed initial</w:t>
      </w:r>
      <w:r>
        <w:rPr/>
      </w:r>
    </w:p>
    <w:p>
      <w:pPr>
        <w:pStyle w:val="BodyText"/>
        <w:spacing w:line="240" w:lineRule="auto" w:before="0"/>
        <w:ind w:left="850" w:right="222"/>
        <w:jc w:val="left"/>
      </w:pPr>
      <w:r>
        <w:rPr>
          <w:color w:val="231F20"/>
        </w:rPr>
        <w:t>research and consultations that took place in 2017–18.</w:t>
      </w:r>
      <w:r>
        <w:rPr/>
      </w:r>
    </w:p>
    <w:p>
      <w:pPr>
        <w:pStyle w:val="BodyText"/>
        <w:spacing w:line="240" w:lineRule="auto"/>
        <w:ind w:left="850" w:right="0"/>
        <w:jc w:val="left"/>
      </w:pPr>
      <w:r>
        <w:rPr>
          <w:color w:val="231F20"/>
        </w:rPr>
        <w:t>During consultations, AITSL uncovered specific</w:t>
      </w:r>
      <w:r>
        <w:rPr>
          <w:color w:val="231F20"/>
          <w:spacing w:val="-2"/>
        </w:rPr>
        <w:t> </w:t>
      </w:r>
      <w:r>
        <w:rPr>
          <w:color w:val="231F20"/>
        </w:rPr>
        <w:t>challenges</w:t>
      </w:r>
      <w:r>
        <w:rPr>
          <w:color w:val="231F20"/>
          <w:spacing w:val="-1"/>
        </w:rPr>
        <w:t> </w:t>
      </w:r>
      <w:r>
        <w:rPr>
          <w:color w:val="231F20"/>
        </w:rPr>
        <w:t>facing</w:t>
      </w:r>
      <w:r>
        <w:rPr>
          <w:color w:val="231F20"/>
          <w:spacing w:val="-1"/>
        </w:rPr>
        <w:t> </w:t>
      </w:r>
      <w:r>
        <w:rPr>
          <w:color w:val="231F20"/>
        </w:rPr>
        <w:t>three</w:t>
      </w:r>
      <w:r>
        <w:rPr>
          <w:color w:val="231F20"/>
          <w:spacing w:val="-2"/>
        </w:rPr>
        <w:t> </w:t>
      </w:r>
      <w:r>
        <w:rPr>
          <w:color w:val="231F20"/>
        </w:rPr>
        <w:t>cohorts</w:t>
      </w:r>
      <w:r>
        <w:rPr>
          <w:color w:val="231F20"/>
          <w:spacing w:val="-1"/>
        </w:rPr>
        <w:t> </w:t>
      </w:r>
      <w:r>
        <w:rPr>
          <w:color w:val="231F20"/>
        </w:rPr>
        <w:t>of</w:t>
      </w:r>
      <w:r>
        <w:rPr>
          <w:color w:val="231F20"/>
        </w:rPr>
        <w:t> teachers in accessing high quality professional learning: early childhood teachers, casual/ relief teachers, and teachers in regional,</w:t>
      </w:r>
      <w:r>
        <w:rPr/>
      </w:r>
    </w:p>
    <w:p>
      <w:pPr>
        <w:pStyle w:val="BodyText"/>
        <w:spacing w:line="240" w:lineRule="auto" w:before="0"/>
        <w:ind w:left="850" w:right="43"/>
        <w:jc w:val="left"/>
      </w:pPr>
      <w:r>
        <w:rPr>
          <w:color w:val="231F20"/>
        </w:rPr>
        <w:t>rural, and remote locations. AITSL conducted a national dialogue with these cohorts in November 2018 and is continuing to scope further work to support them.</w:t>
      </w:r>
      <w:r>
        <w:rPr/>
      </w:r>
    </w:p>
    <w:p>
      <w:pPr>
        <w:pStyle w:val="BodyText"/>
        <w:spacing w:line="240" w:lineRule="auto"/>
        <w:ind w:left="850" w:right="43"/>
        <w:jc w:val="left"/>
      </w:pPr>
      <w:r>
        <w:rPr>
          <w:color w:val="231F20"/>
        </w:rPr>
        <w:t>An initial suite of online resources was released to improve the quality of professional learning in schools, including practical guides for implementation, video case studies, and the research and evidence base.</w:t>
      </w:r>
      <w:r>
        <w:rPr/>
      </w:r>
    </w:p>
    <w:p>
      <w:pPr>
        <w:pStyle w:val="Heading8"/>
        <w:spacing w:line="260" w:lineRule="exact" w:before="68"/>
        <w:ind w:left="299" w:right="1142"/>
        <w:jc w:val="left"/>
      </w:pPr>
      <w:r>
        <w:rPr/>
        <w:br w:type="column"/>
      </w:r>
      <w:r>
        <w:rPr>
          <w:color w:val="00757A"/>
        </w:rPr>
        <w:t>Scaling up national teacher</w:t>
      </w:r>
      <w:r>
        <w:rPr>
          <w:color w:val="00757A"/>
        </w:rPr>
        <w:t> certification</w:t>
      </w:r>
      <w:r>
        <w:rPr/>
      </w:r>
    </w:p>
    <w:p>
      <w:pPr>
        <w:pStyle w:val="BodyText"/>
        <w:spacing w:line="240" w:lineRule="auto" w:before="106"/>
        <w:ind w:left="299" w:right="1142"/>
        <w:jc w:val="left"/>
      </w:pPr>
      <w:r>
        <w:rPr>
          <w:color w:val="231F20"/>
        </w:rPr>
        <w:t>National</w:t>
      </w:r>
      <w:r>
        <w:rPr>
          <w:color w:val="231F20"/>
          <w:spacing w:val="-3"/>
        </w:rPr>
        <w:t> </w:t>
      </w:r>
      <w:r>
        <w:rPr>
          <w:color w:val="231F20"/>
        </w:rPr>
        <w:t>teacher</w:t>
      </w:r>
      <w:r>
        <w:rPr>
          <w:color w:val="231F20"/>
          <w:spacing w:val="-2"/>
        </w:rPr>
        <w:t> </w:t>
      </w:r>
      <w:r>
        <w:rPr>
          <w:color w:val="231F20"/>
        </w:rPr>
        <w:t>certification</w:t>
      </w:r>
      <w:r>
        <w:rPr>
          <w:color w:val="231F20"/>
          <w:spacing w:val="-3"/>
        </w:rPr>
        <w:t> </w:t>
      </w:r>
      <w:r>
        <w:rPr>
          <w:color w:val="231F20"/>
        </w:rPr>
        <w:t>continues</w:t>
      </w:r>
      <w:r>
        <w:rPr>
          <w:color w:val="231F20"/>
          <w:spacing w:val="-2"/>
        </w:rPr>
        <w:t> </w:t>
      </w:r>
      <w:r>
        <w:rPr>
          <w:color w:val="231F20"/>
        </w:rPr>
        <w:t>to</w:t>
      </w:r>
      <w:r>
        <w:rPr>
          <w:color w:val="231F20"/>
        </w:rPr>
        <w:t> </w:t>
      </w:r>
      <w:r>
        <w:rPr>
          <w:color w:val="231F20"/>
          <w:spacing w:val="-3"/>
        </w:rPr>
        <w:t>grow,</w:t>
      </w:r>
      <w:r>
        <w:rPr>
          <w:color w:val="231F20"/>
          <w:spacing w:val="-1"/>
        </w:rPr>
        <w:t> </w:t>
      </w:r>
      <w:r>
        <w:rPr>
          <w:color w:val="231F20"/>
        </w:rPr>
        <w:t>with</w:t>
      </w:r>
      <w:r>
        <w:rPr>
          <w:color w:val="231F20"/>
          <w:spacing w:val="-1"/>
        </w:rPr>
        <w:t> </w:t>
      </w:r>
      <w:r>
        <w:rPr>
          <w:color w:val="231F20"/>
        </w:rPr>
        <w:t>573</w:t>
      </w:r>
      <w:r>
        <w:rPr>
          <w:color w:val="231F20"/>
          <w:spacing w:val="-1"/>
        </w:rPr>
        <w:t> </w:t>
      </w:r>
      <w:r>
        <w:rPr>
          <w:color w:val="231F20"/>
        </w:rPr>
        <w:t>teachers</w:t>
      </w:r>
      <w:r>
        <w:rPr>
          <w:color w:val="231F20"/>
          <w:spacing w:val="-1"/>
        </w:rPr>
        <w:t> </w:t>
      </w:r>
      <w:r>
        <w:rPr>
          <w:color w:val="231F20"/>
        </w:rPr>
        <w:t>certified</w:t>
      </w:r>
      <w:r>
        <w:rPr>
          <w:color w:val="231F20"/>
          <w:spacing w:val="-1"/>
        </w:rPr>
        <w:t> </w:t>
      </w:r>
      <w:r>
        <w:rPr>
          <w:color w:val="231F20"/>
        </w:rPr>
        <w:t>as</w:t>
      </w:r>
      <w:r>
        <w:rPr>
          <w:color w:val="231F20"/>
          <w:spacing w:val="-1"/>
        </w:rPr>
        <w:t> </w:t>
      </w:r>
      <w:r>
        <w:rPr>
          <w:color w:val="231F20"/>
        </w:rPr>
        <w:t>of</w:t>
      </w:r>
      <w:r>
        <w:rPr>
          <w:color w:val="231F20"/>
          <w:spacing w:val="-1"/>
        </w:rPr>
        <w:t> </w:t>
      </w:r>
      <w:r>
        <w:rPr>
          <w:color w:val="231F20"/>
        </w:rPr>
        <w:t>31</w:t>
      </w:r>
      <w:r>
        <w:rPr>
          <w:color w:val="231F20"/>
          <w:spacing w:val="22"/>
        </w:rPr>
        <w:t> </w:t>
      </w:r>
      <w:r>
        <w:rPr>
          <w:color w:val="231F20"/>
        </w:rPr>
        <w:t>December</w:t>
      </w:r>
      <w:r>
        <w:rPr>
          <w:color w:val="231F20"/>
          <w:spacing w:val="-2"/>
        </w:rPr>
        <w:t> </w:t>
      </w:r>
      <w:r>
        <w:rPr>
          <w:color w:val="231F20"/>
        </w:rPr>
        <w:t>2018.</w:t>
      </w:r>
      <w:r>
        <w:rPr>
          <w:color w:val="231F20"/>
          <w:spacing w:val="-1"/>
        </w:rPr>
        <w:t> </w:t>
      </w:r>
      <w:r>
        <w:rPr>
          <w:color w:val="231F20"/>
        </w:rPr>
        <w:t>This</w:t>
      </w:r>
      <w:r>
        <w:rPr>
          <w:color w:val="231F20"/>
          <w:spacing w:val="-2"/>
        </w:rPr>
        <w:t> </w:t>
      </w:r>
      <w:r>
        <w:rPr>
          <w:color w:val="231F20"/>
        </w:rPr>
        <w:t>financial</w:t>
      </w:r>
      <w:r>
        <w:rPr>
          <w:color w:val="231F20"/>
          <w:spacing w:val="-1"/>
        </w:rPr>
        <w:t> </w:t>
      </w:r>
      <w:r>
        <w:rPr>
          <w:color w:val="231F20"/>
        </w:rPr>
        <w:t>yea</w:t>
      </w:r>
      <w:r>
        <w:rPr>
          <w:color w:val="231F20"/>
          <w:spacing w:val="-18"/>
        </w:rPr>
        <w:t>r</w:t>
      </w:r>
      <w:r>
        <w:rPr>
          <w:color w:val="231F20"/>
        </w:rPr>
        <w:t>,</w:t>
      </w:r>
      <w:r>
        <w:rPr>
          <w:color w:val="231F20"/>
          <w:spacing w:val="-1"/>
        </w:rPr>
        <w:t> </w:t>
      </w:r>
      <w:r>
        <w:rPr>
          <w:color w:val="231F20"/>
          <w:spacing w:val="-26"/>
        </w:rPr>
        <w:t>T</w:t>
      </w:r>
      <w:r>
        <w:rPr>
          <w:color w:val="231F20"/>
        </w:rPr>
        <w:t>asmania</w:t>
      </w:r>
      <w:r>
        <w:rPr>
          <w:color w:val="231F20"/>
        </w:rPr>
        <w:t> and Catholic Education Melbourne announced they will conduct pilots of the program, which will result in </w:t>
      </w:r>
      <w:r>
        <w:rPr>
          <w:color w:val="231F20"/>
          <w:spacing w:val="-9"/>
        </w:rPr>
        <w:t>HALTs</w:t>
      </w:r>
      <w:r>
        <w:rPr>
          <w:color w:val="231F20"/>
        </w:rPr>
        <w:t> in all states and territories</w:t>
      </w:r>
      <w:r>
        <w:rPr>
          <w:color w:val="231F20"/>
          <w:spacing w:val="23"/>
        </w:rPr>
        <w:t> </w:t>
      </w:r>
      <w:r>
        <w:rPr>
          <w:color w:val="231F20"/>
        </w:rPr>
        <w:t>by the end of 2020.</w:t>
      </w:r>
      <w:r>
        <w:rPr/>
      </w:r>
    </w:p>
    <w:p>
      <w:pPr>
        <w:pStyle w:val="BodyText"/>
        <w:spacing w:line="240" w:lineRule="auto"/>
        <w:ind w:left="299" w:right="1324"/>
        <w:jc w:val="left"/>
      </w:pPr>
      <w:r>
        <w:rPr>
          <w:color w:val="231F20"/>
          <w:spacing w:val="-13"/>
        </w:rPr>
        <w:t>To</w:t>
      </w:r>
      <w:r>
        <w:rPr>
          <w:color w:val="231F20"/>
        </w:rPr>
        <w:t> support the scaling up of national teacher</w:t>
      </w:r>
      <w:r>
        <w:rPr>
          <w:color w:val="231F20"/>
          <w:spacing w:val="20"/>
        </w:rPr>
        <w:t> </w:t>
      </w:r>
      <w:r>
        <w:rPr>
          <w:color w:val="231F20"/>
        </w:rPr>
        <w:t>certification,</w:t>
      </w:r>
      <w:r>
        <w:rPr>
          <w:color w:val="231F20"/>
          <w:spacing w:val="-2"/>
        </w:rPr>
        <w:t> </w:t>
      </w:r>
      <w:r>
        <w:rPr>
          <w:color w:val="231F20"/>
        </w:rPr>
        <w:t>a</w:t>
      </w:r>
      <w:r>
        <w:rPr>
          <w:color w:val="231F20"/>
          <w:spacing w:val="-2"/>
        </w:rPr>
        <w:t> </w:t>
      </w:r>
      <w:r>
        <w:rPr>
          <w:color w:val="231F20"/>
        </w:rPr>
        <w:t>Stage</w:t>
      </w:r>
      <w:r>
        <w:rPr>
          <w:color w:val="231F20"/>
          <w:spacing w:val="-2"/>
        </w:rPr>
        <w:t> </w:t>
      </w:r>
      <w:r>
        <w:rPr>
          <w:color w:val="231F20"/>
        </w:rPr>
        <w:t>2</w:t>
      </w:r>
      <w:r>
        <w:rPr>
          <w:color w:val="231F20"/>
          <w:spacing w:val="-2"/>
        </w:rPr>
        <w:t> </w:t>
      </w:r>
      <w:r>
        <w:rPr>
          <w:color w:val="231F20"/>
        </w:rPr>
        <w:t>video</w:t>
      </w:r>
      <w:r>
        <w:rPr>
          <w:color w:val="231F20"/>
          <w:spacing w:val="-2"/>
        </w:rPr>
        <w:t> </w:t>
      </w:r>
      <w:r>
        <w:rPr>
          <w:color w:val="231F20"/>
        </w:rPr>
        <w:t>observation</w:t>
      </w:r>
      <w:r>
        <w:rPr>
          <w:color w:val="231F20"/>
        </w:rPr>
        <w:t> pilot was conducted in Queensland and the Northern </w:t>
      </w:r>
      <w:r>
        <w:rPr>
          <w:color w:val="231F20"/>
          <w:spacing w:val="-26"/>
        </w:rPr>
        <w:t>T</w:t>
      </w:r>
      <w:r>
        <w:rPr>
          <w:color w:val="231F20"/>
        </w:rPr>
        <w:t>erritor</w:t>
      </w:r>
      <w:r>
        <w:rPr>
          <w:color w:val="231F20"/>
          <w:spacing w:val="-15"/>
        </w:rPr>
        <w:t>y</w:t>
      </w:r>
      <w:r>
        <w:rPr>
          <w:color w:val="231F20"/>
        </w:rPr>
        <w:t>. A change to the policy</w:t>
      </w:r>
      <w:r>
        <w:rPr>
          <w:color w:val="231F20"/>
        </w:rPr>
        <w:t> was approved by Education Council in May 2019, giving certifying authorities the option</w:t>
      </w:r>
      <w:r>
        <w:rPr/>
      </w:r>
    </w:p>
    <w:p>
      <w:pPr>
        <w:pStyle w:val="BodyText"/>
        <w:spacing w:line="240" w:lineRule="auto" w:before="0"/>
        <w:ind w:left="299" w:right="1178"/>
        <w:jc w:val="both"/>
      </w:pPr>
      <w:r>
        <w:rPr>
          <w:color w:val="231F20"/>
        </w:rPr>
        <w:t>to use video for their </w:t>
      </w:r>
      <w:r>
        <w:rPr>
          <w:color w:val="231F20"/>
          <w:spacing w:val="-4"/>
        </w:rPr>
        <w:t>HALT</w:t>
      </w:r>
      <w:r>
        <w:rPr>
          <w:color w:val="231F20"/>
        </w:rPr>
        <w:t> assessments. This</w:t>
      </w:r>
      <w:r>
        <w:rPr>
          <w:color w:val="231F20"/>
          <w:spacing w:val="20"/>
        </w:rPr>
        <w:t> </w:t>
      </w:r>
      <w:r>
        <w:rPr>
          <w:color w:val="231F20"/>
        </w:rPr>
        <w:t>change in policy will be particularly relevant to</w:t>
      </w:r>
      <w:r>
        <w:rPr>
          <w:color w:val="231F20"/>
        </w:rPr>
        <w:t> jurisdictions with schools in remote areas, and will</w:t>
      </w:r>
      <w:r>
        <w:rPr>
          <w:color w:val="231F20"/>
          <w:spacing w:val="-3"/>
        </w:rPr>
        <w:t> </w:t>
      </w:r>
      <w:r>
        <w:rPr>
          <w:color w:val="231F20"/>
        </w:rPr>
        <w:t>make</w:t>
      </w:r>
      <w:r>
        <w:rPr>
          <w:color w:val="231F20"/>
          <w:spacing w:val="-2"/>
        </w:rPr>
        <w:t> </w:t>
      </w:r>
      <w:r>
        <w:rPr>
          <w:color w:val="231F20"/>
        </w:rPr>
        <w:t>certification</w:t>
      </w:r>
      <w:r>
        <w:rPr>
          <w:color w:val="231F20"/>
          <w:spacing w:val="-3"/>
        </w:rPr>
        <w:t> </w:t>
      </w:r>
      <w:r>
        <w:rPr>
          <w:color w:val="231F20"/>
        </w:rPr>
        <w:t>more</w:t>
      </w:r>
      <w:r>
        <w:rPr>
          <w:color w:val="231F20"/>
          <w:spacing w:val="-2"/>
        </w:rPr>
        <w:t> </w:t>
      </w:r>
      <w:r>
        <w:rPr>
          <w:color w:val="231F20"/>
        </w:rPr>
        <w:t>accessible.</w:t>
      </w:r>
      <w:r>
        <w:rPr/>
      </w:r>
    </w:p>
    <w:p>
      <w:pPr>
        <w:pStyle w:val="BodyText"/>
        <w:spacing w:line="240" w:lineRule="auto"/>
        <w:ind w:left="299" w:right="1370"/>
        <w:jc w:val="left"/>
      </w:pPr>
      <w:r>
        <w:rPr>
          <w:color w:val="231F20"/>
        </w:rPr>
        <w:t>A Spotlight report on the </w:t>
      </w:r>
      <w:r>
        <w:rPr>
          <w:color w:val="231F20"/>
          <w:spacing w:val="-4"/>
        </w:rPr>
        <w:t>HALT</w:t>
      </w:r>
      <w:r>
        <w:rPr>
          <w:color w:val="231F20"/>
        </w:rPr>
        <w:t> Census</w:t>
      </w:r>
      <w:r>
        <w:rPr>
          <w:color w:val="231F20"/>
          <w:spacing w:val="20"/>
        </w:rPr>
        <w:t> </w:t>
      </w:r>
      <w:r>
        <w:rPr>
          <w:color w:val="231F20"/>
        </w:rPr>
        <w:t>findings</w:t>
      </w:r>
      <w:r>
        <w:rPr>
          <w:color w:val="231F20"/>
          <w:spacing w:val="-2"/>
        </w:rPr>
        <w:t> </w:t>
      </w:r>
      <w:r>
        <w:rPr>
          <w:color w:val="231F20"/>
        </w:rPr>
        <w:t>was</w:t>
      </w:r>
      <w:r>
        <w:rPr>
          <w:color w:val="231F20"/>
          <w:spacing w:val="-1"/>
        </w:rPr>
        <w:t> </w:t>
      </w:r>
      <w:r>
        <w:rPr>
          <w:color w:val="231F20"/>
        </w:rPr>
        <w:t>launched</w:t>
      </w:r>
      <w:r>
        <w:rPr>
          <w:color w:val="231F20"/>
          <w:spacing w:val="-1"/>
        </w:rPr>
        <w:t> </w:t>
      </w:r>
      <w:r>
        <w:rPr>
          <w:color w:val="231F20"/>
        </w:rPr>
        <w:t>in</w:t>
      </w:r>
      <w:r>
        <w:rPr>
          <w:color w:val="231F20"/>
          <w:spacing w:val="-1"/>
        </w:rPr>
        <w:t> </w:t>
      </w:r>
      <w:r>
        <w:rPr>
          <w:color w:val="231F20"/>
          <w:spacing w:val="-4"/>
        </w:rPr>
        <w:t>May.</w:t>
      </w:r>
      <w:r>
        <w:rPr>
          <w:color w:val="231F20"/>
          <w:spacing w:val="-1"/>
        </w:rPr>
        <w:t> </w:t>
      </w:r>
      <w:r>
        <w:rPr>
          <w:color w:val="231F20"/>
        </w:rPr>
        <w:t>Over</w:t>
      </w:r>
      <w:r>
        <w:rPr>
          <w:color w:val="231F20"/>
          <w:spacing w:val="-1"/>
        </w:rPr>
        <w:t> </w:t>
      </w:r>
      <w:r>
        <w:rPr>
          <w:color w:val="231F20"/>
        </w:rPr>
        <w:t>300</w:t>
      </w:r>
      <w:r>
        <w:rPr>
          <w:color w:val="231F20"/>
          <w:spacing w:val="21"/>
        </w:rPr>
        <w:t> </w:t>
      </w:r>
      <w:r>
        <w:rPr>
          <w:color w:val="231F20"/>
        </w:rPr>
        <w:t>nationally</w:t>
      </w:r>
      <w:r>
        <w:rPr>
          <w:color w:val="231F20"/>
          <w:spacing w:val="-2"/>
        </w:rPr>
        <w:t> </w:t>
      </w:r>
      <w:r>
        <w:rPr>
          <w:color w:val="231F20"/>
        </w:rPr>
        <w:t>certified</w:t>
      </w:r>
      <w:r>
        <w:rPr>
          <w:color w:val="231F20"/>
          <w:spacing w:val="-2"/>
        </w:rPr>
        <w:t> </w:t>
      </w:r>
      <w:r>
        <w:rPr>
          <w:color w:val="231F20"/>
        </w:rPr>
        <w:t>teachers</w:t>
      </w:r>
      <w:r>
        <w:rPr>
          <w:color w:val="231F20"/>
          <w:spacing w:val="-1"/>
        </w:rPr>
        <w:t> </w:t>
      </w:r>
      <w:r>
        <w:rPr>
          <w:color w:val="231F20"/>
        </w:rPr>
        <w:t>completed</w:t>
      </w:r>
      <w:r>
        <w:rPr>
          <w:color w:val="231F20"/>
          <w:spacing w:val="-2"/>
        </w:rPr>
        <w:t> </w:t>
      </w:r>
      <w:r>
        <w:rPr>
          <w:color w:val="231F20"/>
        </w:rPr>
        <w:t>the</w:t>
      </w:r>
      <w:r>
        <w:rPr>
          <w:color w:val="231F20"/>
        </w:rPr>
        <w:t> Census, which found that having a </w:t>
      </w:r>
      <w:r>
        <w:rPr>
          <w:color w:val="231F20"/>
          <w:spacing w:val="-4"/>
        </w:rPr>
        <w:t>HALT</w:t>
      </w:r>
      <w:r>
        <w:rPr>
          <w:color w:val="231F20"/>
        </w:rPr>
        <w:t> in</w:t>
      </w:r>
      <w:r>
        <w:rPr>
          <w:color w:val="231F20"/>
          <w:spacing w:val="20"/>
        </w:rPr>
        <w:t> </w:t>
      </w:r>
      <w:r>
        <w:rPr>
          <w:color w:val="231F20"/>
        </w:rPr>
        <w:t>a</w:t>
      </w:r>
      <w:r>
        <w:rPr>
          <w:color w:val="231F20"/>
          <w:spacing w:val="-2"/>
        </w:rPr>
        <w:t> </w:t>
      </w:r>
      <w:r>
        <w:rPr>
          <w:color w:val="231F20"/>
        </w:rPr>
        <w:t>school</w:t>
      </w:r>
      <w:r>
        <w:rPr>
          <w:color w:val="231F20"/>
          <w:spacing w:val="-1"/>
        </w:rPr>
        <w:t> </w:t>
      </w:r>
      <w:r>
        <w:rPr>
          <w:color w:val="231F20"/>
        </w:rPr>
        <w:t>isn’t</w:t>
      </w:r>
      <w:r>
        <w:rPr>
          <w:color w:val="231F20"/>
          <w:spacing w:val="-1"/>
        </w:rPr>
        <w:t> </w:t>
      </w:r>
      <w:r>
        <w:rPr>
          <w:color w:val="231F20"/>
        </w:rPr>
        <w:t>just</w:t>
      </w:r>
      <w:r>
        <w:rPr>
          <w:color w:val="231F20"/>
          <w:spacing w:val="-1"/>
        </w:rPr>
        <w:t> </w:t>
      </w:r>
      <w:r>
        <w:rPr>
          <w:color w:val="231F20"/>
        </w:rPr>
        <w:t>beneficial</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individual</w:t>
      </w:r>
      <w:r>
        <w:rPr/>
      </w:r>
    </w:p>
    <w:p>
      <w:pPr>
        <w:pStyle w:val="BodyText"/>
        <w:spacing w:line="240" w:lineRule="auto" w:before="0"/>
        <w:ind w:left="299" w:right="1142"/>
        <w:jc w:val="left"/>
      </w:pPr>
      <w:r>
        <w:rPr>
          <w:color w:val="231F20"/>
        </w:rPr>
        <w:t>teacher and their students, but contributes to an increased culture of learning across and beyond the school.</w:t>
      </w:r>
      <w:r>
        <w:rPr/>
      </w:r>
    </w:p>
    <w:p>
      <w:pPr>
        <w:spacing w:after="0" w:line="240" w:lineRule="auto"/>
        <w:jc w:val="left"/>
        <w:sectPr>
          <w:type w:val="continuous"/>
          <w:pgSz w:w="9980" w:h="14180"/>
          <w:pgMar w:top="0" w:bottom="280" w:left="0" w:right="0"/>
          <w:cols w:num="2" w:equalWidth="0">
            <w:col w:w="4678" w:space="40"/>
            <w:col w:w="5262"/>
          </w:cols>
        </w:sectPr>
      </w:pPr>
    </w:p>
    <w:p>
      <w:pPr>
        <w:spacing w:line="240" w:lineRule="auto" w:before="5"/>
        <w:rPr>
          <w:rFonts w:ascii="Swis721 Lt BT" w:hAnsi="Swis721 Lt BT" w:cs="Swis721 Lt BT" w:eastAsia="Swis721 Lt BT"/>
          <w:sz w:val="28"/>
          <w:szCs w:val="28"/>
        </w:rPr>
      </w:pPr>
    </w:p>
    <w:p>
      <w:pPr>
        <w:spacing w:before="77"/>
        <w:ind w:left="0" w:right="848" w:firstLine="0"/>
        <w:jc w:val="right"/>
        <w:rPr>
          <w:rFonts w:ascii="Swis721 Lt BT" w:hAnsi="Swis721 Lt BT" w:cs="Swis721 Lt BT" w:eastAsia="Swis721 Lt BT"/>
          <w:sz w:val="14"/>
          <w:szCs w:val="14"/>
        </w:rPr>
      </w:pPr>
      <w:r>
        <w:rPr/>
        <w:pict>
          <v:group style="position:absolute;margin-left:0pt;margin-top:-17.711885pt;width:498.9pt;height:98.8pt;mso-position-horizontal-relative:page;mso-position-vertical-relative:paragraph;z-index:-183280" coordorigin="0,-354" coordsize="9978,1976">
            <v:group style="position:absolute;left:0;top:-354;width:9978;height:1018" coordorigin="0,-354" coordsize="9978,1018">
              <v:shape style="position:absolute;left:0;top:-354;width:9978;height:1018" coordorigin="0,-354" coordsize="9978,1018" path="m0,664l9978,664,9978,-354,0,-354,0,664xe" filled="true" fillcolor="#003b45" stroked="false">
                <v:path arrowok="t"/>
                <v:fill type="solid"/>
              </v:shape>
            </v:group>
            <v:group style="position:absolute;left:0;top:664;width:3385;height:958" coordorigin="0,664" coordsize="3385,958">
              <v:shape style="position:absolute;left:0;top:664;width:3385;height:958" coordorigin="0,664" coordsize="3385,958" path="m3384,664l0,664,0,1621,3384,664xe" filled="true" fillcolor="#bfd22b" stroked="false">
                <v:path arrowok="t"/>
                <v:fill type="solid"/>
              </v:shape>
            </v:group>
            <v:group style="position:absolute;left:3384;top:-354;width:6594;height:1018" coordorigin="3384,-354" coordsize="6594,1018">
              <v:shape style="position:absolute;left:3384;top:-354;width:6594;height:1018" coordorigin="3384,-354" coordsize="6594,1018" path="m6982,-354l3384,664,9978,664,9978,-354,6982,-354e" filled="true" fillcolor="#005e63" stroked="false">
                <v:path arrowok="t"/>
                <v:fill type="solid"/>
              </v:shape>
            </v:group>
            <w10:wrap type="none"/>
          </v:group>
        </w:pict>
      </w:r>
      <w:r>
        <w:rPr>
          <w:rFonts w:ascii="Swis721 Lt BT" w:hAnsi="Swis721 Lt BT" w:cs="Swis721 Lt BT" w:eastAsia="Swis721 Lt BT"/>
          <w:color w:val="FFFFFF"/>
          <w:spacing w:val="-1"/>
          <w:sz w:val="14"/>
          <w:szCs w:val="14"/>
        </w:rPr>
        <w:t>ANNUAL</w:t>
      </w:r>
      <w:r>
        <w:rPr>
          <w:rFonts w:ascii="Swis721 Lt BT" w:hAnsi="Swis721 Lt BT" w:cs="Swis721 Lt BT" w:eastAsia="Swis721 Lt BT"/>
          <w:color w:val="FFFFFF"/>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8"/>
        <w:rPr>
          <w:rFonts w:ascii="Swis721 Lt BT" w:hAnsi="Swis721 Lt BT" w:cs="Swis721 Lt BT" w:eastAsia="Swis721 Lt BT"/>
          <w:sz w:val="28"/>
          <w:szCs w:val="28"/>
        </w:rPr>
      </w:pPr>
    </w:p>
    <w:p>
      <w:pPr>
        <w:spacing w:after="0" w:line="240" w:lineRule="auto"/>
        <w:rPr>
          <w:rFonts w:ascii="Swis721 Lt BT" w:hAnsi="Swis721 Lt BT" w:cs="Swis721 Lt BT" w:eastAsia="Swis721 Lt BT"/>
          <w:sz w:val="28"/>
          <w:szCs w:val="28"/>
        </w:rPr>
        <w:sectPr>
          <w:pgSz w:w="9980" w:h="14180"/>
          <w:pgMar w:header="0" w:footer="452" w:top="0" w:bottom="640" w:left="0" w:right="0"/>
        </w:sectPr>
      </w:pPr>
    </w:p>
    <w:p>
      <w:pPr>
        <w:pStyle w:val="Heading8"/>
        <w:spacing w:line="260" w:lineRule="exact" w:before="68"/>
        <w:ind w:left="1133" w:right="0"/>
        <w:jc w:val="left"/>
      </w:pPr>
      <w:r>
        <w:rPr>
          <w:color w:val="00757A"/>
        </w:rPr>
        <w:t>National Review of </w:t>
      </w:r>
      <w:r>
        <w:rPr>
          <w:color w:val="00757A"/>
          <w:spacing w:val="-28"/>
        </w:rPr>
        <w:t>T</w:t>
      </w:r>
      <w:r>
        <w:rPr>
          <w:color w:val="00757A"/>
        </w:rPr>
        <w:t>eacher</w:t>
      </w:r>
      <w:r>
        <w:rPr>
          <w:color w:val="00757A"/>
        </w:rPr>
        <w:t> Registration</w:t>
      </w:r>
      <w:r>
        <w:rPr/>
      </w:r>
    </w:p>
    <w:p>
      <w:pPr>
        <w:pStyle w:val="BodyText"/>
        <w:spacing w:line="240" w:lineRule="auto" w:before="106"/>
        <w:ind w:left="1133" w:right="0"/>
        <w:jc w:val="left"/>
      </w:pPr>
      <w:r>
        <w:rPr>
          <w:color w:val="231F20"/>
        </w:rPr>
        <w:t>With AITSL as secretariat, the Expert </w:t>
      </w:r>
      <w:r>
        <w:rPr>
          <w:color w:val="231F20"/>
          <w:spacing w:val="-2"/>
        </w:rPr>
        <w:t>Panel</w:t>
      </w:r>
      <w:r>
        <w:rPr/>
      </w:r>
    </w:p>
    <w:p>
      <w:pPr>
        <w:spacing w:before="0"/>
        <w:ind w:left="1133" w:right="0" w:firstLine="0"/>
        <w:jc w:val="left"/>
        <w:rPr>
          <w:rFonts w:ascii="Swis721 Lt BT" w:hAnsi="Swis721 Lt BT" w:cs="Swis721 Lt BT" w:eastAsia="Swis721 Lt BT"/>
          <w:sz w:val="19"/>
          <w:szCs w:val="19"/>
        </w:rPr>
      </w:pPr>
      <w:r>
        <w:rPr>
          <w:rFonts w:ascii="Swis721 Lt BT"/>
          <w:color w:val="231F20"/>
          <w:sz w:val="19"/>
        </w:rPr>
        <w:t>for the National Review of </w:t>
      </w:r>
      <w:r>
        <w:rPr>
          <w:rFonts w:ascii="Swis721 Lt BT"/>
          <w:color w:val="231F20"/>
          <w:spacing w:val="-26"/>
          <w:sz w:val="19"/>
        </w:rPr>
        <w:t>T</w:t>
      </w:r>
      <w:r>
        <w:rPr>
          <w:rFonts w:ascii="Swis721 Lt BT"/>
          <w:color w:val="231F20"/>
          <w:sz w:val="19"/>
        </w:rPr>
        <w:t>eacher Registration</w:t>
      </w:r>
      <w:r>
        <w:rPr>
          <w:rFonts w:ascii="Swis721 Lt BT"/>
          <w:color w:val="231F20"/>
          <w:sz w:val="19"/>
        </w:rPr>
        <w:t> made 17 recommendations in its report </w:t>
      </w:r>
      <w:r>
        <w:rPr>
          <w:rFonts w:ascii="Swis721 Lt BT"/>
          <w:i/>
          <w:color w:val="231F20"/>
          <w:sz w:val="19"/>
        </w:rPr>
        <w:t>One</w:t>
      </w:r>
      <w:r>
        <w:rPr>
          <w:rFonts w:ascii="Swis721 Lt BT"/>
          <w:i/>
          <w:color w:val="231F20"/>
          <w:sz w:val="19"/>
        </w:rPr>
        <w:t> </w:t>
      </w:r>
      <w:r>
        <w:rPr>
          <w:rFonts w:ascii="Swis721 Lt BT"/>
          <w:i/>
          <w:color w:val="231F20"/>
          <w:spacing w:val="-3"/>
          <w:sz w:val="19"/>
        </w:rPr>
        <w:t>Teaching</w:t>
      </w:r>
      <w:r>
        <w:rPr>
          <w:rFonts w:ascii="Swis721 Lt BT"/>
          <w:i/>
          <w:color w:val="231F20"/>
          <w:sz w:val="19"/>
        </w:rPr>
        <w:t> Profession: </w:t>
      </w:r>
      <w:r>
        <w:rPr>
          <w:rFonts w:ascii="Swis721 Lt BT"/>
          <w:i/>
          <w:color w:val="231F20"/>
          <w:spacing w:val="-4"/>
          <w:sz w:val="19"/>
        </w:rPr>
        <w:t>Teacher</w:t>
      </w:r>
      <w:r>
        <w:rPr>
          <w:rFonts w:ascii="Swis721 Lt BT"/>
          <w:i/>
          <w:color w:val="231F20"/>
          <w:sz w:val="19"/>
        </w:rPr>
        <w:t> Registration</w:t>
      </w:r>
      <w:r>
        <w:rPr>
          <w:rFonts w:ascii="Swis721 Lt BT"/>
          <w:sz w:val="19"/>
        </w:rPr>
      </w:r>
    </w:p>
    <w:p>
      <w:pPr>
        <w:pStyle w:val="BodyText"/>
        <w:spacing w:line="240" w:lineRule="auto" w:before="0"/>
        <w:ind w:left="1133" w:right="0"/>
        <w:jc w:val="left"/>
      </w:pPr>
      <w:r>
        <w:rPr>
          <w:rFonts w:ascii="Swis721 Lt BT" w:hAnsi="Swis721 Lt BT" w:cs="Swis721 Lt BT" w:eastAsia="Swis721 Lt BT"/>
          <w:i/>
          <w:color w:val="231F20"/>
        </w:rPr>
        <w:t>in Australia</w:t>
      </w:r>
      <w:r>
        <w:rPr>
          <w:color w:val="231F20"/>
        </w:rPr>
        <w:t>. The report was considered by</w:t>
      </w:r>
      <w:r>
        <w:rPr>
          <w:color w:val="231F20"/>
        </w:rPr>
        <w:t> Education Council in September 2018, and released publicly to the profession. Three </w:t>
      </w:r>
      <w:r>
        <w:rPr>
          <w:color w:val="231F20"/>
          <w:spacing w:val="-2"/>
        </w:rPr>
        <w:t>themes</w:t>
      </w:r>
      <w:r>
        <w:rPr>
          <w:color w:val="231F20"/>
          <w:spacing w:val="-7"/>
        </w:rPr>
        <w:t> </w:t>
      </w:r>
      <w:r>
        <w:rPr>
          <w:color w:val="231F20"/>
          <w:spacing w:val="-2"/>
        </w:rPr>
        <w:t>emerged</w:t>
      </w:r>
      <w:r>
        <w:rPr>
          <w:color w:val="231F20"/>
          <w:spacing w:val="-7"/>
        </w:rPr>
        <w:t> </w:t>
      </w:r>
      <w:r>
        <w:rPr>
          <w:color w:val="231F20"/>
          <w:spacing w:val="-2"/>
        </w:rPr>
        <w:t>from</w:t>
      </w:r>
      <w:r>
        <w:rPr>
          <w:color w:val="231F20"/>
          <w:spacing w:val="-7"/>
        </w:rPr>
        <w:t> </w:t>
      </w:r>
      <w:r>
        <w:rPr>
          <w:color w:val="231F20"/>
          <w:spacing w:val="-2"/>
        </w:rPr>
        <w:t>the</w:t>
      </w:r>
      <w:r>
        <w:rPr>
          <w:color w:val="231F20"/>
          <w:spacing w:val="-7"/>
        </w:rPr>
        <w:t> </w:t>
      </w:r>
      <w:r>
        <w:rPr>
          <w:color w:val="231F20"/>
          <w:spacing w:val="-1"/>
        </w:rPr>
        <w:t>17</w:t>
      </w:r>
      <w:r>
        <w:rPr>
          <w:color w:val="231F20"/>
          <w:spacing w:val="-7"/>
        </w:rPr>
        <w:t> </w:t>
      </w:r>
      <w:r>
        <w:rPr>
          <w:color w:val="231F20"/>
          <w:spacing w:val="-2"/>
        </w:rPr>
        <w:t>recommendations</w:t>
      </w:r>
      <w:r>
        <w:rPr>
          <w:color w:val="231F20"/>
          <w:spacing w:val="27"/>
        </w:rPr>
        <w:t> </w:t>
      </w:r>
      <w:r>
        <w:rPr>
          <w:color w:val="231F20"/>
        </w:rPr>
        <w:t>in the report: strengthening children’s </w:t>
      </w:r>
      <w:r>
        <w:rPr>
          <w:color w:val="231F20"/>
          <w:spacing w:val="-3"/>
        </w:rPr>
        <w:t>safety,</w:t>
      </w:r>
      <w:r>
        <w:rPr>
          <w:color w:val="231F20"/>
          <w:spacing w:val="26"/>
        </w:rPr>
        <w:t> </w:t>
      </w:r>
      <w:r>
        <w:rPr>
          <w:color w:val="231F20"/>
        </w:rPr>
        <w:t>improving and reinforcing teacher </w:t>
      </w:r>
      <w:r>
        <w:rPr>
          <w:color w:val="231F20"/>
          <w:spacing w:val="-2"/>
        </w:rPr>
        <w:t>quality,</w:t>
      </w:r>
      <w:r>
        <w:rPr>
          <w:color w:val="231F20"/>
        </w:rPr>
        <w:t> and</w:t>
      </w:r>
      <w:r>
        <w:rPr>
          <w:color w:val="231F20"/>
          <w:spacing w:val="21"/>
        </w:rPr>
        <w:t> </w:t>
      </w:r>
      <w:r>
        <w:rPr>
          <w:color w:val="231F20"/>
        </w:rPr>
        <w:t>streamlining teacher registration processes.</w:t>
      </w:r>
      <w:r>
        <w:rPr/>
      </w:r>
    </w:p>
    <w:p>
      <w:pPr>
        <w:pStyle w:val="BodyText"/>
        <w:spacing w:line="240" w:lineRule="auto"/>
        <w:ind w:left="1133" w:right="41"/>
        <w:jc w:val="left"/>
      </w:pPr>
      <w:r>
        <w:rPr>
          <w:color w:val="231F20"/>
          <w:spacing w:val="-2"/>
        </w:rPr>
        <w:t>Education</w:t>
      </w:r>
      <w:r>
        <w:rPr>
          <w:color w:val="231F20"/>
          <w:spacing w:val="-4"/>
        </w:rPr>
        <w:t> </w:t>
      </w:r>
      <w:r>
        <w:rPr>
          <w:color w:val="231F20"/>
          <w:spacing w:val="-2"/>
        </w:rPr>
        <w:t>Council</w:t>
      </w:r>
      <w:r>
        <w:rPr>
          <w:color w:val="231F20"/>
          <w:spacing w:val="-4"/>
        </w:rPr>
        <w:t> </w:t>
      </w:r>
      <w:r>
        <w:rPr>
          <w:color w:val="231F20"/>
          <w:spacing w:val="-2"/>
        </w:rPr>
        <w:t>noted</w:t>
      </w:r>
      <w:r>
        <w:rPr>
          <w:color w:val="231F20"/>
          <w:spacing w:val="-4"/>
        </w:rPr>
        <w:t> </w:t>
      </w:r>
      <w:r>
        <w:rPr>
          <w:color w:val="231F20"/>
          <w:spacing w:val="-2"/>
        </w:rPr>
        <w:t>the</w:t>
      </w:r>
      <w:r>
        <w:rPr>
          <w:color w:val="231F20"/>
          <w:spacing w:val="-4"/>
        </w:rPr>
        <w:t> </w:t>
      </w:r>
      <w:r>
        <w:rPr>
          <w:color w:val="231F20"/>
          <w:spacing w:val="-2"/>
        </w:rPr>
        <w:t>recommendations</w:t>
      </w:r>
      <w:r>
        <w:rPr>
          <w:color w:val="231F20"/>
          <w:spacing w:val="27"/>
        </w:rPr>
        <w:t> </w:t>
      </w:r>
      <w:r>
        <w:rPr>
          <w:color w:val="231F20"/>
        </w:rPr>
        <w:t>and directed AITSL to work with jurisdictions</w:t>
      </w:r>
      <w:r>
        <w:rPr>
          <w:color w:val="231F20"/>
        </w:rPr>
        <w:t> to develop an implementation </w:t>
      </w:r>
      <w:r>
        <w:rPr>
          <w:color w:val="231F20"/>
          <w:spacing w:val="-2"/>
        </w:rPr>
        <w:t>strategy.</w:t>
      </w:r>
      <w:r>
        <w:rPr>
          <w:color w:val="231F20"/>
        </w:rPr>
        <w:t> AITSL</w:t>
      </w:r>
      <w:r>
        <w:rPr>
          <w:color w:val="231F20"/>
          <w:spacing w:val="23"/>
        </w:rPr>
        <w:t> </w:t>
      </w:r>
      <w:r>
        <w:rPr>
          <w:color w:val="231F20"/>
        </w:rPr>
        <w:t>is progressing this work with all jurisdictions,</w:t>
      </w:r>
      <w:r>
        <w:rPr>
          <w:color w:val="231F20"/>
        </w:rPr>
        <w:t> with priority given to enabling the child safety recommendations.</w:t>
      </w:r>
      <w:r>
        <w:rPr/>
      </w:r>
    </w:p>
    <w:p>
      <w:pPr>
        <w:pStyle w:val="BodyText"/>
        <w:spacing w:line="240" w:lineRule="auto"/>
        <w:ind w:left="1133" w:right="449"/>
        <w:jc w:val="left"/>
      </w:pPr>
      <w:r>
        <w:rPr>
          <w:color w:val="231F20"/>
        </w:rPr>
        <w:t>AITSL will present a more detailed plan for implementing all the Expert </w:t>
      </w:r>
      <w:r>
        <w:rPr>
          <w:color w:val="231F20"/>
          <w:spacing w:val="-1"/>
        </w:rPr>
        <w:t>Panel’s</w:t>
      </w:r>
      <w:r>
        <w:rPr/>
      </w:r>
    </w:p>
    <w:p>
      <w:pPr>
        <w:pStyle w:val="BodyText"/>
        <w:spacing w:line="240" w:lineRule="auto" w:before="0"/>
        <w:ind w:left="1133" w:right="235"/>
        <w:jc w:val="left"/>
      </w:pPr>
      <w:r>
        <w:rPr>
          <w:color w:val="231F20"/>
        </w:rPr>
        <w:t>recommendations to all Education Ministers in late 2019.</w:t>
      </w:r>
      <w:r>
        <w:rPr/>
      </w:r>
    </w:p>
    <w:p>
      <w:pPr>
        <w:pStyle w:val="Heading8"/>
        <w:spacing w:line="260" w:lineRule="exact" w:before="68"/>
        <w:ind w:left="302" w:right="995"/>
        <w:jc w:val="left"/>
      </w:pPr>
      <w:r>
        <w:rPr/>
        <w:br w:type="column"/>
      </w:r>
      <w:r>
        <w:rPr>
          <w:color w:val="00757A"/>
        </w:rPr>
        <w:t>Improving the cultural competency</w:t>
      </w:r>
      <w:r>
        <w:rPr>
          <w:color w:val="00757A"/>
        </w:rPr>
        <w:t> of teachers and school leaders</w:t>
      </w:r>
      <w:r>
        <w:rPr/>
      </w:r>
    </w:p>
    <w:p>
      <w:pPr>
        <w:pStyle w:val="BodyText"/>
        <w:spacing w:line="240" w:lineRule="auto" w:before="106"/>
        <w:ind w:left="302" w:right="673"/>
        <w:jc w:val="left"/>
      </w:pPr>
      <w:r>
        <w:rPr>
          <w:color w:val="231F20"/>
        </w:rPr>
        <w:t>AITSL recently appointed a Senior </w:t>
      </w:r>
      <w:r>
        <w:rPr>
          <w:color w:val="231F20"/>
          <w:spacing w:val="-3"/>
        </w:rPr>
        <w:t>Advisor,</w:t>
      </w:r>
      <w:r>
        <w:rPr>
          <w:color w:val="231F20"/>
          <w:spacing w:val="26"/>
        </w:rPr>
        <w:t> </w:t>
      </w:r>
      <w:r>
        <w:rPr>
          <w:color w:val="231F20"/>
        </w:rPr>
        <w:t>Aboriginal and </w:t>
      </w:r>
      <w:r>
        <w:rPr>
          <w:color w:val="231F20"/>
          <w:spacing w:val="-26"/>
        </w:rPr>
        <w:t>T</w:t>
      </w:r>
      <w:r>
        <w:rPr>
          <w:color w:val="231F20"/>
        </w:rPr>
        <w:t>orres Strait Islander Education</w:t>
      </w:r>
      <w:r>
        <w:rPr>
          <w:color w:val="231F20"/>
        </w:rPr>
        <w:t> and established the Advisory Group for Aboriginal and </w:t>
      </w:r>
      <w:r>
        <w:rPr>
          <w:color w:val="231F20"/>
          <w:spacing w:val="-26"/>
        </w:rPr>
        <w:t>T</w:t>
      </w:r>
      <w:r>
        <w:rPr>
          <w:color w:val="231F20"/>
        </w:rPr>
        <w:t>orres Strait Islander Education</w:t>
      </w:r>
      <w:r>
        <w:rPr>
          <w:color w:val="231F20"/>
        </w:rPr>
        <w:t> </w:t>
      </w:r>
      <w:r>
        <w:rPr>
          <w:color w:val="231F20"/>
          <w:spacing w:val="-1"/>
        </w:rPr>
        <w:t>(AGATSIE)</w:t>
      </w:r>
      <w:r>
        <w:rPr>
          <w:color w:val="231F20"/>
        </w:rPr>
        <w:t> to explore existing programs</w:t>
      </w:r>
      <w:r>
        <w:rPr/>
      </w:r>
    </w:p>
    <w:p>
      <w:pPr>
        <w:pStyle w:val="BodyText"/>
        <w:spacing w:line="240" w:lineRule="auto" w:before="0"/>
        <w:ind w:left="302" w:right="995"/>
        <w:jc w:val="left"/>
      </w:pPr>
      <w:r>
        <w:rPr>
          <w:color w:val="231F20"/>
        </w:rPr>
        <w:t>and best practice across jurisdictions. The </w:t>
      </w:r>
      <w:r>
        <w:rPr>
          <w:color w:val="231F20"/>
          <w:spacing w:val="-2"/>
        </w:rPr>
        <w:t>AGATSIE</w:t>
      </w:r>
      <w:r>
        <w:rPr>
          <w:color w:val="231F20"/>
          <w:spacing w:val="-1"/>
        </w:rPr>
        <w:t> </w:t>
      </w:r>
      <w:r>
        <w:rPr>
          <w:color w:val="231F20"/>
        </w:rPr>
        <w:t>met twice</w:t>
      </w:r>
      <w:r>
        <w:rPr>
          <w:color w:val="231F20"/>
          <w:spacing w:val="-1"/>
        </w:rPr>
        <w:t> </w:t>
      </w:r>
      <w:r>
        <w:rPr>
          <w:color w:val="231F20"/>
        </w:rPr>
        <w:t>— first</w:t>
      </w:r>
      <w:r>
        <w:rPr>
          <w:color w:val="231F20"/>
          <w:spacing w:val="-1"/>
        </w:rPr>
        <w:t> </w:t>
      </w:r>
      <w:r>
        <w:rPr>
          <w:color w:val="231F20"/>
        </w:rPr>
        <w:t>in Melbourne,</w:t>
      </w:r>
      <w:r>
        <w:rPr>
          <w:color w:val="231F20"/>
          <w:spacing w:val="26"/>
        </w:rPr>
        <w:t> </w:t>
      </w:r>
      <w:r>
        <w:rPr>
          <w:color w:val="231F20"/>
        </w:rPr>
        <w:t>Victoria and then in Cabbage </w:t>
      </w:r>
      <w:r>
        <w:rPr>
          <w:color w:val="231F20"/>
          <w:spacing w:val="-5"/>
        </w:rPr>
        <w:t>Tree</w:t>
      </w:r>
      <w:r>
        <w:rPr>
          <w:color w:val="231F20"/>
        </w:rPr>
        <w:t> Island,</w:t>
      </w:r>
      <w:r>
        <w:rPr>
          <w:color w:val="231F20"/>
          <w:spacing w:val="21"/>
        </w:rPr>
        <w:t> </w:t>
      </w:r>
      <w:r>
        <w:rPr>
          <w:color w:val="231F20"/>
        </w:rPr>
        <w:t>New South </w:t>
      </w:r>
      <w:r>
        <w:rPr>
          <w:color w:val="231F20"/>
          <w:spacing w:val="-1"/>
        </w:rPr>
        <w:t>Wales.</w:t>
      </w:r>
      <w:r>
        <w:rPr/>
      </w:r>
    </w:p>
    <w:p>
      <w:pPr>
        <w:pStyle w:val="BodyText"/>
        <w:spacing w:line="240" w:lineRule="auto"/>
        <w:ind w:left="302" w:right="951"/>
        <w:jc w:val="left"/>
      </w:pPr>
      <w:r>
        <w:rPr>
          <w:color w:val="231F20"/>
        </w:rPr>
        <w:t>Alongside these external consultations, AITSL has begun its foundational work to develop its own cultural competency with a number</w:t>
      </w:r>
      <w:r>
        <w:rPr/>
      </w:r>
    </w:p>
    <w:p>
      <w:pPr>
        <w:pStyle w:val="BodyText"/>
        <w:spacing w:line="240" w:lineRule="auto" w:before="0"/>
        <w:ind w:left="302" w:right="1215"/>
        <w:jc w:val="left"/>
      </w:pPr>
      <w:r>
        <w:rPr>
          <w:color w:val="231F20"/>
        </w:rPr>
        <w:t>of staff engaging in professional learning. It is this foundational work that will support AITSL’s engagement with Indigenous and</w:t>
      </w:r>
      <w:r>
        <w:rPr/>
      </w:r>
    </w:p>
    <w:p>
      <w:pPr>
        <w:pStyle w:val="BodyText"/>
        <w:spacing w:line="240" w:lineRule="auto" w:before="0"/>
        <w:ind w:left="302" w:right="995"/>
        <w:jc w:val="left"/>
      </w:pPr>
      <w:r>
        <w:rPr>
          <w:color w:val="231F20"/>
        </w:rPr>
        <w:t>non-Indigenous communities to map out the company’s work program.</w:t>
      </w:r>
      <w:r>
        <w:rPr/>
      </w:r>
    </w:p>
    <w:p>
      <w:pPr>
        <w:spacing w:after="0" w:line="240" w:lineRule="auto"/>
        <w:jc w:val="left"/>
        <w:sectPr>
          <w:type w:val="continuous"/>
          <w:pgSz w:w="9980" w:h="14180"/>
          <w:pgMar w:top="0" w:bottom="280" w:left="0" w:right="0"/>
          <w:cols w:num="2" w:equalWidth="0">
            <w:col w:w="4959" w:space="40"/>
            <w:col w:w="4981"/>
          </w:cols>
        </w:sect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4"/>
        <w:rPr>
          <w:rFonts w:ascii="Swis721 Lt BT" w:hAnsi="Swis721 Lt BT" w:cs="Swis721 Lt BT" w:eastAsia="Swis721 Lt BT"/>
          <w:sz w:val="17"/>
          <w:szCs w:val="17"/>
        </w:rPr>
      </w:pPr>
    </w:p>
    <w:p>
      <w:pPr>
        <w:spacing w:line="200" w:lineRule="atLeast"/>
        <w:ind w:left="1824"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365.2pt;height:203.25pt;mso-position-horizontal-relative:char;mso-position-vertical-relative:line" coordorigin="0,0" coordsize="7304,4065">
            <v:group style="position:absolute;left:0;top:0;width:7304;height:4065" coordorigin="0,0" coordsize="7304,4065">
              <v:shape style="position:absolute;left:0;top:0;width:7304;height:4065" coordorigin="0,0" coordsize="7304,4065" path="m0,4065l7303,4065,7303,0,0,0,0,4065xe" filled="true" fillcolor="#e1f4fd" stroked="false">
                <v:path arrowok="t"/>
                <v:fill type="solid"/>
              </v:shape>
              <v:shape style="position:absolute;left:0;top:0;width:7303;height:4065" type="#_x0000_t75" stroked="false">
                <v:imagedata r:id="rId43" o:title=""/>
              </v:shape>
            </v:group>
          </v:group>
        </w:pict>
      </w:r>
      <w:r>
        <w:rPr>
          <w:rFonts w:ascii="Swis721 Lt BT" w:hAnsi="Swis721 Lt BT" w:cs="Swis721 Lt BT" w:eastAsia="Swis721 Lt BT"/>
          <w:sz w:val="20"/>
          <w:szCs w:val="20"/>
        </w:rPr>
      </w:r>
    </w:p>
    <w:p>
      <w:pPr>
        <w:spacing w:after="0" w:line="200" w:lineRule="atLeast"/>
        <w:rPr>
          <w:rFonts w:ascii="Swis721 Lt BT" w:hAnsi="Swis721 Lt BT" w:cs="Swis721 Lt BT" w:eastAsia="Swis721 Lt BT"/>
          <w:sz w:val="20"/>
          <w:szCs w:val="20"/>
        </w:rPr>
        <w:sectPr>
          <w:type w:val="continuous"/>
          <w:pgSz w:w="9980" w:h="14180"/>
          <w:pgMar w:top="0" w:bottom="280" w:left="0" w:right="0"/>
        </w:sectPr>
      </w:pPr>
    </w:p>
    <w:p>
      <w:pPr>
        <w:spacing w:before="48"/>
        <w:ind w:left="110" w:right="0" w:firstLine="0"/>
        <w:jc w:val="left"/>
        <w:rPr>
          <w:rFonts w:ascii="Swis721 Lt BT" w:hAnsi="Swis721 Lt BT" w:cs="Swis721 Lt BT" w:eastAsia="Swis721 Lt BT"/>
          <w:sz w:val="16"/>
          <w:szCs w:val="16"/>
        </w:rPr>
      </w:pPr>
      <w:r>
        <w:rPr>
          <w:rFonts w:ascii="Swis721 BT"/>
          <w:b/>
          <w:color w:val="00757A"/>
          <w:sz w:val="16"/>
        </w:rPr>
        <w:t>TEACHING AND SCHOOL LEADERSHIP IN </w:t>
      </w:r>
      <w:r>
        <w:rPr>
          <w:rFonts w:ascii="Swis721 BT"/>
          <w:b/>
          <w:color w:val="00757A"/>
          <w:spacing w:val="-1"/>
          <w:sz w:val="16"/>
        </w:rPr>
        <w:t>AUSTRALIA</w:t>
      </w:r>
      <w:r>
        <w:rPr>
          <w:rFonts w:ascii="Swis721 BT"/>
          <w:b/>
          <w:color w:val="00757A"/>
          <w:sz w:val="16"/>
        </w:rPr>
        <w:t> </w:t>
      </w:r>
      <w:r>
        <w:rPr>
          <w:rFonts w:ascii="Swis721 Lt BT"/>
          <w:color w:val="00757A"/>
          <w:sz w:val="16"/>
        </w:rPr>
        <w:t>CONTINUED</w:t>
      </w:r>
      <w:r>
        <w:rPr>
          <w:rFonts w:ascii="Swis721 Lt BT"/>
          <w:sz w:val="16"/>
        </w:rPr>
      </w:r>
    </w:p>
    <w:p>
      <w:pPr>
        <w:spacing w:line="240" w:lineRule="auto" w:before="0"/>
        <w:rPr>
          <w:rFonts w:ascii="Swis721 Lt BT" w:hAnsi="Swis721 Lt BT" w:cs="Swis721 Lt BT" w:eastAsia="Swis721 Lt BT"/>
          <w:sz w:val="20"/>
          <w:szCs w:val="20"/>
        </w:rPr>
      </w:pPr>
    </w:p>
    <w:p>
      <w:pPr>
        <w:spacing w:line="240" w:lineRule="auto" w:before="8"/>
        <w:rPr>
          <w:rFonts w:ascii="Swis721 Lt BT" w:hAnsi="Swis721 Lt BT" w:cs="Swis721 Lt BT" w:eastAsia="Swis721 Lt BT"/>
          <w:sz w:val="25"/>
          <w:szCs w:val="25"/>
        </w:rPr>
      </w:pPr>
    </w:p>
    <w:p>
      <w:pPr>
        <w:spacing w:after="0" w:line="240" w:lineRule="auto"/>
        <w:rPr>
          <w:rFonts w:ascii="Swis721 Lt BT" w:hAnsi="Swis721 Lt BT" w:cs="Swis721 Lt BT" w:eastAsia="Swis721 Lt BT"/>
          <w:sz w:val="25"/>
          <w:szCs w:val="25"/>
        </w:rPr>
        <w:sectPr>
          <w:pgSz w:w="9980" w:h="14180"/>
          <w:pgMar w:header="0" w:footer="452" w:top="800" w:bottom="640" w:left="740" w:right="1040"/>
        </w:sectPr>
      </w:pPr>
    </w:p>
    <w:p>
      <w:pPr>
        <w:pStyle w:val="Heading8"/>
        <w:spacing w:line="260" w:lineRule="exact" w:before="68"/>
        <w:ind w:right="0"/>
        <w:jc w:val="left"/>
      </w:pPr>
      <w:r>
        <w:rPr>
          <w:color w:val="00757A"/>
        </w:rPr>
        <w:t>Learning progressions and online formative assessment</w:t>
      </w:r>
      <w:r>
        <w:rPr/>
      </w:r>
    </w:p>
    <w:p>
      <w:pPr>
        <w:pStyle w:val="BodyText"/>
        <w:spacing w:line="240" w:lineRule="auto" w:before="106"/>
        <w:ind w:right="0"/>
        <w:jc w:val="left"/>
      </w:pPr>
      <w:r>
        <w:rPr>
          <w:color w:val="231F20"/>
        </w:rPr>
        <w:t>Education ministers agree that learning progressions and online formative assessment should be a national priority for education.</w:t>
      </w:r>
      <w:r>
        <w:rPr/>
      </w:r>
    </w:p>
    <w:p>
      <w:pPr>
        <w:pStyle w:val="BodyText"/>
        <w:spacing w:line="240" w:lineRule="auto" w:before="0"/>
        <w:ind w:right="0"/>
        <w:jc w:val="left"/>
      </w:pPr>
      <w:r>
        <w:rPr>
          <w:color w:val="231F20"/>
        </w:rPr>
        <w:t>AITSL is collaborating with the Australian Curriculum, Assessment and Reporting Authority (ACARA) and Education Services Australia (ESA) to carry out the initial discovery phase of the national learning progressions and online formative assessment initiative</w:t>
      </w:r>
      <w:r>
        <w:rPr/>
      </w:r>
    </w:p>
    <w:p>
      <w:pPr>
        <w:pStyle w:val="BodyText"/>
        <w:spacing w:line="240" w:lineRule="auto" w:before="0"/>
        <w:ind w:right="0"/>
        <w:jc w:val="left"/>
      </w:pPr>
      <w:r>
        <w:rPr>
          <w:color w:val="231F20"/>
        </w:rPr>
        <w:t>in 2019.</w:t>
      </w:r>
      <w:r>
        <w:rPr/>
      </w:r>
    </w:p>
    <w:p>
      <w:pPr>
        <w:pStyle w:val="BodyText"/>
        <w:spacing w:line="240" w:lineRule="auto"/>
        <w:ind w:right="177"/>
        <w:jc w:val="left"/>
      </w:pPr>
      <w:r>
        <w:rPr>
          <w:color w:val="231F20"/>
        </w:rPr>
        <w:t>The discovery phase has three main focuses: learning progressions and aligned assessments, engagement with teachers to</w:t>
      </w:r>
      <w:r>
        <w:rPr/>
      </w:r>
    </w:p>
    <w:p>
      <w:pPr>
        <w:pStyle w:val="BodyText"/>
        <w:spacing w:line="240" w:lineRule="auto" w:before="0"/>
        <w:ind w:right="0"/>
        <w:jc w:val="left"/>
      </w:pPr>
      <w:r>
        <w:rPr>
          <w:color w:val="231F20"/>
        </w:rPr>
        <w:t>understand what they need and how they want to be able to work, and research into effective practices.</w:t>
      </w:r>
      <w:r>
        <w:rPr/>
      </w:r>
    </w:p>
    <w:p>
      <w:pPr>
        <w:pStyle w:val="BodyText"/>
        <w:spacing w:line="240" w:lineRule="auto"/>
        <w:ind w:right="370"/>
        <w:jc w:val="left"/>
      </w:pPr>
      <w:r>
        <w:rPr>
          <w:color w:val="231F20"/>
        </w:rPr>
        <w:t>A </w:t>
      </w:r>
      <w:r>
        <w:rPr>
          <w:color w:val="231F20"/>
          <w:spacing w:val="-1"/>
        </w:rPr>
        <w:t>user-centred</w:t>
      </w:r>
      <w:r>
        <w:rPr>
          <w:color w:val="231F20"/>
        </w:rPr>
        <w:t> design approach will</w:t>
      </w:r>
      <w:r>
        <w:rPr>
          <w:color w:val="231F20"/>
          <w:spacing w:val="21"/>
        </w:rPr>
        <w:t> </w:t>
      </w:r>
      <w:r>
        <w:rPr>
          <w:color w:val="231F20"/>
        </w:rPr>
        <w:t>investigate the needs and capabilities of</w:t>
      </w:r>
      <w:r>
        <w:rPr>
          <w:color w:val="231F20"/>
        </w:rPr>
        <w:t> teachers and students. </w:t>
      </w:r>
      <w:r>
        <w:rPr>
          <w:color w:val="231F20"/>
          <w:spacing w:val="-1"/>
        </w:rPr>
        <w:t>Future</w:t>
      </w:r>
      <w:r>
        <w:rPr>
          <w:color w:val="231F20"/>
        </w:rPr>
        <w:t> work will be</w:t>
      </w:r>
      <w:r>
        <w:rPr>
          <w:color w:val="231F20"/>
          <w:spacing w:val="21"/>
        </w:rPr>
        <w:t> </w:t>
      </w:r>
      <w:r>
        <w:rPr>
          <w:color w:val="231F20"/>
        </w:rPr>
        <w:t>co-designed with teachers to provide</w:t>
      </w:r>
      <w:r>
        <w:rPr/>
      </w:r>
    </w:p>
    <w:p>
      <w:pPr>
        <w:pStyle w:val="BodyText"/>
        <w:spacing w:line="240" w:lineRule="auto" w:before="0"/>
        <w:ind w:right="0"/>
        <w:jc w:val="left"/>
      </w:pPr>
      <w:r>
        <w:rPr>
          <w:color w:val="231F20"/>
        </w:rPr>
        <w:t>on-demand resources and wraparound support to help them optimise the learning growth and attainment of their students.</w:t>
      </w:r>
      <w:r>
        <w:rPr/>
      </w:r>
    </w:p>
    <w:p>
      <w:pPr>
        <w:spacing w:line="240" w:lineRule="auto" w:before="0"/>
        <w:rPr>
          <w:rFonts w:ascii="Swis721 Lt BT" w:hAnsi="Swis721 Lt BT" w:cs="Swis721 Lt BT" w:eastAsia="Swis721 Lt BT"/>
          <w:sz w:val="18"/>
          <w:szCs w:val="18"/>
        </w:rPr>
      </w:pPr>
    </w:p>
    <w:p>
      <w:pPr>
        <w:pStyle w:val="Heading8"/>
        <w:spacing w:line="240" w:lineRule="auto"/>
        <w:ind w:right="0"/>
        <w:jc w:val="left"/>
      </w:pPr>
      <w:r>
        <w:rPr>
          <w:color w:val="00757A"/>
          <w:spacing w:val="-1"/>
        </w:rPr>
        <w:t>Further</w:t>
      </w:r>
      <w:r>
        <w:rPr>
          <w:color w:val="00757A"/>
        </w:rPr>
        <w:t> activity</w:t>
      </w:r>
      <w:r>
        <w:rPr/>
      </w:r>
    </w:p>
    <w:p>
      <w:pPr>
        <w:pStyle w:val="BodyText"/>
        <w:spacing w:line="240" w:lineRule="auto" w:before="106"/>
        <w:ind w:right="0"/>
        <w:jc w:val="left"/>
      </w:pPr>
      <w:r>
        <w:rPr>
          <w:color w:val="231F20"/>
        </w:rPr>
        <w:t>AITSL continues to maintain and develop interactive tools and resources used by teachers and leaders across Australia, including:</w:t>
      </w:r>
      <w:r>
        <w:rPr/>
      </w:r>
    </w:p>
    <w:p>
      <w:pPr>
        <w:pStyle w:val="BodyText"/>
        <w:spacing w:line="240" w:lineRule="auto"/>
        <w:ind w:left="337" w:right="0" w:hanging="227"/>
        <w:jc w:val="left"/>
      </w:pPr>
      <w:r>
        <w:rPr>
          <w:rFonts w:ascii="Arial" w:hAnsi="Arial" w:cs="Arial" w:eastAsia="Arial"/>
          <w:color w:val="00757A"/>
        </w:rPr>
        <w:t>ϐ </w:t>
      </w:r>
      <w:r>
        <w:rPr>
          <w:rFonts w:ascii="Arial" w:hAnsi="Arial" w:cs="Arial" w:eastAsia="Arial"/>
          <w:color w:val="00757A"/>
          <w:spacing w:val="8"/>
        </w:rPr>
        <w:t> </w:t>
      </w:r>
      <w:r>
        <w:rPr>
          <w:color w:val="231F20"/>
        </w:rPr>
        <w:t>enhancements to</w:t>
      </w:r>
      <w:r>
        <w:rPr>
          <w:color w:val="231F20"/>
          <w:spacing w:val="1"/>
        </w:rPr>
        <w:t> </w:t>
      </w:r>
      <w:r>
        <w:rPr>
          <w:color w:val="231F20"/>
        </w:rPr>
        <w:t>the</w:t>
      </w:r>
      <w:r>
        <w:rPr>
          <w:color w:val="231F20"/>
          <w:spacing w:val="1"/>
        </w:rPr>
        <w:t> </w:t>
      </w:r>
      <w:r>
        <w:rPr>
          <w:color w:val="231F20"/>
        </w:rPr>
        <w:t>My Induction</w:t>
      </w:r>
      <w:r>
        <w:rPr>
          <w:color w:val="231F20"/>
          <w:spacing w:val="1"/>
        </w:rPr>
        <w:t> </w:t>
      </w:r>
      <w:r>
        <w:rPr>
          <w:color w:val="231F20"/>
        </w:rPr>
        <w:t>app,</w:t>
      </w:r>
      <w:r>
        <w:rPr>
          <w:color w:val="231F20"/>
        </w:rPr>
        <w:t> including support for mentoring. The My Induction mobile app was downloaded by over 5,000 users in 2018–19, bringing the total to over 10,000</w:t>
      </w:r>
      <w:r>
        <w:rPr/>
      </w:r>
    </w:p>
    <w:p>
      <w:pPr>
        <w:pStyle w:val="BodyText"/>
        <w:spacing w:line="240" w:lineRule="auto"/>
        <w:ind w:left="337" w:right="365" w:hanging="227"/>
        <w:jc w:val="both"/>
      </w:pPr>
      <w:r>
        <w:rPr>
          <w:rFonts w:ascii="Arial" w:hAnsi="Arial"/>
          <w:color w:val="00757A"/>
        </w:rPr>
        <w:t>ϐ</w:t>
      </w:r>
      <w:r>
        <w:rPr>
          <w:rFonts w:ascii="Arial" w:hAnsi="Arial"/>
          <w:color w:val="00757A"/>
          <w:spacing w:val="8"/>
        </w:rPr>
        <w:t> </w:t>
      </w:r>
      <w:r>
        <w:rPr>
          <w:color w:val="231F20"/>
        </w:rPr>
        <w:t>refreshing the</w:t>
      </w:r>
      <w:r>
        <w:rPr>
          <w:color w:val="231F20"/>
          <w:spacing w:val="1"/>
        </w:rPr>
        <w:t> </w:t>
      </w:r>
      <w:r>
        <w:rPr>
          <w:color w:val="231F20"/>
        </w:rPr>
        <w:t>Illustrations</w:t>
      </w:r>
      <w:r>
        <w:rPr>
          <w:color w:val="231F20"/>
          <w:spacing w:val="1"/>
        </w:rPr>
        <w:t> </w:t>
      </w:r>
      <w:r>
        <w:rPr>
          <w:color w:val="231F20"/>
        </w:rPr>
        <w:t>of Practice</w:t>
      </w:r>
      <w:r>
        <w:rPr>
          <w:color w:val="231F20"/>
          <w:spacing w:val="1"/>
        </w:rPr>
        <w:t> </w:t>
      </w:r>
      <w:r>
        <w:rPr>
          <w:color w:val="231F20"/>
        </w:rPr>
        <w:t>to</w:t>
      </w:r>
      <w:r>
        <w:rPr>
          <w:color w:val="231F20"/>
        </w:rPr>
        <w:t> include further resources to support the development of cultural </w:t>
      </w:r>
      <w:r>
        <w:rPr>
          <w:color w:val="231F20"/>
          <w:spacing w:val="-2"/>
        </w:rPr>
        <w:t>competency.</w:t>
      </w:r>
      <w:r>
        <w:rPr/>
      </w:r>
    </w:p>
    <w:p>
      <w:pPr>
        <w:pStyle w:val="BodyText"/>
        <w:spacing w:line="240" w:lineRule="auto" w:before="0"/>
        <w:ind w:left="337" w:right="0"/>
        <w:jc w:val="left"/>
      </w:pPr>
      <w:r>
        <w:rPr>
          <w:color w:val="231F20"/>
        </w:rPr>
        <w:t>Illustrations were viewed over 500,000 times in 2018–19</w:t>
      </w:r>
      <w:r>
        <w:rPr/>
      </w:r>
    </w:p>
    <w:p>
      <w:pPr>
        <w:pStyle w:val="BodyText"/>
        <w:spacing w:line="240" w:lineRule="auto"/>
        <w:ind w:left="337" w:right="33" w:hanging="227"/>
        <w:jc w:val="left"/>
      </w:pPr>
      <w:r>
        <w:rPr>
          <w:rFonts w:ascii="Arial" w:hAnsi="Arial"/>
          <w:color w:val="00757A"/>
        </w:rPr>
        <w:t>ϐ </w:t>
      </w:r>
      <w:r>
        <w:rPr>
          <w:rFonts w:ascii="Arial" w:hAnsi="Arial"/>
          <w:color w:val="00757A"/>
          <w:spacing w:val="8"/>
        </w:rPr>
        <w:t> </w:t>
      </w:r>
      <w:r>
        <w:rPr>
          <w:color w:val="231F20"/>
        </w:rPr>
        <w:t>maintaining</w:t>
      </w:r>
      <w:r>
        <w:rPr>
          <w:color w:val="231F20"/>
          <w:spacing w:val="1"/>
        </w:rPr>
        <w:t> </w:t>
      </w:r>
      <w:r>
        <w:rPr>
          <w:color w:val="231F20"/>
        </w:rPr>
        <w:t>the</w:t>
      </w:r>
      <w:r>
        <w:rPr>
          <w:color w:val="231F20"/>
          <w:spacing w:val="1"/>
        </w:rPr>
        <w:t> </w:t>
      </w:r>
      <w:r>
        <w:rPr>
          <w:color w:val="231F20"/>
          <w:spacing w:val="-26"/>
        </w:rPr>
        <w:t>T</w:t>
      </w:r>
      <w:r>
        <w:rPr>
          <w:color w:val="231F20"/>
        </w:rPr>
        <w:t>eacher</w:t>
      </w:r>
      <w:r>
        <w:rPr>
          <w:color w:val="231F20"/>
          <w:spacing w:val="1"/>
        </w:rPr>
        <w:t> </w:t>
      </w:r>
      <w:r>
        <w:rPr>
          <w:color w:val="231F20"/>
        </w:rPr>
        <w:t>Sel</w:t>
      </w:r>
      <w:r>
        <w:rPr>
          <w:color w:val="231F20"/>
          <w:spacing w:val="-4"/>
        </w:rPr>
        <w:t>f</w:t>
      </w:r>
      <w:r>
        <w:rPr>
          <w:color w:val="231F20"/>
        </w:rPr>
        <w:t>-Assessment</w:t>
      </w:r>
      <w:r>
        <w:rPr>
          <w:color w:val="231F20"/>
        </w:rPr>
        <w:t> </w:t>
      </w:r>
      <w:r>
        <w:rPr>
          <w:color w:val="231F20"/>
          <w:spacing w:val="-6"/>
        </w:rPr>
        <w:t>Tool,</w:t>
      </w:r>
      <w:r>
        <w:rPr>
          <w:color w:val="231F20"/>
        </w:rPr>
        <w:t> which was used by more than 26,000</w:t>
      </w:r>
      <w:r>
        <w:rPr>
          <w:color w:val="231F20"/>
          <w:spacing w:val="24"/>
        </w:rPr>
        <w:t> </w:t>
      </w:r>
      <w:r>
        <w:rPr>
          <w:color w:val="231F20"/>
        </w:rPr>
        <w:t>users, bringing the total to over 81,000</w:t>
      </w:r>
      <w:r>
        <w:rPr>
          <w:color w:val="231F20"/>
        </w:rPr>
        <w:t> since it was launched in 2017.</w:t>
      </w:r>
      <w:r>
        <w:rPr/>
      </w:r>
    </w:p>
    <w:p>
      <w:pPr>
        <w:pStyle w:val="Heading5"/>
        <w:spacing w:line="240" w:lineRule="auto" w:before="61"/>
        <w:ind w:right="0"/>
        <w:jc w:val="left"/>
        <w:rPr>
          <w:b w:val="0"/>
          <w:bCs w:val="0"/>
        </w:rPr>
      </w:pPr>
      <w:r>
        <w:rPr>
          <w:b w:val="0"/>
        </w:rPr>
        <w:br w:type="column"/>
      </w:r>
      <w:r>
        <w:rPr>
          <w:color w:val="005E63"/>
        </w:rPr>
        <w:t>SCHOOL LEADERSHIP</w:t>
      </w:r>
      <w:r>
        <w:rPr>
          <w:b w:val="0"/>
        </w:rPr>
      </w:r>
    </w:p>
    <w:p>
      <w:pPr>
        <w:spacing w:before="215"/>
        <w:ind w:left="110" w:right="111" w:firstLine="0"/>
        <w:jc w:val="left"/>
        <w:rPr>
          <w:rFonts w:ascii="Swis721 Lt BT" w:hAnsi="Swis721 Lt BT" w:cs="Swis721 Lt BT" w:eastAsia="Swis721 Lt BT"/>
          <w:sz w:val="19"/>
          <w:szCs w:val="19"/>
        </w:rPr>
      </w:pPr>
      <w:r>
        <w:rPr>
          <w:rFonts w:ascii="Swis721 Lt BT"/>
          <w:color w:val="231F20"/>
          <w:spacing w:val="-1"/>
          <w:sz w:val="19"/>
        </w:rPr>
        <w:t>Following</w:t>
      </w:r>
      <w:r>
        <w:rPr>
          <w:rFonts w:ascii="Swis721 Lt BT"/>
          <w:color w:val="231F20"/>
          <w:sz w:val="19"/>
        </w:rPr>
        <w:t> the launch of </w:t>
      </w:r>
      <w:r>
        <w:rPr>
          <w:rFonts w:ascii="Swis721 Lt BT"/>
          <w:i/>
          <w:color w:val="231F20"/>
          <w:sz w:val="19"/>
        </w:rPr>
        <w:t>Leading for impact:</w:t>
      </w:r>
      <w:r>
        <w:rPr>
          <w:rFonts w:ascii="Swis721 Lt BT"/>
          <w:i/>
          <w:color w:val="231F20"/>
          <w:spacing w:val="24"/>
          <w:sz w:val="19"/>
        </w:rPr>
        <w:t> </w:t>
      </w:r>
      <w:r>
        <w:rPr>
          <w:rFonts w:ascii="Swis721 Lt BT"/>
          <w:i/>
          <w:color w:val="231F20"/>
          <w:sz w:val="19"/>
        </w:rPr>
        <w:t>Australian guidelines for school leadership</w:t>
      </w:r>
      <w:r>
        <w:rPr>
          <w:rFonts w:ascii="Swis721 Lt BT"/>
          <w:i/>
          <w:color w:val="231F20"/>
          <w:sz w:val="19"/>
        </w:rPr>
        <w:t> development (Leading for impact)</w:t>
      </w:r>
      <w:r>
        <w:rPr>
          <w:rFonts w:ascii="Swis721 Lt BT"/>
          <w:i/>
          <w:color w:val="231F20"/>
          <w:spacing w:val="1"/>
          <w:sz w:val="19"/>
        </w:rPr>
        <w:t> </w:t>
      </w:r>
      <w:r>
        <w:rPr>
          <w:rFonts w:ascii="Swis721 Lt BT"/>
          <w:color w:val="231F20"/>
          <w:sz w:val="19"/>
        </w:rPr>
        <w:t>in March</w:t>
      </w:r>
      <w:r>
        <w:rPr>
          <w:rFonts w:ascii="Swis721 Lt BT"/>
          <w:color w:val="231F20"/>
          <w:sz w:val="19"/>
        </w:rPr>
        <w:t> 2018, AITSL has worked with practising and aspiring school leaders, systems, and sectors to develop tools and resources to support its implementation. This work is complemented by ongoing monitoring of the implementation of </w:t>
      </w:r>
      <w:r>
        <w:rPr>
          <w:rFonts w:ascii="Swis721 Lt BT"/>
          <w:i/>
          <w:color w:val="231F20"/>
          <w:sz w:val="19"/>
        </w:rPr>
        <w:t>Leading for impact </w:t>
      </w:r>
      <w:r>
        <w:rPr>
          <w:rFonts w:ascii="Swis721 Lt BT"/>
          <w:color w:val="231F20"/>
          <w:sz w:val="19"/>
        </w:rPr>
        <w:t>to understand where</w:t>
      </w:r>
      <w:r>
        <w:rPr>
          <w:rFonts w:ascii="Swis721 Lt BT"/>
          <w:color w:val="231F20"/>
          <w:sz w:val="19"/>
        </w:rPr>
        <w:t> gaps are, and how support can be provided at both the system and </w:t>
      </w:r>
      <w:r>
        <w:rPr>
          <w:rFonts w:ascii="Swis721 Lt BT"/>
          <w:color w:val="231F20"/>
          <w:spacing w:val="-3"/>
          <w:sz w:val="19"/>
        </w:rPr>
        <w:t>sector,</w:t>
      </w:r>
      <w:r>
        <w:rPr>
          <w:rFonts w:ascii="Swis721 Lt BT"/>
          <w:color w:val="231F20"/>
          <w:sz w:val="19"/>
        </w:rPr>
        <w:t> and school levels.</w:t>
      </w:r>
      <w:r>
        <w:rPr>
          <w:rFonts w:ascii="Swis721 Lt BT"/>
          <w:sz w:val="19"/>
        </w:rPr>
      </w:r>
    </w:p>
    <w:p>
      <w:pPr>
        <w:pStyle w:val="BodyText"/>
        <w:spacing w:line="240" w:lineRule="auto"/>
        <w:ind w:right="115"/>
        <w:jc w:val="left"/>
      </w:pPr>
      <w:r>
        <w:rPr>
          <w:color w:val="231F20"/>
        </w:rPr>
        <w:t>AITSL has developed guides that unpack what high-impact school leadership is, and how it can be demonstrated through the lens of the five</w:t>
      </w:r>
      <w:r>
        <w:rPr>
          <w:color w:val="231F20"/>
          <w:spacing w:val="-1"/>
        </w:rPr>
        <w:t> </w:t>
      </w:r>
      <w:r>
        <w:rPr>
          <w:color w:val="231F20"/>
        </w:rPr>
        <w:t>Professional</w:t>
      </w:r>
      <w:r>
        <w:rPr>
          <w:color w:val="231F20"/>
          <w:spacing w:val="-1"/>
        </w:rPr>
        <w:t> </w:t>
      </w:r>
      <w:r>
        <w:rPr>
          <w:color w:val="231F20"/>
        </w:rPr>
        <w:t>Practices of</w:t>
      </w:r>
      <w:r>
        <w:rPr>
          <w:color w:val="231F20"/>
          <w:spacing w:val="-1"/>
        </w:rPr>
        <w:t> </w:t>
      </w:r>
      <w:r>
        <w:rPr>
          <w:color w:val="231F20"/>
        </w:rPr>
        <w:t>the </w:t>
      </w:r>
      <w:r>
        <w:rPr>
          <w:rFonts w:ascii="Swis721 Lt BT"/>
          <w:i/>
          <w:color w:val="231F20"/>
        </w:rPr>
        <w:t>Australian</w:t>
      </w:r>
      <w:r>
        <w:rPr>
          <w:rFonts w:ascii="Swis721 Lt BT"/>
          <w:i/>
          <w:color w:val="231F20"/>
        </w:rPr>
        <w:t> Professional Standard for Principals</w:t>
      </w:r>
      <w:r>
        <w:rPr>
          <w:color w:val="231F20"/>
        </w:rPr>
        <w:t>. These</w:t>
      </w:r>
      <w:r>
        <w:rPr>
          <w:color w:val="231F20"/>
        </w:rPr>
        <w:t> guides are strengthened by case studies highlighting leaders at all levels demonstrating the</w:t>
      </w:r>
      <w:r>
        <w:rPr>
          <w:color w:val="231F20"/>
          <w:spacing w:val="-1"/>
        </w:rPr>
        <w:t> </w:t>
      </w:r>
      <w:r>
        <w:rPr>
          <w:color w:val="231F20"/>
        </w:rPr>
        <w:t>five</w:t>
      </w:r>
      <w:r>
        <w:rPr>
          <w:color w:val="231F20"/>
          <w:spacing w:val="-1"/>
        </w:rPr>
        <w:t> </w:t>
      </w:r>
      <w:r>
        <w:rPr>
          <w:color w:val="231F20"/>
        </w:rPr>
        <w:t>professional</w:t>
      </w:r>
      <w:r>
        <w:rPr>
          <w:color w:val="231F20"/>
          <w:spacing w:val="-1"/>
        </w:rPr>
        <w:t> </w:t>
      </w:r>
      <w:r>
        <w:rPr>
          <w:color w:val="231F20"/>
        </w:rPr>
        <w:t>practices. Building</w:t>
      </w:r>
      <w:r>
        <w:rPr/>
      </w:r>
    </w:p>
    <w:p>
      <w:pPr>
        <w:pStyle w:val="BodyText"/>
        <w:spacing w:line="240" w:lineRule="auto" w:before="0"/>
        <w:ind w:right="259"/>
        <w:jc w:val="left"/>
      </w:pPr>
      <w:r>
        <w:rPr>
          <w:color w:val="231F20"/>
        </w:rPr>
        <w:t>on an extensive research base about what high-impact school leadership is, AITSL has developed</w:t>
      </w:r>
      <w:r>
        <w:rPr>
          <w:color w:val="231F20"/>
          <w:spacing w:val="-2"/>
        </w:rPr>
        <w:t> </w:t>
      </w:r>
      <w:r>
        <w:rPr>
          <w:color w:val="231F20"/>
        </w:rPr>
        <w:t>reflection</w:t>
      </w:r>
      <w:r>
        <w:rPr>
          <w:color w:val="231F20"/>
          <w:spacing w:val="-1"/>
        </w:rPr>
        <w:t> </w:t>
      </w:r>
      <w:r>
        <w:rPr>
          <w:color w:val="231F20"/>
        </w:rPr>
        <w:t>tools</w:t>
      </w:r>
      <w:r>
        <w:rPr>
          <w:color w:val="231F20"/>
          <w:spacing w:val="-1"/>
        </w:rPr>
        <w:t> </w:t>
      </w:r>
      <w:r>
        <w:rPr>
          <w:color w:val="231F20"/>
        </w:rPr>
        <w:t>for</w:t>
      </w:r>
      <w:r>
        <w:rPr>
          <w:color w:val="231F20"/>
          <w:spacing w:val="-1"/>
        </w:rPr>
        <w:t> </w:t>
      </w:r>
      <w:r>
        <w:rPr>
          <w:color w:val="231F20"/>
        </w:rPr>
        <w:t>use</w:t>
      </w:r>
      <w:r>
        <w:rPr>
          <w:color w:val="231F20"/>
          <w:spacing w:val="-2"/>
        </w:rPr>
        <w:t> </w:t>
      </w:r>
      <w:r>
        <w:rPr>
          <w:color w:val="231F20"/>
        </w:rPr>
        <w:t>by</w:t>
      </w:r>
      <w:r>
        <w:rPr>
          <w:color w:val="231F20"/>
          <w:spacing w:val="-1"/>
        </w:rPr>
        <w:t> </w:t>
      </w:r>
      <w:r>
        <w:rPr>
          <w:color w:val="231F20"/>
        </w:rPr>
        <w:t>schools</w:t>
      </w:r>
      <w:r>
        <w:rPr>
          <w:color w:val="231F20"/>
        </w:rPr>
        <w:t> and systems and sectors to review current approaches to leadership development opportunities and pathways.</w:t>
      </w:r>
      <w:r>
        <w:rPr/>
      </w:r>
    </w:p>
    <w:p>
      <w:pPr>
        <w:pStyle w:val="BodyText"/>
        <w:spacing w:line="240" w:lineRule="auto"/>
        <w:ind w:right="111"/>
        <w:jc w:val="left"/>
      </w:pPr>
      <w:r>
        <w:rPr>
          <w:color w:val="231F20"/>
        </w:rPr>
        <w:t>Another focus this year has been exploring how to strengthen school leadership</w:t>
      </w:r>
      <w:r>
        <w:rPr/>
      </w:r>
    </w:p>
    <w:p>
      <w:pPr>
        <w:pStyle w:val="BodyText"/>
        <w:spacing w:line="240" w:lineRule="auto" w:before="0"/>
        <w:ind w:right="259"/>
        <w:jc w:val="left"/>
      </w:pPr>
      <w:r>
        <w:rPr>
          <w:color w:val="231F20"/>
        </w:rPr>
        <w:t>in Australia. In </w:t>
      </w:r>
      <w:r>
        <w:rPr>
          <w:color w:val="231F20"/>
          <w:spacing w:val="-1"/>
        </w:rPr>
        <w:t>February</w:t>
      </w:r>
      <w:r>
        <w:rPr>
          <w:color w:val="231F20"/>
        </w:rPr>
        <w:t> 2019, AITSL</w:t>
      </w:r>
      <w:r>
        <w:rPr>
          <w:color w:val="231F20"/>
          <w:spacing w:val="23"/>
        </w:rPr>
        <w:t> </w:t>
      </w:r>
      <w:r>
        <w:rPr>
          <w:color w:val="231F20"/>
        </w:rPr>
        <w:t>commenced scoping what might be needed</w:t>
      </w:r>
      <w:r>
        <w:rPr>
          <w:color w:val="231F20"/>
        </w:rPr>
        <w:t> to strengthen the preparation and ongoing support of school leaders and principals.</w:t>
      </w:r>
      <w:r>
        <w:rPr/>
      </w:r>
    </w:p>
    <w:p>
      <w:pPr>
        <w:pStyle w:val="BodyText"/>
        <w:spacing w:line="240" w:lineRule="auto" w:before="0"/>
        <w:ind w:right="157"/>
        <w:jc w:val="left"/>
      </w:pPr>
      <w:r>
        <w:rPr>
          <w:color w:val="231F20"/>
        </w:rPr>
        <w:t>AITSL worked with principal associations, systems and sectors, and principals and school leaders to develop a proposed series of actions. The next steps will be informed by a School Leadership Roundtable in July 2019.</w:t>
      </w:r>
      <w:r>
        <w:rPr/>
      </w:r>
    </w:p>
    <w:p>
      <w:pPr>
        <w:pStyle w:val="BodyText"/>
        <w:spacing w:line="240" w:lineRule="auto"/>
        <w:ind w:right="82"/>
        <w:jc w:val="left"/>
      </w:pPr>
      <w:r>
        <w:rPr>
          <w:color w:val="231F20"/>
        </w:rPr>
        <w:t>Usage of school leadership tools has continued to be </w:t>
      </w:r>
      <w:r>
        <w:rPr>
          <w:color w:val="231F20"/>
          <w:spacing w:val="-3"/>
        </w:rPr>
        <w:t>popular.</w:t>
      </w:r>
      <w:r>
        <w:rPr>
          <w:color w:val="231F20"/>
        </w:rPr>
        <w:t> During 2018–19, the</w:t>
      </w:r>
      <w:r>
        <w:rPr>
          <w:color w:val="231F20"/>
          <w:spacing w:val="26"/>
        </w:rPr>
        <w:t> </w:t>
      </w:r>
      <w:r>
        <w:rPr>
          <w:color w:val="231F20"/>
        </w:rPr>
        <w:t>School Leader </w:t>
      </w:r>
      <w:r>
        <w:rPr>
          <w:color w:val="231F20"/>
          <w:spacing w:val="-1"/>
        </w:rPr>
        <w:t>Self-Assessment</w:t>
      </w:r>
      <w:r>
        <w:rPr>
          <w:color w:val="231F20"/>
        </w:rPr>
        <w:t> </w:t>
      </w:r>
      <w:r>
        <w:rPr>
          <w:color w:val="231F20"/>
          <w:spacing w:val="-7"/>
        </w:rPr>
        <w:t>Tool</w:t>
      </w:r>
      <w:r>
        <w:rPr>
          <w:color w:val="231F20"/>
        </w:rPr>
        <w:t> was used</w:t>
      </w:r>
      <w:r>
        <w:rPr>
          <w:color w:val="231F20"/>
          <w:spacing w:val="27"/>
        </w:rPr>
        <w:t> </w:t>
      </w:r>
      <w:r>
        <w:rPr>
          <w:color w:val="231F20"/>
        </w:rPr>
        <w:t>by more than 8,868 users, bringing the total</w:t>
      </w:r>
      <w:r>
        <w:rPr/>
      </w:r>
    </w:p>
    <w:p>
      <w:pPr>
        <w:pStyle w:val="BodyText"/>
        <w:spacing w:line="240" w:lineRule="auto" w:before="0"/>
        <w:ind w:right="290"/>
        <w:jc w:val="left"/>
      </w:pPr>
      <w:r>
        <w:rPr>
          <w:color w:val="231F20"/>
        </w:rPr>
        <w:t>to 20,718 since it was launched in 2017. The 360°</w:t>
      </w:r>
      <w:r>
        <w:rPr>
          <w:color w:val="231F20"/>
          <w:spacing w:val="-2"/>
        </w:rPr>
        <w:t> </w:t>
      </w:r>
      <w:r>
        <w:rPr>
          <w:color w:val="231F20"/>
        </w:rPr>
        <w:t>Reflection</w:t>
      </w:r>
      <w:r>
        <w:rPr>
          <w:color w:val="231F20"/>
          <w:spacing w:val="-1"/>
        </w:rPr>
        <w:t> </w:t>
      </w:r>
      <w:r>
        <w:rPr>
          <w:color w:val="231F20"/>
          <w:spacing w:val="-7"/>
        </w:rPr>
        <w:t>Tool</w:t>
      </w:r>
      <w:r>
        <w:rPr>
          <w:color w:val="231F20"/>
          <w:spacing w:val="-1"/>
        </w:rPr>
        <w:t> </w:t>
      </w:r>
      <w:r>
        <w:rPr>
          <w:color w:val="231F20"/>
        </w:rPr>
        <w:t>was</w:t>
      </w:r>
      <w:r>
        <w:rPr>
          <w:color w:val="231F20"/>
          <w:spacing w:val="-1"/>
        </w:rPr>
        <w:t> </w:t>
      </w:r>
      <w:r>
        <w:rPr>
          <w:color w:val="231F20"/>
        </w:rPr>
        <w:t>used</w:t>
      </w:r>
      <w:r>
        <w:rPr>
          <w:color w:val="231F20"/>
          <w:spacing w:val="-1"/>
        </w:rPr>
        <w:t> </w:t>
      </w:r>
      <w:r>
        <w:rPr>
          <w:color w:val="231F20"/>
        </w:rPr>
        <w:t>by</w:t>
      </w:r>
      <w:r>
        <w:rPr>
          <w:color w:val="231F20"/>
          <w:spacing w:val="-1"/>
        </w:rPr>
        <w:t> </w:t>
      </w:r>
      <w:r>
        <w:rPr>
          <w:color w:val="231F20"/>
        </w:rPr>
        <w:t>564</w:t>
      </w:r>
      <w:r>
        <w:rPr>
          <w:color w:val="231F20"/>
          <w:spacing w:val="-2"/>
        </w:rPr>
        <w:t> </w:t>
      </w:r>
      <w:r>
        <w:rPr>
          <w:color w:val="231F20"/>
        </w:rPr>
        <w:t>users</w:t>
      </w:r>
      <w:r>
        <w:rPr>
          <w:color w:val="231F20"/>
          <w:spacing w:val="22"/>
        </w:rPr>
        <w:t> </w:t>
      </w:r>
      <w:r>
        <w:rPr>
          <w:color w:val="231F20"/>
        </w:rPr>
        <w:t>during</w:t>
      </w:r>
      <w:r>
        <w:rPr>
          <w:color w:val="231F20"/>
          <w:spacing w:val="-1"/>
        </w:rPr>
        <w:t> </w:t>
      </w:r>
      <w:r>
        <w:rPr>
          <w:color w:val="231F20"/>
        </w:rPr>
        <w:t>the</w:t>
      </w:r>
      <w:r>
        <w:rPr>
          <w:color w:val="231F20"/>
          <w:spacing w:val="-1"/>
        </w:rPr>
        <w:t> </w:t>
      </w:r>
      <w:r>
        <w:rPr>
          <w:color w:val="231F20"/>
        </w:rPr>
        <w:t>financial</w:t>
      </w:r>
      <w:r>
        <w:rPr>
          <w:color w:val="231F20"/>
          <w:spacing w:val="-1"/>
        </w:rPr>
        <w:t> </w:t>
      </w:r>
      <w:r>
        <w:rPr>
          <w:color w:val="231F20"/>
          <w:spacing w:val="-4"/>
        </w:rPr>
        <w:t>year,</w:t>
      </w:r>
      <w:r>
        <w:rPr>
          <w:color w:val="231F20"/>
          <w:spacing w:val="-1"/>
        </w:rPr>
        <w:t> </w:t>
      </w:r>
      <w:r>
        <w:rPr>
          <w:color w:val="231F20"/>
        </w:rPr>
        <w:t>bringing</w:t>
      </w:r>
      <w:r>
        <w:rPr>
          <w:color w:val="231F20"/>
          <w:spacing w:val="-1"/>
        </w:rPr>
        <w:t> </w:t>
      </w:r>
      <w:r>
        <w:rPr>
          <w:color w:val="231F20"/>
        </w:rPr>
        <w:t>the</w:t>
      </w:r>
      <w:r>
        <w:rPr>
          <w:color w:val="231F20"/>
          <w:spacing w:val="-1"/>
        </w:rPr>
        <w:t> </w:t>
      </w:r>
      <w:r>
        <w:rPr>
          <w:color w:val="231F20"/>
        </w:rPr>
        <w:t>total</w:t>
      </w:r>
      <w:r>
        <w:rPr>
          <w:color w:val="231F20"/>
          <w:spacing w:val="-1"/>
        </w:rPr>
        <w:t> </w:t>
      </w:r>
      <w:r>
        <w:rPr>
          <w:color w:val="231F20"/>
        </w:rPr>
        <w:t>to</w:t>
      </w:r>
      <w:r>
        <w:rPr>
          <w:color w:val="231F20"/>
          <w:spacing w:val="22"/>
        </w:rPr>
        <w:t> </w:t>
      </w:r>
      <w:r>
        <w:rPr>
          <w:color w:val="231F20"/>
        </w:rPr>
        <w:t>more than 5,900 since its launch in 2013.</w:t>
      </w:r>
      <w:r>
        <w:rPr/>
      </w:r>
    </w:p>
    <w:p>
      <w:pPr>
        <w:spacing w:after="0" w:line="240" w:lineRule="auto"/>
        <w:jc w:val="left"/>
        <w:sectPr>
          <w:type w:val="continuous"/>
          <w:pgSz w:w="9980" w:h="14180"/>
          <w:pgMar w:top="0" w:bottom="280" w:left="740" w:right="1040"/>
          <w:cols w:num="2" w:equalWidth="0">
            <w:col w:w="3932" w:space="235"/>
            <w:col w:w="4033"/>
          </w:cols>
        </w:sect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0"/>
        <w:rPr>
          <w:rFonts w:ascii="Swis721 Lt BT" w:hAnsi="Swis721 Lt BT" w:cs="Swis721 Lt BT" w:eastAsia="Swis721 Lt BT"/>
          <w:sz w:val="19"/>
          <w:szCs w:val="19"/>
        </w:rPr>
      </w:pPr>
    </w:p>
    <w:p>
      <w:pPr>
        <w:spacing w:after="0" w:line="240" w:lineRule="auto"/>
        <w:rPr>
          <w:rFonts w:ascii="Swis721 Lt BT" w:hAnsi="Swis721 Lt BT" w:cs="Swis721 Lt BT" w:eastAsia="Swis721 Lt BT"/>
          <w:sz w:val="19"/>
          <w:szCs w:val="19"/>
        </w:rPr>
        <w:sectPr>
          <w:pgSz w:w="9980" w:h="14180"/>
          <w:pgMar w:header="0" w:footer="452" w:top="0" w:bottom="640" w:left="0" w:right="0"/>
        </w:sectPr>
      </w:pPr>
    </w:p>
    <w:p>
      <w:pPr>
        <w:pStyle w:val="BodyText"/>
        <w:spacing w:line="240" w:lineRule="auto" w:before="69"/>
        <w:ind w:left="1133" w:right="0"/>
        <w:jc w:val="left"/>
      </w:pPr>
      <w:r>
        <w:rPr/>
        <w:pict>
          <v:shape style="position:absolute;margin-left:0pt;margin-top:.000011pt;width:498.9pt;height:50.9pt;mso-position-horizontal-relative:page;mso-position-vertical-relative:page;z-index:-183256" type="#_x0000_t202" filled="false" stroked="false">
            <v:textbox inset="0,0,0,0">
              <w:txbxContent>
                <w:p>
                  <w:pPr>
                    <w:spacing w:line="240" w:lineRule="auto" w:before="0"/>
                    <w:rPr>
                      <w:rFonts w:ascii="Swis721 Lt BT" w:hAnsi="Swis721 Lt BT" w:cs="Swis721 Lt BT" w:eastAsia="Swis721 Lt BT"/>
                      <w:sz w:val="14"/>
                      <w:szCs w:val="14"/>
                    </w:rPr>
                  </w:pPr>
                </w:p>
                <w:p>
                  <w:pPr>
                    <w:spacing w:line="240" w:lineRule="auto" w:before="0"/>
                    <w:rPr>
                      <w:rFonts w:ascii="Swis721 Lt BT" w:hAnsi="Swis721 Lt BT" w:cs="Swis721 Lt BT" w:eastAsia="Swis721 Lt BT"/>
                      <w:sz w:val="14"/>
                      <w:szCs w:val="14"/>
                    </w:rPr>
                  </w:pPr>
                </w:p>
                <w:p>
                  <w:pPr>
                    <w:spacing w:before="95"/>
                    <w:ind w:left="0" w:right="84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txbxContent>
            </v:textbox>
            <w10:wrap type="none"/>
          </v:shape>
        </w:pict>
      </w:r>
      <w:r>
        <w:rPr/>
        <w:pict>
          <v:group style="position:absolute;margin-left:0pt;margin-top:-264.326630pt;width:498.9pt;height:242.3pt;mso-position-horizontal-relative:page;mso-position-vertical-relative:paragraph;z-index:2464" coordorigin="0,-5287" coordsize="9978,4846">
            <v:group style="position:absolute;left:0;top:-5287;width:9978;height:1018" coordorigin="0,-5287" coordsize="9978,1018">
              <v:shape style="position:absolute;left:0;top:-5287;width:9978;height:1018" coordorigin="0,-5287" coordsize="9978,1018" path="m0,-4269l9978,-4269,9978,-5287,0,-5287,0,-4269xe" filled="true" fillcolor="#003b45" stroked="false">
                <v:path arrowok="t"/>
                <v:fill type="solid"/>
              </v:shape>
            </v:group>
            <v:group style="position:absolute;left:0;top:-4269;width:9978;height:3828" coordorigin="0,-4269" coordsize="9978,3828">
              <v:shape style="position:absolute;left:0;top:-4269;width:9978;height:3828" coordorigin="0,-4269" coordsize="9978,3828" path="m9978,-4269l0,-4269,0,-441,9978,-3263,9978,-4269xe" filled="true" fillcolor="#bfd22b" stroked="false">
                <v:path arrowok="t"/>
                <v:fill type="solid"/>
              </v:shape>
              <v:shape style="position:absolute;left:7468;top:-4833;width:1660;height:140" type="#_x0000_t202" filled="false" stroked="false">
                <v:textbox inset="0,0,0,0">
                  <w:txbxContent>
                    <w:p>
                      <w:pPr>
                        <w:spacing w:line="140" w:lineRule="exact" w:before="0"/>
                        <w:ind w:left="0" w:right="0" w:firstLine="0"/>
                        <w:jc w:val="left"/>
                        <w:rPr>
                          <w:rFonts w:ascii="Swis721 Lt BT" w:hAnsi="Swis721 Lt BT" w:cs="Swis721 Lt BT" w:eastAsia="Swis721 Lt BT"/>
                          <w:sz w:val="14"/>
                          <w:szCs w:val="14"/>
                        </w:rPr>
                      </w:pPr>
                      <w:r>
                        <w:rPr>
                          <w:rFonts w:ascii="Swis721 Lt BT" w:hAnsi="Swis721 Lt BT" w:cs="Swis721 Lt BT" w:eastAsia="Swis721 Lt BT"/>
                          <w:color w:val="FFFFFF"/>
                          <w:spacing w:val="-1"/>
                          <w:sz w:val="14"/>
                          <w:szCs w:val="14"/>
                        </w:rPr>
                        <w:t>ANNUAL</w:t>
                      </w:r>
                      <w:r>
                        <w:rPr>
                          <w:rFonts w:ascii="Swis721 Lt BT" w:hAnsi="Swis721 Lt BT" w:cs="Swis721 Lt BT" w:eastAsia="Swis721 Lt BT"/>
                          <w:color w:val="FFFFFF"/>
                          <w:sz w:val="14"/>
                          <w:szCs w:val="14"/>
                        </w:rPr>
                        <w:t> REPORT 2018–19</w:t>
                      </w:r>
                      <w:r>
                        <w:rPr>
                          <w:rFonts w:ascii="Swis721 Lt BT" w:hAnsi="Swis721 Lt BT" w:cs="Swis721 Lt BT" w:eastAsia="Swis721 Lt BT"/>
                          <w:sz w:val="14"/>
                          <w:szCs w:val="14"/>
                        </w:rPr>
                      </w:r>
                    </w:p>
                  </w:txbxContent>
                </v:textbox>
                <w10:wrap type="none"/>
              </v:shape>
              <v:shape style="position:absolute;left:1134;top:-3586;width:3543;height:1360" type="#_x0000_t202" filled="false" stroked="false">
                <v:textbox inset="0,0,0,0">
                  <w:txbxContent>
                    <w:p>
                      <w:pPr>
                        <w:spacing w:line="416" w:lineRule="exact" w:before="0"/>
                        <w:ind w:left="0" w:right="0" w:firstLine="0"/>
                        <w:jc w:val="left"/>
                        <w:rPr>
                          <w:rFonts w:ascii="Swis721 BT" w:hAnsi="Swis721 BT" w:cs="Swis721 BT" w:eastAsia="Swis721 BT"/>
                          <w:sz w:val="40"/>
                          <w:szCs w:val="40"/>
                        </w:rPr>
                      </w:pPr>
                      <w:r>
                        <w:rPr>
                          <w:rFonts w:ascii="Swis721 BT"/>
                          <w:b/>
                          <w:color w:val="005E63"/>
                          <w:sz w:val="40"/>
                        </w:rPr>
                        <w:t>RESEARCH AND</w:t>
                      </w:r>
                      <w:r>
                        <w:rPr>
                          <w:rFonts w:ascii="Swis721 BT"/>
                          <w:sz w:val="40"/>
                        </w:rPr>
                      </w:r>
                    </w:p>
                    <w:p>
                      <w:pPr>
                        <w:spacing w:before="0"/>
                        <w:ind w:left="0" w:right="0" w:firstLine="0"/>
                        <w:jc w:val="left"/>
                        <w:rPr>
                          <w:rFonts w:ascii="Swis721 BT" w:hAnsi="Swis721 BT" w:cs="Swis721 BT" w:eastAsia="Swis721 BT"/>
                          <w:sz w:val="40"/>
                          <w:szCs w:val="40"/>
                        </w:rPr>
                      </w:pPr>
                      <w:r>
                        <w:rPr>
                          <w:rFonts w:ascii="Swis721 BT"/>
                          <w:b/>
                          <w:color w:val="005E63"/>
                          <w:spacing w:val="-1"/>
                          <w:sz w:val="40"/>
                        </w:rPr>
                        <w:t>EVIDENCE-BASED</w:t>
                      </w:r>
                      <w:r>
                        <w:rPr>
                          <w:rFonts w:ascii="Swis721 BT"/>
                          <w:b/>
                          <w:color w:val="005E63"/>
                          <w:spacing w:val="26"/>
                          <w:sz w:val="40"/>
                        </w:rPr>
                        <w:t> </w:t>
                      </w:r>
                      <w:r>
                        <w:rPr>
                          <w:rFonts w:ascii="Swis721 BT"/>
                          <w:b/>
                          <w:color w:val="005E63"/>
                          <w:sz w:val="40"/>
                        </w:rPr>
                        <w:t>INSIGHTS</w:t>
                      </w:r>
                      <w:r>
                        <w:rPr>
                          <w:rFonts w:ascii="Swis721 BT"/>
                          <w:sz w:val="40"/>
                        </w:rPr>
                      </w:r>
                    </w:p>
                  </w:txbxContent>
                </v:textbox>
                <w10:wrap type="none"/>
              </v:shape>
            </v:group>
            <w10:wrap type="none"/>
          </v:group>
        </w:pict>
      </w:r>
      <w:bookmarkStart w:name="RESEARCH AND EVIDENCE-BASED INSIGHTS" w:id="10"/>
      <w:bookmarkEnd w:id="10"/>
      <w:r>
        <w:rPr/>
      </w:r>
      <w:r>
        <w:rPr>
          <w:color w:val="231F20"/>
        </w:rPr>
        <w:t>AITSL’s work is evidence-based, underpinned</w:t>
      </w:r>
      <w:r>
        <w:rPr>
          <w:color w:val="231F20"/>
        </w:rPr>
        <w:t> by robust research and data. This ensures that as an organisation, we are putting the most credible and impactful information in the hands of teachers and school leaders.</w:t>
      </w:r>
      <w:r>
        <w:rPr/>
      </w:r>
    </w:p>
    <w:p>
      <w:pPr>
        <w:spacing w:line="240" w:lineRule="auto" w:before="0"/>
        <w:rPr>
          <w:rFonts w:ascii="Swis721 Lt BT" w:hAnsi="Swis721 Lt BT" w:cs="Swis721 Lt BT" w:eastAsia="Swis721 Lt BT"/>
          <w:sz w:val="18"/>
          <w:szCs w:val="18"/>
        </w:rPr>
      </w:pPr>
    </w:p>
    <w:p>
      <w:pPr>
        <w:spacing w:line="240" w:lineRule="auto" w:before="9"/>
        <w:rPr>
          <w:rFonts w:ascii="Swis721 Lt BT" w:hAnsi="Swis721 Lt BT" w:cs="Swis721 Lt BT" w:eastAsia="Swis721 Lt BT"/>
          <w:sz w:val="25"/>
          <w:szCs w:val="25"/>
        </w:rPr>
      </w:pPr>
    </w:p>
    <w:p>
      <w:pPr>
        <w:pStyle w:val="Heading5"/>
        <w:spacing w:line="240" w:lineRule="auto"/>
        <w:ind w:left="1133" w:right="0"/>
        <w:jc w:val="left"/>
        <w:rPr>
          <w:b w:val="0"/>
          <w:bCs w:val="0"/>
        </w:rPr>
      </w:pPr>
      <w:r>
        <w:rPr>
          <w:color w:val="005E63"/>
        </w:rPr>
        <w:t>THE SPOTLIGHT SERIES</w:t>
      </w:r>
      <w:r>
        <w:rPr>
          <w:b w:val="0"/>
        </w:rPr>
      </w:r>
    </w:p>
    <w:p>
      <w:pPr>
        <w:pStyle w:val="BodyText"/>
        <w:spacing w:line="240" w:lineRule="auto" w:before="215"/>
        <w:ind w:left="1133" w:right="0"/>
        <w:jc w:val="left"/>
      </w:pPr>
      <w:r>
        <w:rPr>
          <w:color w:val="231F20"/>
        </w:rPr>
        <w:t>During 2018–19, four new Spotlights — a series of evidence-based summaries sharing facts</w:t>
      </w:r>
      <w:r>
        <w:rPr>
          <w:color w:val="231F20"/>
          <w:spacing w:val="-2"/>
        </w:rPr>
        <w:t> </w:t>
      </w:r>
      <w:r>
        <w:rPr>
          <w:color w:val="231F20"/>
        </w:rPr>
        <w:t>and</w:t>
      </w:r>
      <w:r>
        <w:rPr>
          <w:color w:val="231F20"/>
          <w:spacing w:val="-1"/>
        </w:rPr>
        <w:t> </w:t>
      </w:r>
      <w:r>
        <w:rPr>
          <w:color w:val="231F20"/>
        </w:rPr>
        <w:t>findings</w:t>
      </w:r>
      <w:r>
        <w:rPr>
          <w:color w:val="231F20"/>
          <w:spacing w:val="-1"/>
        </w:rPr>
        <w:t> </w:t>
      </w:r>
      <w:r>
        <w:rPr>
          <w:color w:val="231F20"/>
        </w:rPr>
        <w:t>on</w:t>
      </w:r>
      <w:r>
        <w:rPr>
          <w:color w:val="231F20"/>
          <w:spacing w:val="-1"/>
        </w:rPr>
        <w:t> </w:t>
      </w:r>
      <w:r>
        <w:rPr>
          <w:color w:val="231F20"/>
        </w:rPr>
        <w:t>topics</w:t>
      </w:r>
      <w:r>
        <w:rPr>
          <w:color w:val="231F20"/>
          <w:spacing w:val="-1"/>
        </w:rPr>
        <w:t> </w:t>
      </w:r>
      <w:r>
        <w:rPr>
          <w:color w:val="231F20"/>
        </w:rPr>
        <w:t>important</w:t>
      </w:r>
      <w:r>
        <w:rPr>
          <w:color w:val="231F20"/>
          <w:spacing w:val="-1"/>
        </w:rPr>
        <w:t> </w:t>
      </w:r>
      <w:r>
        <w:rPr>
          <w:color w:val="231F20"/>
        </w:rPr>
        <w:t>to</w:t>
      </w:r>
      <w:r>
        <w:rPr>
          <w:color w:val="231F20"/>
        </w:rPr>
        <w:t> education professionals — were developed.</w:t>
      </w:r>
      <w:r>
        <w:rPr/>
      </w:r>
    </w:p>
    <w:p>
      <w:pPr>
        <w:pStyle w:val="BodyText"/>
        <w:spacing w:line="240" w:lineRule="auto"/>
        <w:ind w:left="1133" w:right="0"/>
        <w:jc w:val="left"/>
      </w:pPr>
      <w:r>
        <w:rPr>
          <w:color w:val="231F20"/>
        </w:rPr>
        <w:t>The Spotlights were on the following topics:</w:t>
      </w:r>
      <w:r>
        <w:rPr/>
      </w:r>
    </w:p>
    <w:p>
      <w:pPr>
        <w:spacing w:before="113"/>
        <w:ind w:left="1360" w:right="0" w:hanging="227"/>
        <w:jc w:val="left"/>
        <w:rPr>
          <w:rFonts w:ascii="Swis721 BT" w:hAnsi="Swis721 BT" w:cs="Swis721 BT" w:eastAsia="Swis721 BT"/>
          <w:sz w:val="19"/>
          <w:szCs w:val="19"/>
        </w:rPr>
      </w:pPr>
      <w:r>
        <w:rPr>
          <w:rFonts w:ascii="Arial" w:hAnsi="Arial"/>
          <w:color w:val="00757A"/>
          <w:sz w:val="19"/>
        </w:rPr>
        <w:t>ϐ </w:t>
      </w:r>
      <w:r>
        <w:rPr>
          <w:rFonts w:ascii="Arial" w:hAnsi="Arial"/>
          <w:color w:val="00757A"/>
          <w:spacing w:val="8"/>
          <w:sz w:val="19"/>
        </w:rPr>
        <w:t> </w:t>
      </w:r>
      <w:r>
        <w:rPr>
          <w:rFonts w:ascii="Swis721 BT" w:hAnsi="Swis721 BT"/>
          <w:b/>
          <w:color w:val="231F20"/>
          <w:sz w:val="19"/>
        </w:rPr>
        <w:t>Highly</w:t>
      </w:r>
      <w:r>
        <w:rPr>
          <w:rFonts w:ascii="Swis721 BT" w:hAnsi="Swis721 BT"/>
          <w:b/>
          <w:color w:val="231F20"/>
          <w:spacing w:val="1"/>
          <w:sz w:val="19"/>
        </w:rPr>
        <w:t> </w:t>
      </w:r>
      <w:r>
        <w:rPr>
          <w:rFonts w:ascii="Swis721 BT" w:hAnsi="Swis721 BT"/>
          <w:b/>
          <w:color w:val="231F20"/>
          <w:sz w:val="19"/>
        </w:rPr>
        <w:t>Accomplished</w:t>
      </w:r>
      <w:r>
        <w:rPr>
          <w:rFonts w:ascii="Swis721 BT" w:hAnsi="Swis721 BT"/>
          <w:b/>
          <w:color w:val="231F20"/>
          <w:spacing w:val="1"/>
          <w:sz w:val="19"/>
        </w:rPr>
        <w:t> </w:t>
      </w:r>
      <w:r>
        <w:rPr>
          <w:rFonts w:ascii="Swis721 BT" w:hAnsi="Swis721 BT"/>
          <w:b/>
          <w:color w:val="231F20"/>
          <w:sz w:val="19"/>
        </w:rPr>
        <w:t>and</w:t>
      </w:r>
      <w:r>
        <w:rPr>
          <w:rFonts w:ascii="Swis721 BT" w:hAnsi="Swis721 BT"/>
          <w:b/>
          <w:color w:val="231F20"/>
          <w:spacing w:val="1"/>
          <w:sz w:val="19"/>
        </w:rPr>
        <w:t> </w:t>
      </w:r>
      <w:r>
        <w:rPr>
          <w:rFonts w:ascii="Swis721 BT" w:hAnsi="Swis721 BT"/>
          <w:b/>
          <w:color w:val="231F20"/>
          <w:sz w:val="19"/>
        </w:rPr>
        <w:t>Lead</w:t>
      </w:r>
      <w:r>
        <w:rPr>
          <w:rFonts w:ascii="Swis721 BT" w:hAnsi="Swis721 BT"/>
          <w:b/>
          <w:color w:val="231F20"/>
          <w:sz w:val="19"/>
        </w:rPr>
        <w:t> </w:t>
      </w:r>
      <w:r>
        <w:rPr>
          <w:rFonts w:ascii="Swis721 BT" w:hAnsi="Swis721 BT"/>
          <w:b/>
          <w:color w:val="231F20"/>
          <w:spacing w:val="-24"/>
          <w:sz w:val="19"/>
        </w:rPr>
        <w:t>T</w:t>
      </w:r>
      <w:r>
        <w:rPr>
          <w:rFonts w:ascii="Swis721 BT" w:hAnsi="Swis721 BT"/>
          <w:b/>
          <w:color w:val="231F20"/>
          <w:sz w:val="19"/>
        </w:rPr>
        <w:t>eachers</w:t>
      </w:r>
      <w:r>
        <w:rPr>
          <w:rFonts w:ascii="Swis721 BT" w:hAnsi="Swis721 BT"/>
          <w:sz w:val="19"/>
        </w:rPr>
      </w:r>
    </w:p>
    <w:p>
      <w:pPr>
        <w:pStyle w:val="BodyText"/>
        <w:spacing w:line="240" w:lineRule="auto" w:before="0"/>
        <w:ind w:left="1360" w:right="27"/>
        <w:jc w:val="left"/>
      </w:pPr>
      <w:r>
        <w:rPr>
          <w:color w:val="231F20"/>
        </w:rPr>
        <w:t>Nationally</w:t>
      </w:r>
      <w:r>
        <w:rPr>
          <w:color w:val="231F20"/>
          <w:spacing w:val="-3"/>
        </w:rPr>
        <w:t> </w:t>
      </w:r>
      <w:r>
        <w:rPr>
          <w:color w:val="231F20"/>
        </w:rPr>
        <w:t>certified</w:t>
      </w:r>
      <w:r>
        <w:rPr>
          <w:color w:val="231F20"/>
          <w:spacing w:val="-2"/>
        </w:rPr>
        <w:t> </w:t>
      </w:r>
      <w:r>
        <w:rPr>
          <w:color w:val="231F20"/>
        </w:rPr>
        <w:t>Highly</w:t>
      </w:r>
      <w:r>
        <w:rPr>
          <w:color w:val="231F20"/>
          <w:spacing w:val="-2"/>
        </w:rPr>
        <w:t> </w:t>
      </w:r>
      <w:r>
        <w:rPr>
          <w:color w:val="231F20"/>
        </w:rPr>
        <w:t>Accomplished</w:t>
      </w:r>
      <w:r>
        <w:rPr>
          <w:color w:val="231F20"/>
        </w:rPr>
        <w:t> and Lead </w:t>
      </w:r>
      <w:r>
        <w:rPr>
          <w:color w:val="231F20"/>
          <w:spacing w:val="-26"/>
        </w:rPr>
        <w:t>T</w:t>
      </w:r>
      <w:r>
        <w:rPr>
          <w:color w:val="231F20"/>
        </w:rPr>
        <w:t>eachers (HA</w:t>
      </w:r>
      <w:r>
        <w:rPr>
          <w:color w:val="231F20"/>
          <w:spacing w:val="-16"/>
        </w:rPr>
        <w:t>L</w:t>
      </w:r>
      <w:r>
        <w:rPr>
          <w:color w:val="231F20"/>
          <w:spacing w:val="-26"/>
        </w:rPr>
        <w:t>T</w:t>
      </w:r>
      <w:r>
        <w:rPr>
          <w:color w:val="231F20"/>
        </w:rPr>
        <w:t>s) are expert</w:t>
      </w:r>
      <w:r>
        <w:rPr>
          <w:color w:val="231F20"/>
        </w:rPr>
        <w:t> teachers who lead and support colleagues towards better outcomes for learners. The </w:t>
      </w:r>
      <w:r>
        <w:rPr>
          <w:color w:val="231F20"/>
          <w:spacing w:val="-4"/>
        </w:rPr>
        <w:t>HALT</w:t>
      </w:r>
      <w:r>
        <w:rPr>
          <w:color w:val="231F20"/>
          <w:spacing w:val="-2"/>
        </w:rPr>
        <w:t> </w:t>
      </w:r>
      <w:r>
        <w:rPr>
          <w:color w:val="231F20"/>
        </w:rPr>
        <w:t>Spotlight</w:t>
      </w:r>
      <w:r>
        <w:rPr>
          <w:color w:val="231F20"/>
          <w:spacing w:val="-1"/>
        </w:rPr>
        <w:t> </w:t>
      </w:r>
      <w:r>
        <w:rPr>
          <w:color w:val="231F20"/>
        </w:rPr>
        <w:t>looks</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findings</w:t>
      </w:r>
      <w:r>
        <w:rPr>
          <w:color w:val="231F20"/>
          <w:spacing w:val="-1"/>
        </w:rPr>
        <w:t> </w:t>
      </w:r>
      <w:r>
        <w:rPr>
          <w:color w:val="231F20"/>
        </w:rPr>
        <w:t>from</w:t>
      </w:r>
      <w:r>
        <w:rPr>
          <w:color w:val="231F20"/>
          <w:spacing w:val="20"/>
        </w:rPr>
        <w:t> </w:t>
      </w:r>
      <w:r>
        <w:rPr>
          <w:color w:val="231F20"/>
        </w:rPr>
        <w:t>AITSL’s </w:t>
      </w:r>
      <w:r>
        <w:rPr>
          <w:color w:val="231F20"/>
          <w:spacing w:val="-4"/>
        </w:rPr>
        <w:t>HALT</w:t>
      </w:r>
      <w:r>
        <w:rPr>
          <w:color w:val="231F20"/>
        </w:rPr>
        <w:t> Census, providing insight</w:t>
      </w:r>
      <w:r>
        <w:rPr>
          <w:color w:val="231F20"/>
          <w:spacing w:val="20"/>
        </w:rPr>
        <w:t> </w:t>
      </w:r>
      <w:r>
        <w:rPr>
          <w:color w:val="231F20"/>
        </w:rPr>
        <w:t>for</w:t>
      </w:r>
      <w:r>
        <w:rPr>
          <w:color w:val="231F20"/>
          <w:spacing w:val="-1"/>
        </w:rPr>
        <w:t> </w:t>
      </w:r>
      <w:r>
        <w:rPr>
          <w:color w:val="231F20"/>
        </w:rPr>
        <w:t>the first</w:t>
      </w:r>
      <w:r>
        <w:rPr>
          <w:color w:val="231F20"/>
          <w:spacing w:val="-1"/>
        </w:rPr>
        <w:t> </w:t>
      </w:r>
      <w:r>
        <w:rPr>
          <w:color w:val="231F20"/>
        </w:rPr>
        <w:t>time about</w:t>
      </w:r>
      <w:r>
        <w:rPr>
          <w:color w:val="231F20"/>
          <w:spacing w:val="-1"/>
        </w:rPr>
        <w:t> </w:t>
      </w:r>
      <w:r>
        <w:rPr>
          <w:color w:val="231F20"/>
        </w:rPr>
        <w:t>who </w:t>
      </w:r>
      <w:r>
        <w:rPr>
          <w:color w:val="231F20"/>
          <w:spacing w:val="-9"/>
        </w:rPr>
        <w:t>HALTs</w:t>
      </w:r>
      <w:r>
        <w:rPr>
          <w:color w:val="231F20"/>
        </w:rPr>
        <w:t> are,</w:t>
      </w:r>
      <w:r>
        <w:rPr>
          <w:color w:val="231F20"/>
          <w:spacing w:val="23"/>
        </w:rPr>
        <w:t> </w:t>
      </w:r>
      <w:r>
        <w:rPr>
          <w:color w:val="231F20"/>
        </w:rPr>
        <w:t>where they are working, and the impact of</w:t>
      </w:r>
      <w:r>
        <w:rPr>
          <w:color w:val="231F20"/>
        </w:rPr>
        <w:t> certification</w:t>
      </w:r>
      <w:r>
        <w:rPr>
          <w:color w:val="231F20"/>
          <w:spacing w:val="-4"/>
        </w:rPr>
        <w:t> </w:t>
      </w:r>
      <w:r>
        <w:rPr>
          <w:color w:val="231F20"/>
        </w:rPr>
        <w:t>on</w:t>
      </w:r>
      <w:r>
        <w:rPr>
          <w:color w:val="231F20"/>
          <w:spacing w:val="-3"/>
        </w:rPr>
        <w:t> </w:t>
      </w:r>
      <w:r>
        <w:rPr>
          <w:color w:val="231F20"/>
        </w:rPr>
        <w:t>the</w:t>
      </w:r>
      <w:r>
        <w:rPr>
          <w:color w:val="231F20"/>
          <w:spacing w:val="-3"/>
        </w:rPr>
        <w:t> </w:t>
      </w:r>
      <w:r>
        <w:rPr>
          <w:color w:val="231F20"/>
        </w:rPr>
        <w:t>profession.</w:t>
      </w:r>
      <w:r>
        <w:rPr/>
      </w:r>
    </w:p>
    <w:p>
      <w:pPr>
        <w:spacing w:before="113"/>
        <w:ind w:left="1134" w:right="0" w:firstLine="0"/>
        <w:jc w:val="left"/>
        <w:rPr>
          <w:rFonts w:ascii="Swis721 BT" w:hAnsi="Swis721 BT" w:cs="Swis721 BT" w:eastAsia="Swis721 BT"/>
          <w:sz w:val="19"/>
          <w:szCs w:val="19"/>
        </w:rPr>
      </w:pPr>
      <w:r>
        <w:rPr>
          <w:rFonts w:ascii="Arial" w:hAnsi="Arial"/>
          <w:color w:val="00757A"/>
          <w:sz w:val="19"/>
        </w:rPr>
        <w:t>ϐ </w:t>
      </w:r>
      <w:r>
        <w:rPr>
          <w:rFonts w:ascii="Arial" w:hAnsi="Arial"/>
          <w:color w:val="00757A"/>
          <w:spacing w:val="9"/>
          <w:sz w:val="19"/>
        </w:rPr>
        <w:t> </w:t>
      </w:r>
      <w:r>
        <w:rPr>
          <w:rFonts w:ascii="Swis721 BT" w:hAnsi="Swis721 BT"/>
          <w:b/>
          <w:color w:val="231F20"/>
          <w:sz w:val="19"/>
        </w:rPr>
        <w:t>Attendance</w:t>
      </w:r>
      <w:r>
        <w:rPr>
          <w:rFonts w:ascii="Swis721 BT" w:hAnsi="Swis721 BT"/>
          <w:b/>
          <w:color w:val="231F20"/>
          <w:spacing w:val="2"/>
          <w:sz w:val="19"/>
        </w:rPr>
        <w:t> </w:t>
      </w:r>
      <w:r>
        <w:rPr>
          <w:rFonts w:ascii="Swis721 BT" w:hAnsi="Swis721 BT"/>
          <w:b/>
          <w:color w:val="231F20"/>
          <w:sz w:val="19"/>
        </w:rPr>
        <w:t>matters</w:t>
      </w:r>
      <w:r>
        <w:rPr>
          <w:rFonts w:ascii="Swis721 BT" w:hAnsi="Swis721 BT"/>
          <w:sz w:val="19"/>
        </w:rPr>
      </w:r>
    </w:p>
    <w:p>
      <w:pPr>
        <w:pStyle w:val="BodyText"/>
        <w:spacing w:line="240" w:lineRule="auto" w:before="0"/>
        <w:ind w:left="1360" w:right="0"/>
        <w:jc w:val="left"/>
      </w:pPr>
      <w:r>
        <w:rPr>
          <w:color w:val="231F20"/>
        </w:rPr>
        <w:t>The relationship between teacher quality and student achievement is mediated by the amount of time students spend in the classroom. Irrespective of the reasons for absences, non-attendance affects student outcomes. This Spotlight explores and describes the trends in student attendance</w:t>
      </w:r>
      <w:r>
        <w:rPr/>
      </w:r>
    </w:p>
    <w:p>
      <w:pPr>
        <w:pStyle w:val="BodyText"/>
        <w:spacing w:line="240" w:lineRule="auto" w:before="69"/>
        <w:ind w:left="606" w:right="1018"/>
        <w:jc w:val="left"/>
      </w:pPr>
      <w:r>
        <w:rPr/>
        <w:br w:type="column"/>
      </w:r>
      <w:r>
        <w:rPr>
          <w:color w:val="231F20"/>
        </w:rPr>
        <w:t>rates across Australia, providing evidence</w:t>
      </w:r>
      <w:r>
        <w:rPr>
          <w:color w:val="231F20"/>
        </w:rPr>
        <w:t> on the impacts of non-attendance, factors influencing</w:t>
      </w:r>
      <w:r>
        <w:rPr>
          <w:color w:val="231F20"/>
          <w:spacing w:val="-2"/>
        </w:rPr>
        <w:t> </w:t>
      </w:r>
      <w:r>
        <w:rPr>
          <w:color w:val="231F20"/>
        </w:rPr>
        <w:t>it,</w:t>
      </w:r>
      <w:r>
        <w:rPr>
          <w:color w:val="231F20"/>
          <w:spacing w:val="-2"/>
        </w:rPr>
        <w:t> </w:t>
      </w:r>
      <w:r>
        <w:rPr>
          <w:color w:val="231F20"/>
        </w:rPr>
        <w:t>and</w:t>
      </w:r>
      <w:r>
        <w:rPr>
          <w:color w:val="231F20"/>
          <w:spacing w:val="-2"/>
        </w:rPr>
        <w:t> </w:t>
      </w:r>
      <w:r>
        <w:rPr>
          <w:color w:val="231F20"/>
        </w:rPr>
        <w:t>ways</w:t>
      </w:r>
      <w:r>
        <w:rPr>
          <w:color w:val="231F20"/>
          <w:spacing w:val="-2"/>
        </w:rPr>
        <w:t> </w:t>
      </w:r>
      <w:r>
        <w:rPr>
          <w:color w:val="231F20"/>
        </w:rPr>
        <w:t>schools</w:t>
      </w:r>
      <w:r>
        <w:rPr>
          <w:color w:val="231F20"/>
          <w:spacing w:val="-1"/>
        </w:rPr>
        <w:t> </w:t>
      </w:r>
      <w:r>
        <w:rPr>
          <w:color w:val="231F20"/>
        </w:rPr>
        <w:t>and</w:t>
      </w:r>
      <w:r>
        <w:rPr>
          <w:color w:val="231F20"/>
        </w:rPr>
        <w:t> communities can address it.</w:t>
      </w:r>
      <w:r>
        <w:rPr/>
      </w:r>
    </w:p>
    <w:p>
      <w:pPr>
        <w:pStyle w:val="BodyText"/>
        <w:spacing w:line="240" w:lineRule="auto"/>
        <w:ind w:left="606" w:right="1146" w:hanging="227"/>
        <w:jc w:val="left"/>
      </w:pPr>
      <w:r>
        <w:rPr>
          <w:rFonts w:ascii="Arial" w:hAnsi="Arial"/>
          <w:color w:val="00757A"/>
        </w:rPr>
        <w:t>ϐ </w:t>
      </w:r>
      <w:r>
        <w:rPr>
          <w:rFonts w:ascii="Arial" w:hAnsi="Arial"/>
          <w:color w:val="00757A"/>
          <w:spacing w:val="8"/>
        </w:rPr>
        <w:t> </w:t>
      </w:r>
      <w:r>
        <w:rPr>
          <w:rFonts w:ascii="Swis721 BT" w:hAnsi="Swis721 BT"/>
          <w:b/>
          <w:color w:val="231F20"/>
        </w:rPr>
        <w:t>Diversity</w:t>
      </w:r>
      <w:r>
        <w:rPr>
          <w:rFonts w:ascii="Swis721 BT" w:hAnsi="Swis721 BT"/>
          <w:b/>
          <w:color w:val="231F20"/>
          <w:spacing w:val="1"/>
        </w:rPr>
        <w:t> </w:t>
      </w:r>
      <w:r>
        <w:rPr>
          <w:rFonts w:ascii="Swis721 BT" w:hAnsi="Swis721 BT"/>
          <w:b/>
          <w:color w:val="231F20"/>
        </w:rPr>
        <w:t>in</w:t>
      </w:r>
      <w:r>
        <w:rPr>
          <w:rFonts w:ascii="Swis721 BT" w:hAnsi="Swis721 BT"/>
          <w:b/>
          <w:color w:val="231F20"/>
          <w:spacing w:val="1"/>
        </w:rPr>
        <w:t> </w:t>
      </w:r>
      <w:r>
        <w:rPr>
          <w:rFonts w:ascii="Swis721 BT" w:hAnsi="Swis721 BT"/>
          <w:b/>
          <w:color w:val="231F20"/>
        </w:rPr>
        <w:t>School</w:t>
      </w:r>
      <w:r>
        <w:rPr>
          <w:rFonts w:ascii="Swis721 BT" w:hAnsi="Swis721 BT"/>
          <w:b/>
          <w:color w:val="231F20"/>
          <w:spacing w:val="1"/>
        </w:rPr>
        <w:t> </w:t>
      </w:r>
      <w:r>
        <w:rPr>
          <w:rFonts w:ascii="Swis721 BT" w:hAnsi="Swis721 BT"/>
          <w:b/>
          <w:color w:val="231F20"/>
        </w:rPr>
        <w:t>Leadership</w:t>
      </w:r>
      <w:r>
        <w:rPr>
          <w:rFonts w:ascii="Swis721 BT" w:hAnsi="Swis721 BT"/>
          <w:b/>
          <w:color w:val="231F20"/>
        </w:rPr>
        <w:t> </w:t>
      </w:r>
      <w:r>
        <w:rPr>
          <w:color w:val="231F20"/>
        </w:rPr>
        <w:t>School leaders play a crucial role in the</w:t>
      </w:r>
      <w:r>
        <w:rPr>
          <w:color w:val="231F20"/>
        </w:rPr>
        <w:t> education system. Research shows that the learning needs of a diverse student population is better served by a diverse workforce. The Diversity in School Leadership Spotlight explores the data around diversity in school leaders, why diversity is important in these roles, and</w:t>
      </w:r>
      <w:r>
        <w:rPr/>
      </w:r>
    </w:p>
    <w:p>
      <w:pPr>
        <w:pStyle w:val="BodyText"/>
        <w:spacing w:line="240" w:lineRule="auto" w:before="0"/>
        <w:ind w:left="606" w:right="898"/>
        <w:jc w:val="left"/>
      </w:pPr>
      <w:r>
        <w:rPr>
          <w:color w:val="231F20"/>
        </w:rPr>
        <w:t>what can be done to address the challenge of </w:t>
      </w:r>
      <w:r>
        <w:rPr>
          <w:color w:val="231F20"/>
          <w:spacing w:val="-2"/>
        </w:rPr>
        <w:t>diversity.</w:t>
      </w:r>
      <w:r>
        <w:rPr/>
      </w:r>
    </w:p>
    <w:p>
      <w:pPr>
        <w:spacing w:before="113"/>
        <w:ind w:left="606" w:right="852" w:hanging="227"/>
        <w:jc w:val="left"/>
        <w:rPr>
          <w:rFonts w:ascii="Swis721 BT" w:hAnsi="Swis721 BT" w:cs="Swis721 BT" w:eastAsia="Swis721 BT"/>
          <w:sz w:val="19"/>
          <w:szCs w:val="19"/>
        </w:rPr>
      </w:pPr>
      <w:r>
        <w:rPr>
          <w:rFonts w:ascii="Arial" w:hAnsi="Arial"/>
          <w:color w:val="00757A"/>
          <w:sz w:val="19"/>
        </w:rPr>
        <w:t>ϐ </w:t>
      </w:r>
      <w:r>
        <w:rPr>
          <w:rFonts w:ascii="Arial" w:hAnsi="Arial"/>
          <w:color w:val="00757A"/>
          <w:spacing w:val="8"/>
          <w:sz w:val="19"/>
        </w:rPr>
        <w:t> </w:t>
      </w:r>
      <w:r>
        <w:rPr>
          <w:rFonts w:ascii="Swis721 BT" w:hAnsi="Swis721 BT"/>
          <w:b/>
          <w:color w:val="231F20"/>
          <w:sz w:val="19"/>
        </w:rPr>
        <w:t>Professional</w:t>
      </w:r>
      <w:r>
        <w:rPr>
          <w:rFonts w:ascii="Swis721 BT" w:hAnsi="Swis721 BT"/>
          <w:b/>
          <w:color w:val="231F20"/>
          <w:spacing w:val="1"/>
          <w:sz w:val="19"/>
        </w:rPr>
        <w:t> </w:t>
      </w:r>
      <w:r>
        <w:rPr>
          <w:rFonts w:ascii="Swis721 BT" w:hAnsi="Swis721 BT"/>
          <w:b/>
          <w:color w:val="231F20"/>
          <w:sz w:val="19"/>
        </w:rPr>
        <w:t>Learning</w:t>
      </w:r>
      <w:r>
        <w:rPr>
          <w:rFonts w:ascii="Swis721 BT" w:hAnsi="Swis721 BT"/>
          <w:b/>
          <w:color w:val="231F20"/>
          <w:spacing w:val="1"/>
          <w:sz w:val="19"/>
        </w:rPr>
        <w:t> </w:t>
      </w:r>
      <w:r>
        <w:rPr>
          <w:rFonts w:ascii="Swis721 BT" w:hAnsi="Swis721 BT"/>
          <w:b/>
          <w:color w:val="231F20"/>
          <w:sz w:val="19"/>
        </w:rPr>
        <w:t>for</w:t>
      </w:r>
      <w:r>
        <w:rPr>
          <w:rFonts w:ascii="Swis721 BT" w:hAnsi="Swis721 BT"/>
          <w:b/>
          <w:color w:val="231F20"/>
          <w:spacing w:val="1"/>
          <w:sz w:val="19"/>
        </w:rPr>
        <w:t> </w:t>
      </w:r>
      <w:r>
        <w:rPr>
          <w:rFonts w:ascii="Swis721 BT" w:hAnsi="Swis721 BT"/>
          <w:b/>
          <w:color w:val="231F20"/>
          <w:sz w:val="19"/>
        </w:rPr>
        <w:t>Casual/Relief</w:t>
      </w:r>
      <w:r>
        <w:rPr>
          <w:rFonts w:ascii="Swis721 BT" w:hAnsi="Swis721 BT"/>
          <w:b/>
          <w:color w:val="231F20"/>
          <w:sz w:val="19"/>
        </w:rPr>
        <w:t> </w:t>
      </w:r>
      <w:r>
        <w:rPr>
          <w:rFonts w:ascii="Swis721 BT" w:hAnsi="Swis721 BT"/>
          <w:b/>
          <w:color w:val="231F20"/>
          <w:spacing w:val="-24"/>
          <w:sz w:val="19"/>
        </w:rPr>
        <w:t>T</w:t>
      </w:r>
      <w:r>
        <w:rPr>
          <w:rFonts w:ascii="Swis721 BT" w:hAnsi="Swis721 BT"/>
          <w:b/>
          <w:color w:val="231F20"/>
          <w:sz w:val="19"/>
        </w:rPr>
        <w:t>eachers</w:t>
      </w:r>
      <w:r>
        <w:rPr>
          <w:rFonts w:ascii="Swis721 BT" w:hAnsi="Swis721 BT"/>
          <w:sz w:val="19"/>
        </w:rPr>
      </w:r>
    </w:p>
    <w:p>
      <w:pPr>
        <w:pStyle w:val="BodyText"/>
        <w:spacing w:line="240" w:lineRule="auto" w:before="0"/>
        <w:ind w:left="606" w:right="852"/>
        <w:jc w:val="left"/>
      </w:pPr>
      <w:r>
        <w:rPr>
          <w:color w:val="231F20"/>
        </w:rPr>
        <w:t>Over the duration of their education, students spend 10–15% of their schooling with casual/relief teachers (CR</w:t>
      </w:r>
      <w:r>
        <w:rPr>
          <w:color w:val="231F20"/>
          <w:spacing w:val="-26"/>
        </w:rPr>
        <w:t>T</w:t>
      </w:r>
      <w:r>
        <w:rPr>
          <w:color w:val="231F20"/>
        </w:rPr>
        <w:t>s). As a</w:t>
      </w:r>
      <w:r>
        <w:rPr>
          <w:color w:val="231F20"/>
        </w:rPr>
        <w:t> result, </w:t>
      </w:r>
      <w:r>
        <w:rPr>
          <w:color w:val="231F20"/>
          <w:spacing w:val="-7"/>
        </w:rPr>
        <w:t>CRTs</w:t>
      </w:r>
      <w:r>
        <w:rPr>
          <w:color w:val="231F20"/>
        </w:rPr>
        <w:t> have a greater impact on</w:t>
      </w:r>
      <w:r>
        <w:rPr>
          <w:color w:val="231F20"/>
          <w:spacing w:val="22"/>
        </w:rPr>
        <w:t> </w:t>
      </w:r>
      <w:r>
        <w:rPr>
          <w:color w:val="231F20"/>
        </w:rPr>
        <w:t>student outcomes than many might think.</w:t>
      </w:r>
      <w:r>
        <w:rPr>
          <w:color w:val="231F20"/>
        </w:rPr>
        <w:t> This Spotlight looks at the CRT population, their professional learning and the role of schools, systems and sectors in supporting CRT professional learning to support student learning.</w:t>
      </w:r>
      <w:r>
        <w:rPr/>
      </w:r>
    </w:p>
    <w:p>
      <w:pPr>
        <w:spacing w:after="0" w:line="240" w:lineRule="auto"/>
        <w:jc w:val="left"/>
        <w:sectPr>
          <w:type w:val="continuous"/>
          <w:pgSz w:w="9980" w:h="14180"/>
          <w:pgMar w:top="0" w:bottom="280" w:left="0" w:right="0"/>
          <w:cols w:num="2" w:equalWidth="0">
            <w:col w:w="4882" w:space="40"/>
            <w:col w:w="5058"/>
          </w:cols>
        </w:sect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7"/>
        <w:rPr>
          <w:rFonts w:ascii="Swis721 Lt BT" w:hAnsi="Swis721 Lt BT" w:cs="Swis721 Lt BT" w:eastAsia="Swis721 Lt BT"/>
          <w:sz w:val="24"/>
          <w:szCs w:val="24"/>
        </w:rPr>
      </w:pPr>
    </w:p>
    <w:p>
      <w:pPr>
        <w:spacing w:before="74"/>
        <w:ind w:left="110" w:right="0" w:firstLine="0"/>
        <w:jc w:val="left"/>
        <w:rPr>
          <w:rFonts w:ascii="Swis721 Lt BT" w:hAnsi="Swis721 Lt BT" w:cs="Swis721 Lt BT" w:eastAsia="Swis721 Lt BT"/>
          <w:sz w:val="16"/>
          <w:szCs w:val="16"/>
        </w:rPr>
      </w:pPr>
      <w:r>
        <w:rPr/>
        <w:pict>
          <v:group style="position:absolute;margin-left:498.89801pt;margin-top:-39.386597pt;width:.1pt;height:50.9pt;mso-position-horizontal-relative:page;mso-position-vertical-relative:paragraph;z-index:2488" coordorigin="9978,-788" coordsize="2,1018">
            <v:shape style="position:absolute;left:9978;top:-788;width:2;height:1018" coordorigin="9978,-788" coordsize="0,1018" path="m9978,-788l9978,230e" filled="false" stroked="true" strokeweight=".1pt" strokecolor="#a2c6ca">
              <v:path arrowok="t"/>
            </v:shape>
            <w10:wrap type="none"/>
          </v:group>
        </w:pict>
      </w:r>
      <w:r>
        <w:rPr>
          <w:rFonts w:ascii="Swis721 BT"/>
          <w:b/>
          <w:color w:val="00757A"/>
          <w:sz w:val="16"/>
        </w:rPr>
        <w:t>RESEARCH AND </w:t>
      </w:r>
      <w:r>
        <w:rPr>
          <w:rFonts w:ascii="Swis721 BT"/>
          <w:b/>
          <w:color w:val="00757A"/>
          <w:spacing w:val="-1"/>
          <w:sz w:val="16"/>
        </w:rPr>
        <w:t>EVIDENCE-BASED</w:t>
      </w:r>
      <w:r>
        <w:rPr>
          <w:rFonts w:ascii="Swis721 BT"/>
          <w:b/>
          <w:color w:val="00757A"/>
          <w:sz w:val="16"/>
        </w:rPr>
        <w:t> INSIGHTS </w:t>
      </w:r>
      <w:r>
        <w:rPr>
          <w:rFonts w:ascii="Swis721 Lt BT"/>
          <w:color w:val="00757A"/>
          <w:sz w:val="16"/>
        </w:rPr>
        <w:t>CONTINUED</w:t>
      </w:r>
      <w:r>
        <w:rPr>
          <w:rFonts w:ascii="Swis721 Lt BT"/>
          <w:sz w:val="16"/>
        </w:rPr>
      </w:r>
    </w:p>
    <w:p>
      <w:pPr>
        <w:spacing w:line="240" w:lineRule="auto" w:before="0"/>
        <w:rPr>
          <w:rFonts w:ascii="Swis721 Lt BT" w:hAnsi="Swis721 Lt BT" w:cs="Swis721 Lt BT" w:eastAsia="Swis721 Lt BT"/>
          <w:sz w:val="20"/>
          <w:szCs w:val="20"/>
        </w:rPr>
      </w:pPr>
    </w:p>
    <w:p>
      <w:pPr>
        <w:spacing w:line="240" w:lineRule="auto" w:before="8"/>
        <w:rPr>
          <w:rFonts w:ascii="Swis721 Lt BT" w:hAnsi="Swis721 Lt BT" w:cs="Swis721 Lt BT" w:eastAsia="Swis721 Lt BT"/>
          <w:sz w:val="25"/>
          <w:szCs w:val="25"/>
        </w:rPr>
      </w:pPr>
    </w:p>
    <w:p>
      <w:pPr>
        <w:spacing w:after="0" w:line="240" w:lineRule="auto"/>
        <w:rPr>
          <w:rFonts w:ascii="Swis721 Lt BT" w:hAnsi="Swis721 Lt BT" w:cs="Swis721 Lt BT" w:eastAsia="Swis721 Lt BT"/>
          <w:sz w:val="25"/>
          <w:szCs w:val="25"/>
        </w:rPr>
        <w:sectPr>
          <w:pgSz w:w="9980" w:h="14180"/>
          <w:pgMar w:header="0" w:footer="452" w:top="0" w:bottom="640" w:left="740" w:right="0"/>
        </w:sectPr>
      </w:pPr>
    </w:p>
    <w:p>
      <w:pPr>
        <w:spacing w:before="65"/>
        <w:ind w:left="110" w:right="0" w:firstLine="0"/>
        <w:jc w:val="left"/>
        <w:rPr>
          <w:rFonts w:ascii="Swis721 Md BT" w:hAnsi="Swis721 Md BT" w:cs="Swis721 Md BT" w:eastAsia="Swis721 Md BT"/>
          <w:sz w:val="22"/>
          <w:szCs w:val="22"/>
        </w:rPr>
      </w:pPr>
      <w:r>
        <w:rPr>
          <w:rFonts w:ascii="Swis721 Md BT"/>
          <w:color w:val="00757A"/>
          <w:sz w:val="22"/>
        </w:rPr>
        <w:t>Initial </w:t>
      </w:r>
      <w:r>
        <w:rPr>
          <w:rFonts w:ascii="Swis721 Md BT"/>
          <w:color w:val="00757A"/>
          <w:spacing w:val="-28"/>
          <w:sz w:val="22"/>
        </w:rPr>
        <w:t>T</w:t>
      </w:r>
      <w:r>
        <w:rPr>
          <w:rFonts w:ascii="Swis721 Md BT"/>
          <w:color w:val="00757A"/>
          <w:sz w:val="22"/>
        </w:rPr>
        <w:t>eacher Education Data Report</w:t>
      </w:r>
      <w:r>
        <w:rPr>
          <w:rFonts w:ascii="Swis721 Md BT"/>
          <w:sz w:val="22"/>
        </w:rPr>
      </w:r>
    </w:p>
    <w:p>
      <w:pPr>
        <w:pStyle w:val="BodyText"/>
        <w:spacing w:line="240" w:lineRule="auto" w:before="106"/>
        <w:ind w:right="17"/>
        <w:jc w:val="left"/>
      </w:pPr>
      <w:r>
        <w:rPr>
          <w:color w:val="231F20"/>
        </w:rPr>
        <w:t>The Initial </w:t>
      </w:r>
      <w:r>
        <w:rPr>
          <w:color w:val="231F20"/>
          <w:spacing w:val="-26"/>
        </w:rPr>
        <w:t>T</w:t>
      </w:r>
      <w:r>
        <w:rPr>
          <w:color w:val="231F20"/>
        </w:rPr>
        <w:t>eacher Education (ITE) Data</w:t>
      </w:r>
      <w:r>
        <w:rPr>
          <w:color w:val="231F20"/>
        </w:rPr>
        <w:t> Report</w:t>
      </w:r>
      <w:r>
        <w:rPr>
          <w:color w:val="231F20"/>
          <w:spacing w:val="-1"/>
        </w:rPr>
        <w:t> </w:t>
      </w:r>
      <w:r>
        <w:rPr>
          <w:color w:val="231F20"/>
        </w:rPr>
        <w:t>was first</w:t>
      </w:r>
      <w:r>
        <w:rPr>
          <w:color w:val="231F20"/>
          <w:spacing w:val="-1"/>
        </w:rPr>
        <w:t> </w:t>
      </w:r>
      <w:r>
        <w:rPr>
          <w:color w:val="231F20"/>
        </w:rPr>
        <w:t>published in</w:t>
      </w:r>
      <w:r>
        <w:rPr>
          <w:color w:val="231F20"/>
          <w:spacing w:val="-1"/>
        </w:rPr>
        <w:t> </w:t>
      </w:r>
      <w:r>
        <w:rPr>
          <w:color w:val="231F20"/>
        </w:rPr>
        <w:t>2013 to provide</w:t>
      </w:r>
      <w:r>
        <w:rPr>
          <w:color w:val="231F20"/>
        </w:rPr>
        <w:t> key insights into the future of teaching.</w:t>
      </w:r>
      <w:r>
        <w:rPr/>
      </w:r>
    </w:p>
    <w:p>
      <w:pPr>
        <w:pStyle w:val="BodyText"/>
        <w:spacing w:line="240" w:lineRule="auto" w:before="0"/>
        <w:ind w:right="176"/>
        <w:jc w:val="left"/>
      </w:pPr>
      <w:r>
        <w:rPr>
          <w:color w:val="231F20"/>
        </w:rPr>
        <w:t>AITSL developed the sixth edition of the data report during 2018–19. It is the only comprehensive publication in Australia to bring together aggregate, national data on ITE across Australia, and provides data on</w:t>
      </w:r>
      <w:r>
        <w:rPr/>
      </w:r>
    </w:p>
    <w:p>
      <w:pPr>
        <w:pStyle w:val="BodyText"/>
        <w:spacing w:line="240" w:lineRule="auto" w:before="0"/>
        <w:ind w:right="17"/>
        <w:jc w:val="left"/>
      </w:pPr>
      <w:r>
        <w:rPr>
          <w:color w:val="231F20"/>
        </w:rPr>
        <w:t>the characteristics and study of commencing, continuing and completing ITE students studying at both undergraduate and</w:t>
      </w:r>
      <w:r>
        <w:rPr/>
      </w:r>
    </w:p>
    <w:p>
      <w:pPr>
        <w:pStyle w:val="BodyText"/>
        <w:spacing w:line="240" w:lineRule="auto" w:before="0"/>
        <w:ind w:right="0"/>
        <w:jc w:val="left"/>
      </w:pPr>
      <w:r>
        <w:rPr>
          <w:color w:val="231F20"/>
          <w:spacing w:val="-1"/>
        </w:rPr>
        <w:t>post-graduate</w:t>
      </w:r>
      <w:r>
        <w:rPr>
          <w:color w:val="231F20"/>
        </w:rPr>
        <w:t> levels.</w:t>
      </w:r>
      <w:r>
        <w:rPr/>
      </w:r>
    </w:p>
    <w:p>
      <w:pPr>
        <w:pStyle w:val="BodyText"/>
        <w:spacing w:line="240" w:lineRule="auto"/>
        <w:ind w:right="91"/>
        <w:jc w:val="left"/>
      </w:pPr>
      <w:r>
        <w:rPr>
          <w:color w:val="231F20"/>
        </w:rPr>
        <w:t>The report brings together available data on all ITE students and courses collected by the Higher Education Information Management System. Data on student perceptions and graduate outcomes is collected from the Quality Indicators for Learning and </w:t>
      </w:r>
      <w:r>
        <w:rPr>
          <w:color w:val="231F20"/>
          <w:spacing w:val="-26"/>
        </w:rPr>
        <w:t>T</w:t>
      </w:r>
      <w:r>
        <w:rPr>
          <w:color w:val="231F20"/>
        </w:rPr>
        <w:t>eaching</w:t>
      </w:r>
      <w:r>
        <w:rPr>
          <w:color w:val="231F20"/>
        </w:rPr>
        <w:t> surveys, and data on early career teachers</w:t>
      </w:r>
      <w:r>
        <w:rPr/>
      </w:r>
    </w:p>
    <w:p>
      <w:pPr>
        <w:pStyle w:val="BodyText"/>
        <w:spacing w:line="240" w:lineRule="auto" w:before="0"/>
        <w:ind w:right="0"/>
        <w:jc w:val="left"/>
      </w:pPr>
      <w:r>
        <w:rPr>
          <w:color w:val="231F20"/>
        </w:rPr>
        <w:t>is collected from the AITSL Stakeholder </w:t>
      </w:r>
      <w:r>
        <w:rPr>
          <w:color w:val="231F20"/>
          <w:spacing w:val="-3"/>
        </w:rPr>
        <w:t>Survey.</w:t>
      </w:r>
      <w:r>
        <w:rPr>
          <w:color w:val="231F20"/>
        </w:rPr>
        <w:t> The 2019 edition of the report is under</w:t>
      </w:r>
      <w:r>
        <w:rPr>
          <w:color w:val="231F20"/>
          <w:spacing w:val="26"/>
        </w:rPr>
        <w:t> </w:t>
      </w:r>
      <w:r>
        <w:rPr>
          <w:color w:val="231F20"/>
        </w:rPr>
        <w:t>development and will be released towards the</w:t>
      </w:r>
      <w:r>
        <w:rPr>
          <w:color w:val="231F20"/>
        </w:rPr>
        <w:t> end of 2019.</w:t>
      </w:r>
      <w:r>
        <w:rPr/>
      </w:r>
    </w:p>
    <w:p>
      <w:pPr>
        <w:pStyle w:val="Heading8"/>
        <w:spacing w:line="240" w:lineRule="auto" w:before="65"/>
        <w:ind w:right="0"/>
        <w:jc w:val="left"/>
      </w:pPr>
      <w:r>
        <w:rPr/>
        <w:br w:type="column"/>
      </w:r>
      <w:r>
        <w:rPr>
          <w:color w:val="00757A"/>
        </w:rPr>
        <w:t>Measuring our impact</w:t>
      </w:r>
      <w:r>
        <w:rPr/>
      </w:r>
    </w:p>
    <w:p>
      <w:pPr>
        <w:pStyle w:val="BodyText"/>
        <w:spacing w:line="240" w:lineRule="auto" w:before="106"/>
        <w:ind w:right="1185"/>
        <w:jc w:val="left"/>
      </w:pPr>
      <w:r>
        <w:rPr>
          <w:color w:val="231F20"/>
        </w:rPr>
        <w:t>AITSL is committed to measuring the impact of its work. </w:t>
      </w:r>
      <w:r>
        <w:rPr>
          <w:color w:val="231F20"/>
          <w:spacing w:val="-2"/>
        </w:rPr>
        <w:t>We</w:t>
      </w:r>
      <w:r>
        <w:rPr>
          <w:color w:val="231F20"/>
        </w:rPr>
        <w:t> collect ongoing longitudinal</w:t>
      </w:r>
      <w:r>
        <w:rPr>
          <w:color w:val="231F20"/>
          <w:spacing w:val="20"/>
        </w:rPr>
        <w:t> </w:t>
      </w:r>
      <w:r>
        <w:rPr>
          <w:color w:val="231F20"/>
        </w:rPr>
        <w:t>measurements of awareness, use and</w:t>
      </w:r>
      <w:r>
        <w:rPr>
          <w:color w:val="231F20"/>
        </w:rPr>
        <w:t> behaviour changes related to AITSL’s policies, tools and resources, and stakeholder engagements. Based on an overarching theory of change and program-evaluation frameworks, work undertaken by AITSL is monitored according to its expected outputs and outcomes. Metrics are mapped against short, medium and long-term outcomes and impacts for each body of work. Evaluation plans include program logic models, key indicators for success, data sources and analysis methods.</w:t>
      </w:r>
      <w:r>
        <w:rPr/>
      </w:r>
    </w:p>
    <w:p>
      <w:pPr>
        <w:pStyle w:val="BodyText"/>
        <w:spacing w:line="240" w:lineRule="auto"/>
        <w:ind w:right="1311"/>
        <w:jc w:val="left"/>
      </w:pPr>
      <w:r>
        <w:rPr/>
        <w:pict>
          <v:group style="position:absolute;margin-left:140.917007pt;margin-top:169.20224pt;width:301.3pt;height:122.7pt;mso-position-horizontal-relative:page;mso-position-vertical-relative:paragraph;z-index:-183136" coordorigin="2818,3384" coordsize="6026,2454">
            <v:group style="position:absolute;left:2818;top:3452;width:2186;height:651" coordorigin="2818,3452" coordsize="2186,651">
              <v:shape style="position:absolute;left:2818;top:3452;width:2186;height:651" coordorigin="2818,3452" coordsize="2186,651" path="m2818,4103l5004,4103,5004,3452,2818,3452,2818,4103xe" filled="true" fillcolor="#e5f1f1" stroked="false">
                <v:path arrowok="t"/>
                <v:fill type="solid"/>
              </v:shape>
            </v:group>
            <v:group style="position:absolute;left:5004;top:3446;width:3840;height:651" coordorigin="5004,3446" coordsize="3840,651">
              <v:shape style="position:absolute;left:5004;top:3446;width:3840;height:651" coordorigin="5004,3446" coordsize="3840,651" path="m5004,4097l8844,4097,8844,3446,5004,3446,5004,4097xe" filled="true" fillcolor="#cce3e4" stroked="false">
                <v:path arrowok="t"/>
                <v:fill type="solid"/>
              </v:shape>
            </v:group>
            <v:group style="position:absolute;left:2818;top:4149;width:2372;height:657" coordorigin="2818,4149" coordsize="2372,657">
              <v:shape style="position:absolute;left:2818;top:4149;width:2372;height:657" coordorigin="2818,4149" coordsize="2372,657" path="m2818,4806l5190,4806,5190,4149,2818,4149,2818,4806xe" filled="true" fillcolor="#e5f1f1" stroked="false">
                <v:path arrowok="t"/>
                <v:fill type="solid"/>
              </v:shape>
            </v:group>
            <v:group style="position:absolute;left:2818;top:4846;width:2172;height:657" coordorigin="2818,4846" coordsize="2172,657">
              <v:shape style="position:absolute;left:2818;top:4846;width:2172;height:657" coordorigin="2818,4846" coordsize="2172,657" path="m2818,5503l4990,5503,4990,4846,2818,4846,2818,5503xe" filled="true" fillcolor="#e5f1f1" stroked="false">
                <v:path arrowok="t"/>
                <v:fill type="solid"/>
              </v:shape>
            </v:group>
            <v:group style="position:absolute;left:4990;top:4846;width:3855;height:657" coordorigin="4990,4846" coordsize="3855,657">
              <v:shape style="position:absolute;left:4990;top:4846;width:3855;height:657" coordorigin="4990,4846" coordsize="3855,657" path="m4990,5503l8844,5503,8844,4846,4990,4846,4990,5503xe" filled="true" fillcolor="#cce3e4" stroked="false">
                <v:path arrowok="t"/>
                <v:fill type="solid"/>
              </v:shape>
            </v:group>
            <v:group style="position:absolute;left:5190;top:4149;width:2001;height:657" coordorigin="5190,4149" coordsize="2001,657">
              <v:shape style="position:absolute;left:5190;top:4149;width:2001;height:657" coordorigin="5190,4149" coordsize="2001,657" path="m7190,4806l5190,4806,5190,4149,7190,4149,7190,4806xe" filled="true" fillcolor="#cce3e4" stroked="false">
                <v:path arrowok="t"/>
                <v:fill type="solid"/>
              </v:shape>
              <v:shape style="position:absolute;left:2949;top:3384;width:2835;height:2454" type="#_x0000_t75" stroked="false">
                <v:imagedata r:id="rId44" o:title=""/>
              </v:shape>
            </v:group>
            <w10:wrap type="none"/>
          </v:group>
        </w:pict>
      </w:r>
      <w:r>
        <w:rPr>
          <w:color w:val="231F20"/>
        </w:rPr>
        <w:t>The impact of AITSL is broader than the sum of the individual programs of work. AITSL’s overall impact is measured under the theory that awareness, engagement, satisfaction, use of tools, resources and initiatives, and perceived image drive change. This overall impact is measured through stakeholder engagement research, which included a large-scale stakeholder survey administered between April and June of 2019.</w:t>
      </w:r>
      <w:r>
        <w:rPr/>
      </w:r>
    </w:p>
    <w:p>
      <w:pPr>
        <w:spacing w:after="0" w:line="240" w:lineRule="auto"/>
        <w:jc w:val="left"/>
        <w:sectPr>
          <w:type w:val="continuous"/>
          <w:pgSz w:w="9980" w:h="14180"/>
          <w:pgMar w:top="0" w:bottom="280" w:left="740" w:right="0"/>
          <w:cols w:num="2" w:equalWidth="0">
            <w:col w:w="3869" w:space="298"/>
            <w:col w:w="5073"/>
          </w:cols>
        </w:sect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0"/>
        <w:rPr>
          <w:rFonts w:ascii="Swis721 Lt BT" w:hAnsi="Swis721 Lt BT" w:cs="Swis721 Lt BT" w:eastAsia="Swis721 Lt BT"/>
          <w:sz w:val="15"/>
          <w:szCs w:val="15"/>
        </w:rPr>
      </w:pPr>
    </w:p>
    <w:tbl>
      <w:tblPr>
        <w:tblW w:w="0" w:type="auto"/>
        <w:jc w:val="left"/>
        <w:tblInd w:w="110" w:type="dxa"/>
        <w:tblLayout w:type="fixed"/>
        <w:tblCellMar>
          <w:top w:w="0" w:type="dxa"/>
          <w:left w:w="0" w:type="dxa"/>
          <w:bottom w:w="0" w:type="dxa"/>
          <w:right w:w="0" w:type="dxa"/>
        </w:tblCellMar>
        <w:tblLook w:val="01E0"/>
      </w:tblPr>
      <w:tblGrid>
        <w:gridCol w:w="1991"/>
        <w:gridCol w:w="2163"/>
        <w:gridCol w:w="2220"/>
        <w:gridCol w:w="1634"/>
      </w:tblGrid>
      <w:tr>
        <w:trPr>
          <w:trHeight w:val="384" w:hRule="exact"/>
        </w:trPr>
        <w:tc>
          <w:tcPr>
            <w:tcW w:w="1991" w:type="dxa"/>
            <w:vMerge w:val="restart"/>
            <w:tcBorders>
              <w:top w:val="nil" w:sz="6" w:space="0" w:color="auto"/>
              <w:left w:val="nil" w:sz="6" w:space="0" w:color="auto"/>
              <w:right w:val="nil" w:sz="6" w:space="0" w:color="auto"/>
            </w:tcBorders>
            <w:shd w:val="clear" w:color="auto" w:fill="006269"/>
          </w:tcPr>
          <w:p>
            <w:pPr>
              <w:pStyle w:val="TableParagraph"/>
              <w:spacing w:line="240" w:lineRule="auto"/>
              <w:ind w:right="0"/>
              <w:jc w:val="left"/>
              <w:rPr>
                <w:rFonts w:ascii="Swis721 Lt BT" w:hAnsi="Swis721 Lt BT" w:cs="Swis721 Lt BT" w:eastAsia="Swis721 Lt BT"/>
                <w:sz w:val="24"/>
                <w:szCs w:val="24"/>
              </w:rPr>
            </w:pPr>
          </w:p>
          <w:p>
            <w:pPr>
              <w:pStyle w:val="TableParagraph"/>
              <w:spacing w:line="240" w:lineRule="auto"/>
              <w:ind w:right="0"/>
              <w:jc w:val="left"/>
              <w:rPr>
                <w:rFonts w:ascii="Swis721 Lt BT" w:hAnsi="Swis721 Lt BT" w:cs="Swis721 Lt BT" w:eastAsia="Swis721 Lt BT"/>
                <w:sz w:val="24"/>
                <w:szCs w:val="24"/>
              </w:rPr>
            </w:pPr>
          </w:p>
          <w:p>
            <w:pPr>
              <w:pStyle w:val="TableParagraph"/>
              <w:spacing w:line="240" w:lineRule="auto" w:before="11"/>
              <w:ind w:right="0"/>
              <w:jc w:val="left"/>
              <w:rPr>
                <w:rFonts w:ascii="Swis721 Lt BT" w:hAnsi="Swis721 Lt BT" w:cs="Swis721 Lt BT" w:eastAsia="Swis721 Lt BT"/>
                <w:sz w:val="21"/>
                <w:szCs w:val="21"/>
              </w:rPr>
            </w:pPr>
          </w:p>
          <w:p>
            <w:pPr>
              <w:pStyle w:val="TableParagraph"/>
              <w:spacing w:line="291" w:lineRule="auto"/>
              <w:ind w:left="233" w:right="388" w:firstLine="2"/>
              <w:jc w:val="left"/>
              <w:rPr>
                <w:rFonts w:ascii="Swis721 BT" w:hAnsi="Swis721 BT" w:cs="Swis721 BT" w:eastAsia="Swis721 BT"/>
                <w:sz w:val="23"/>
                <w:szCs w:val="23"/>
              </w:rPr>
            </w:pPr>
            <w:r>
              <w:rPr>
                <w:rFonts w:ascii="Swis721 BT"/>
                <w:b/>
                <w:color w:val="FFFFFF"/>
                <w:sz w:val="23"/>
              </w:rPr>
              <w:t>An</w:t>
            </w:r>
            <w:r>
              <w:rPr>
                <w:rFonts w:ascii="Swis721 BT"/>
                <w:b/>
                <w:color w:val="FFFFFF"/>
                <w:spacing w:val="26"/>
                <w:sz w:val="23"/>
              </w:rPr>
              <w:t> </w:t>
            </w:r>
            <w:r>
              <w:rPr>
                <w:rFonts w:ascii="Swis721 BT"/>
                <w:b/>
                <w:color w:val="FFFFFF"/>
                <w:sz w:val="23"/>
              </w:rPr>
              <w:t>overview</w:t>
            </w:r>
            <w:r>
              <w:rPr>
                <w:rFonts w:ascii="Swis721 BT"/>
                <w:b/>
                <w:color w:val="FFFFFF"/>
                <w:w w:val="102"/>
                <w:sz w:val="23"/>
              </w:rPr>
              <w:t> </w:t>
            </w:r>
            <w:r>
              <w:rPr>
                <w:rFonts w:ascii="Swis721 BT"/>
                <w:b/>
                <w:color w:val="FFFFFF"/>
                <w:sz w:val="23"/>
              </w:rPr>
              <w:t>of</w:t>
            </w:r>
            <w:r>
              <w:rPr>
                <w:rFonts w:ascii="Swis721 BT"/>
                <w:b/>
                <w:color w:val="FFFFFF"/>
                <w:spacing w:val="8"/>
                <w:sz w:val="23"/>
              </w:rPr>
              <w:t> </w:t>
            </w:r>
            <w:r>
              <w:rPr>
                <w:rFonts w:ascii="Swis721 BT"/>
                <w:b/>
                <w:color w:val="FFFFFF"/>
                <w:sz w:val="23"/>
              </w:rPr>
              <w:t>ITE</w:t>
            </w:r>
            <w:r>
              <w:rPr>
                <w:rFonts w:ascii="Swis721 BT"/>
                <w:b/>
                <w:color w:val="FFFFFF"/>
                <w:spacing w:val="9"/>
                <w:sz w:val="23"/>
              </w:rPr>
              <w:t> </w:t>
            </w:r>
            <w:r>
              <w:rPr>
                <w:rFonts w:ascii="Swis721 BT"/>
                <w:b/>
                <w:color w:val="FFFFFF"/>
                <w:sz w:val="23"/>
              </w:rPr>
              <w:t>in</w:t>
            </w:r>
            <w:r>
              <w:rPr>
                <w:rFonts w:ascii="Swis721 BT"/>
                <w:b/>
                <w:color w:val="FFFFFF"/>
                <w:w w:val="102"/>
                <w:sz w:val="23"/>
              </w:rPr>
              <w:t> </w:t>
            </w:r>
            <w:r>
              <w:rPr>
                <w:rFonts w:ascii="Swis721 BT"/>
                <w:b/>
                <w:color w:val="FFFFFF"/>
                <w:sz w:val="23"/>
              </w:rPr>
              <w:t>Australia</w:t>
            </w:r>
            <w:r>
              <w:rPr>
                <w:rFonts w:ascii="Swis721 BT"/>
                <w:sz w:val="23"/>
              </w:rPr>
            </w:r>
          </w:p>
        </w:tc>
        <w:tc>
          <w:tcPr>
            <w:tcW w:w="6017" w:type="dxa"/>
            <w:gridSpan w:val="3"/>
            <w:tcBorders>
              <w:top w:val="nil" w:sz="6" w:space="0" w:color="auto"/>
              <w:left w:val="nil" w:sz="6" w:space="0" w:color="auto"/>
              <w:bottom w:val="nil" w:sz="6" w:space="0" w:color="auto"/>
              <w:right w:val="nil" w:sz="6" w:space="0" w:color="auto"/>
            </w:tcBorders>
            <w:shd w:val="clear" w:color="auto" w:fill="E5F1F1"/>
          </w:tcPr>
          <w:p>
            <w:pPr/>
          </w:p>
        </w:tc>
      </w:tr>
      <w:tr>
        <w:trPr>
          <w:trHeight w:val="651" w:hRule="exact"/>
        </w:trPr>
        <w:tc>
          <w:tcPr>
            <w:tcW w:w="1991" w:type="dxa"/>
            <w:vMerge/>
            <w:tcBorders>
              <w:left w:val="nil" w:sz="6" w:space="0" w:color="auto"/>
              <w:right w:val="nil" w:sz="6" w:space="0" w:color="auto"/>
            </w:tcBorders>
            <w:shd w:val="clear" w:color="auto" w:fill="006269"/>
          </w:tcPr>
          <w:p>
            <w:pPr/>
          </w:p>
        </w:tc>
        <w:tc>
          <w:tcPr>
            <w:tcW w:w="2163" w:type="dxa"/>
            <w:tcBorders>
              <w:top w:val="nil" w:sz="6" w:space="0" w:color="auto"/>
              <w:left w:val="nil" w:sz="6" w:space="0" w:color="auto"/>
              <w:bottom w:val="nil" w:sz="6" w:space="0" w:color="auto"/>
              <w:right w:val="nil" w:sz="6" w:space="0" w:color="auto"/>
            </w:tcBorders>
          </w:tcPr>
          <w:p>
            <w:pPr/>
          </w:p>
        </w:tc>
        <w:tc>
          <w:tcPr>
            <w:tcW w:w="3854" w:type="dxa"/>
            <w:gridSpan w:val="2"/>
            <w:tcBorders>
              <w:top w:val="nil" w:sz="6" w:space="0" w:color="auto"/>
              <w:left w:val="nil" w:sz="6" w:space="0" w:color="auto"/>
              <w:bottom w:val="nil" w:sz="6" w:space="0" w:color="auto"/>
              <w:right w:val="nil" w:sz="6" w:space="0" w:color="auto"/>
            </w:tcBorders>
            <w:shd w:val="clear" w:color="auto" w:fill="CCE3E4"/>
          </w:tcPr>
          <w:p>
            <w:pPr>
              <w:pStyle w:val="TableParagraph"/>
              <w:spacing w:line="292" w:lineRule="exact" w:before="117"/>
              <w:ind w:left="1173" w:right="0"/>
              <w:jc w:val="left"/>
              <w:rPr>
                <w:rFonts w:ascii="Swis721 BT" w:hAnsi="Swis721 BT" w:cs="Swis721 BT" w:eastAsia="Swis721 BT"/>
                <w:sz w:val="25"/>
                <w:szCs w:val="25"/>
              </w:rPr>
            </w:pPr>
            <w:r>
              <w:rPr>
                <w:rFonts w:ascii="Swis721 BT"/>
                <w:b/>
                <w:color w:val="016369"/>
                <w:sz w:val="25"/>
              </w:rPr>
              <w:t>87,134</w:t>
            </w:r>
            <w:r>
              <w:rPr>
                <w:rFonts w:ascii="Swis721 BT"/>
                <w:sz w:val="25"/>
              </w:rPr>
            </w:r>
          </w:p>
          <w:p>
            <w:pPr>
              <w:pStyle w:val="TableParagraph"/>
              <w:spacing w:line="197" w:lineRule="exact"/>
              <w:ind w:left="1167" w:right="0"/>
              <w:jc w:val="left"/>
              <w:rPr>
                <w:rFonts w:ascii="Swis721 BT" w:hAnsi="Swis721 BT" w:cs="Swis721 BT" w:eastAsia="Swis721 BT"/>
                <w:sz w:val="17"/>
                <w:szCs w:val="17"/>
              </w:rPr>
            </w:pPr>
            <w:r>
              <w:rPr>
                <w:rFonts w:ascii="Swis721 BT"/>
                <w:b/>
                <w:color w:val="016369"/>
                <w:sz w:val="17"/>
              </w:rPr>
              <w:t>Enrolled students</w:t>
            </w:r>
            <w:r>
              <w:rPr>
                <w:rFonts w:ascii="Swis721 BT"/>
                <w:sz w:val="17"/>
              </w:rPr>
            </w:r>
          </w:p>
        </w:tc>
      </w:tr>
      <w:tr>
        <w:trPr>
          <w:trHeight w:val="749" w:hRule="exact"/>
        </w:trPr>
        <w:tc>
          <w:tcPr>
            <w:tcW w:w="1991" w:type="dxa"/>
            <w:vMerge/>
            <w:tcBorders>
              <w:left w:val="nil" w:sz="6" w:space="0" w:color="auto"/>
              <w:right w:val="nil" w:sz="6" w:space="0" w:color="auto"/>
            </w:tcBorders>
            <w:shd w:val="clear" w:color="auto" w:fill="006269"/>
          </w:tcPr>
          <w:p>
            <w:pPr/>
          </w:p>
        </w:tc>
        <w:tc>
          <w:tcPr>
            <w:tcW w:w="4382" w:type="dxa"/>
            <w:gridSpan w:val="2"/>
            <w:tcBorders>
              <w:top w:val="nil" w:sz="6" w:space="0" w:color="auto"/>
              <w:left w:val="nil" w:sz="6" w:space="0" w:color="auto"/>
              <w:bottom w:val="nil" w:sz="6" w:space="0" w:color="auto"/>
              <w:right w:val="single" w:sz="16" w:space="0" w:color="E5F1F1"/>
            </w:tcBorders>
          </w:tcPr>
          <w:p>
            <w:pPr>
              <w:pStyle w:val="TableParagraph"/>
              <w:spacing w:line="279" w:lineRule="exact" w:before="180"/>
              <w:ind w:right="588"/>
              <w:jc w:val="right"/>
              <w:rPr>
                <w:rFonts w:ascii="Swis721 BT" w:hAnsi="Swis721 BT" w:cs="Swis721 BT" w:eastAsia="Swis721 BT"/>
                <w:sz w:val="25"/>
                <w:szCs w:val="25"/>
              </w:rPr>
            </w:pPr>
            <w:r>
              <w:rPr>
                <w:rFonts w:ascii="Swis721 BT"/>
                <w:b/>
                <w:color w:val="016369"/>
                <w:sz w:val="25"/>
              </w:rPr>
              <w:t>358</w:t>
            </w:r>
            <w:r>
              <w:rPr>
                <w:rFonts w:ascii="Swis721 BT"/>
                <w:sz w:val="25"/>
              </w:rPr>
            </w:r>
          </w:p>
          <w:p>
            <w:pPr>
              <w:pStyle w:val="TableParagraph"/>
              <w:spacing w:line="183" w:lineRule="exact"/>
              <w:ind w:right="235"/>
              <w:jc w:val="right"/>
              <w:rPr>
                <w:rFonts w:ascii="Swis721 BT" w:hAnsi="Swis721 BT" w:cs="Swis721 BT" w:eastAsia="Swis721 BT"/>
                <w:sz w:val="17"/>
                <w:szCs w:val="17"/>
              </w:rPr>
            </w:pPr>
            <w:r>
              <w:rPr>
                <w:rFonts w:ascii="Swis721 BT"/>
                <w:b/>
                <w:color w:val="016369"/>
                <w:sz w:val="17"/>
              </w:rPr>
              <w:t>Programs</w:t>
            </w:r>
            <w:r>
              <w:rPr>
                <w:rFonts w:ascii="Swis721 BT"/>
                <w:sz w:val="17"/>
              </w:rPr>
            </w:r>
          </w:p>
        </w:tc>
        <w:tc>
          <w:tcPr>
            <w:tcW w:w="1634" w:type="dxa"/>
            <w:tcBorders>
              <w:top w:val="nil" w:sz="6" w:space="0" w:color="auto"/>
              <w:left w:val="single" w:sz="16" w:space="0" w:color="E5F1F1"/>
              <w:bottom w:val="nil" w:sz="6" w:space="0" w:color="auto"/>
              <w:right w:val="nil" w:sz="6" w:space="0" w:color="auto"/>
            </w:tcBorders>
            <w:shd w:val="clear" w:color="auto" w:fill="CCE3E4"/>
          </w:tcPr>
          <w:p>
            <w:pPr>
              <w:pStyle w:val="TableParagraph"/>
              <w:spacing w:line="279" w:lineRule="exact" w:before="180"/>
              <w:ind w:left="133" w:right="0"/>
              <w:jc w:val="left"/>
              <w:rPr>
                <w:rFonts w:ascii="Swis721 BT" w:hAnsi="Swis721 BT" w:cs="Swis721 BT" w:eastAsia="Swis721 BT"/>
                <w:sz w:val="25"/>
                <w:szCs w:val="25"/>
              </w:rPr>
            </w:pPr>
            <w:r>
              <w:rPr>
                <w:rFonts w:ascii="Swis721 BT"/>
                <w:b/>
                <w:color w:val="016369"/>
                <w:sz w:val="25"/>
              </w:rPr>
              <w:t>48</w:t>
            </w:r>
            <w:r>
              <w:rPr>
                <w:rFonts w:ascii="Swis721 BT"/>
                <w:sz w:val="25"/>
              </w:rPr>
            </w:r>
          </w:p>
          <w:p>
            <w:pPr>
              <w:pStyle w:val="TableParagraph"/>
              <w:spacing w:line="183" w:lineRule="exact"/>
              <w:ind w:left="133" w:right="0"/>
              <w:jc w:val="left"/>
              <w:rPr>
                <w:rFonts w:ascii="Swis721 BT" w:hAnsi="Swis721 BT" w:cs="Swis721 BT" w:eastAsia="Swis721 BT"/>
                <w:sz w:val="17"/>
                <w:szCs w:val="17"/>
              </w:rPr>
            </w:pPr>
            <w:r>
              <w:rPr>
                <w:rFonts w:ascii="Swis721 BT"/>
                <w:b/>
                <w:color w:val="016369"/>
                <w:sz w:val="17"/>
              </w:rPr>
              <w:t>ITE providers</w:t>
            </w:r>
            <w:r>
              <w:rPr>
                <w:rFonts w:ascii="Swis721 BT"/>
                <w:sz w:val="17"/>
              </w:rPr>
            </w:r>
          </w:p>
        </w:tc>
      </w:tr>
      <w:tr>
        <w:trPr>
          <w:trHeight w:val="657" w:hRule="exact"/>
        </w:trPr>
        <w:tc>
          <w:tcPr>
            <w:tcW w:w="1991" w:type="dxa"/>
            <w:vMerge/>
            <w:tcBorders>
              <w:left w:val="nil" w:sz="6" w:space="0" w:color="auto"/>
              <w:right w:val="nil" w:sz="6" w:space="0" w:color="auto"/>
            </w:tcBorders>
            <w:shd w:val="clear" w:color="auto" w:fill="006269"/>
          </w:tcPr>
          <w:p>
            <w:pPr/>
          </w:p>
        </w:tc>
        <w:tc>
          <w:tcPr>
            <w:tcW w:w="2163" w:type="dxa"/>
            <w:tcBorders>
              <w:top w:val="nil" w:sz="6" w:space="0" w:color="auto"/>
              <w:left w:val="nil" w:sz="6" w:space="0" w:color="auto"/>
              <w:bottom w:val="nil" w:sz="6" w:space="0" w:color="auto"/>
              <w:right w:val="nil" w:sz="6" w:space="0" w:color="auto"/>
            </w:tcBorders>
          </w:tcPr>
          <w:p>
            <w:pPr/>
          </w:p>
        </w:tc>
        <w:tc>
          <w:tcPr>
            <w:tcW w:w="3854" w:type="dxa"/>
            <w:gridSpan w:val="2"/>
            <w:tcBorders>
              <w:top w:val="nil" w:sz="6" w:space="0" w:color="auto"/>
              <w:left w:val="nil" w:sz="6" w:space="0" w:color="auto"/>
              <w:bottom w:val="nil" w:sz="6" w:space="0" w:color="auto"/>
              <w:right w:val="nil" w:sz="6" w:space="0" w:color="auto"/>
            </w:tcBorders>
            <w:shd w:val="clear" w:color="auto" w:fill="CCE3E4"/>
          </w:tcPr>
          <w:p>
            <w:pPr>
              <w:pStyle w:val="TableParagraph"/>
              <w:spacing w:line="291" w:lineRule="exact" w:before="88"/>
              <w:ind w:left="1187" w:right="0"/>
              <w:jc w:val="left"/>
              <w:rPr>
                <w:rFonts w:ascii="Swis721 BT" w:hAnsi="Swis721 BT" w:cs="Swis721 BT" w:eastAsia="Swis721 BT"/>
                <w:sz w:val="25"/>
                <w:szCs w:val="25"/>
              </w:rPr>
            </w:pPr>
            <w:r>
              <w:rPr>
                <w:rFonts w:ascii="Swis721 BT"/>
                <w:b/>
                <w:color w:val="016369"/>
                <w:sz w:val="25"/>
              </w:rPr>
              <w:t>85</w:t>
            </w:r>
            <w:r>
              <w:rPr>
                <w:rFonts w:ascii="Swis721 BT"/>
                <w:sz w:val="25"/>
              </w:rPr>
            </w:r>
          </w:p>
          <w:p>
            <w:pPr>
              <w:pStyle w:val="TableParagraph"/>
              <w:spacing w:line="195" w:lineRule="exact"/>
              <w:ind w:left="1182" w:right="0"/>
              <w:jc w:val="left"/>
              <w:rPr>
                <w:rFonts w:ascii="Swis721 BT" w:hAnsi="Swis721 BT" w:cs="Swis721 BT" w:eastAsia="Swis721 BT"/>
                <w:sz w:val="17"/>
                <w:szCs w:val="17"/>
              </w:rPr>
            </w:pPr>
            <w:r>
              <w:rPr>
                <w:rFonts w:ascii="Swis721 BT"/>
                <w:b/>
                <w:color w:val="016369"/>
                <w:sz w:val="17"/>
              </w:rPr>
              <w:t>Locations in Australia</w:t>
            </w:r>
            <w:r>
              <w:rPr>
                <w:rFonts w:ascii="Swis721 BT"/>
                <w:sz w:val="17"/>
              </w:rPr>
            </w:r>
          </w:p>
        </w:tc>
      </w:tr>
      <w:tr>
        <w:trPr>
          <w:trHeight w:val="557" w:hRule="exact"/>
        </w:trPr>
        <w:tc>
          <w:tcPr>
            <w:tcW w:w="1991" w:type="dxa"/>
            <w:vMerge/>
            <w:tcBorders>
              <w:left w:val="nil" w:sz="6" w:space="0" w:color="auto"/>
              <w:bottom w:val="nil" w:sz="6" w:space="0" w:color="auto"/>
              <w:right w:val="nil" w:sz="6" w:space="0" w:color="auto"/>
            </w:tcBorders>
            <w:shd w:val="clear" w:color="auto" w:fill="006269"/>
          </w:tcPr>
          <w:p>
            <w:pPr/>
          </w:p>
        </w:tc>
        <w:tc>
          <w:tcPr>
            <w:tcW w:w="6017" w:type="dxa"/>
            <w:gridSpan w:val="3"/>
            <w:tcBorders>
              <w:top w:val="nil" w:sz="6" w:space="0" w:color="auto"/>
              <w:left w:val="nil" w:sz="6" w:space="0" w:color="auto"/>
              <w:bottom w:val="nil" w:sz="6" w:space="0" w:color="auto"/>
              <w:right w:val="nil" w:sz="6" w:space="0" w:color="auto"/>
            </w:tcBorders>
            <w:shd w:val="clear" w:color="auto" w:fill="E5F1F1"/>
          </w:tcPr>
          <w:p>
            <w:pPr/>
          </w:p>
        </w:tc>
      </w:tr>
    </w:tbl>
    <w:p>
      <w:pPr>
        <w:spacing w:after="0"/>
        <w:sectPr>
          <w:type w:val="continuous"/>
          <w:pgSz w:w="9980" w:h="14180"/>
          <w:pgMar w:top="0" w:bottom="280" w:left="740" w:right="0"/>
        </w:sect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pStyle w:val="Heading5"/>
        <w:spacing w:line="240" w:lineRule="auto" w:before="210"/>
        <w:ind w:left="1133" w:right="0"/>
        <w:jc w:val="left"/>
        <w:rPr>
          <w:b w:val="0"/>
          <w:bCs w:val="0"/>
        </w:rPr>
      </w:pPr>
      <w:r>
        <w:rPr/>
        <w:pict>
          <v:group style="position:absolute;margin-left:0pt;margin-top:-72.619987pt;width:498.9pt;height:50.9pt;mso-position-horizontal-relative:page;mso-position-vertical-relative:paragraph;z-index:2584" coordorigin="0,-1452" coordsize="9978,1018">
            <v:group style="position:absolute;left:0;top:-1452;width:9978;height:1018" coordorigin="0,-1452" coordsize="9978,1018">
              <v:shape style="position:absolute;left:0;top:-1452;width:9978;height:1018" coordorigin="0,-1452" coordsize="9978,1018" path="m0,-434l9978,-434,9978,-1452,0,-1452,0,-434xe" filled="true" fillcolor="#a2c6ca" stroked="false">
                <v:path arrowok="t"/>
                <v:fill type="solid"/>
              </v:shape>
              <v:shape style="position:absolute;left:7468;top:-999;width:1660;height:140" type="#_x0000_t202" filled="false" stroked="false">
                <v:textbox inset="0,0,0,0">
                  <w:txbxContent>
                    <w:p>
                      <w:pPr>
                        <w:spacing w:line="140" w:lineRule="exact" w:before="0"/>
                        <w:ind w:left="0" w:right="0" w:firstLine="0"/>
                        <w:jc w:val="lef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txbxContent>
                </v:textbox>
                <w10:wrap type="none"/>
              </v:shape>
            </v:group>
            <w10:wrap type="none"/>
          </v:group>
        </w:pict>
      </w:r>
      <w:r>
        <w:rPr>
          <w:color w:val="005E63"/>
        </w:rPr>
        <w:t>CASE </w:t>
      </w:r>
      <w:r>
        <w:rPr>
          <w:color w:val="005E63"/>
          <w:spacing w:val="-1"/>
        </w:rPr>
        <w:t>STUDY</w:t>
      </w:r>
      <w:r>
        <w:rPr>
          <w:color w:val="005E63"/>
        </w:rPr>
        <w:t> 2</w:t>
      </w:r>
      <w:r>
        <w:rPr>
          <w:b w:val="0"/>
        </w:rPr>
      </w:r>
    </w:p>
    <w:p>
      <w:pPr>
        <w:spacing w:line="240" w:lineRule="auto" w:before="2"/>
        <w:rPr>
          <w:rFonts w:ascii="Swis721 BT" w:hAnsi="Swis721 BT" w:cs="Swis721 BT" w:eastAsia="Swis721 BT"/>
          <w:b/>
          <w:bCs/>
          <w:sz w:val="12"/>
          <w:szCs w:val="12"/>
        </w:rPr>
      </w:pPr>
    </w:p>
    <w:p>
      <w:pPr>
        <w:spacing w:after="0" w:line="240" w:lineRule="auto"/>
        <w:rPr>
          <w:rFonts w:ascii="Swis721 BT" w:hAnsi="Swis721 BT" w:cs="Swis721 BT" w:eastAsia="Swis721 BT"/>
          <w:sz w:val="12"/>
          <w:szCs w:val="12"/>
        </w:rPr>
        <w:sectPr>
          <w:pgSz w:w="9980" w:h="14180"/>
          <w:pgMar w:header="0" w:footer="452" w:top="0" w:bottom="640" w:left="0" w:right="0"/>
        </w:sectPr>
      </w:pPr>
    </w:p>
    <w:p>
      <w:pPr>
        <w:pStyle w:val="Heading8"/>
        <w:spacing w:line="260" w:lineRule="exact" w:before="76"/>
        <w:ind w:left="1133" w:right="193"/>
        <w:jc w:val="left"/>
      </w:pPr>
      <w:r>
        <w:rPr/>
        <w:pict>
          <v:group style="position:absolute;margin-left:0pt;margin-top:50.900009pt;width:498.9pt;height:657.8pt;mso-position-horizontal-relative:page;mso-position-vertical-relative:page;z-index:-183112" coordorigin="0,1018" coordsize="9978,13156">
            <v:shape style="position:absolute;left:0;top:1018;width:9978;height:13156" coordorigin="0,1018" coordsize="9978,13156" path="m0,14173l9978,14173,9978,1018,0,1018,0,14173xe" filled="true" fillcolor="#dae7e8" stroked="false">
              <v:path arrowok="t"/>
              <v:fill type="solid"/>
            </v:shape>
            <w10:wrap type="none"/>
          </v:group>
        </w:pict>
      </w:r>
      <w:r>
        <w:rPr>
          <w:color w:val="00757A"/>
        </w:rPr>
        <w:t>High-quality professional learning for Australian teachers: what do we know?</w:t>
      </w:r>
      <w:r>
        <w:rPr/>
      </w:r>
    </w:p>
    <w:p>
      <w:pPr>
        <w:pStyle w:val="BodyText"/>
        <w:spacing w:line="240" w:lineRule="auto" w:before="106"/>
        <w:ind w:left="1133" w:right="166"/>
        <w:jc w:val="left"/>
      </w:pPr>
      <w:r>
        <w:rPr>
          <w:color w:val="231F20"/>
        </w:rPr>
        <w:t>It is well-known that teacher quality is the single most important in-school factor influencing</w:t>
      </w:r>
      <w:r>
        <w:rPr>
          <w:color w:val="231F20"/>
          <w:spacing w:val="-3"/>
        </w:rPr>
        <w:t> </w:t>
      </w:r>
      <w:r>
        <w:rPr>
          <w:color w:val="231F20"/>
        </w:rPr>
        <w:t>student</w:t>
      </w:r>
      <w:r>
        <w:rPr>
          <w:color w:val="231F20"/>
          <w:spacing w:val="-3"/>
        </w:rPr>
        <w:t> </w:t>
      </w:r>
      <w:r>
        <w:rPr>
          <w:color w:val="231F20"/>
        </w:rPr>
        <w:t>achievement.</w:t>
      </w:r>
      <w:r>
        <w:rPr>
          <w:color w:val="231F20"/>
          <w:spacing w:val="-3"/>
        </w:rPr>
        <w:t> </w:t>
      </w:r>
      <w:r>
        <w:rPr>
          <w:color w:val="231F20"/>
        </w:rPr>
        <w:t>Effective</w:t>
      </w:r>
      <w:r>
        <w:rPr>
          <w:color w:val="231F20"/>
        </w:rPr>
        <w:t> ongoing professional learning, sustained by a culture of learning and collaboration within</w:t>
      </w:r>
      <w:r>
        <w:rPr/>
      </w:r>
    </w:p>
    <w:p>
      <w:pPr>
        <w:pStyle w:val="BodyText"/>
        <w:spacing w:line="240" w:lineRule="auto" w:before="0"/>
        <w:ind w:left="1133" w:right="11"/>
        <w:jc w:val="left"/>
      </w:pPr>
      <w:r>
        <w:rPr>
          <w:color w:val="231F20"/>
        </w:rPr>
        <w:t>schools, will enable teachers to better support their learners.</w:t>
      </w:r>
      <w:r>
        <w:rPr/>
      </w:r>
    </w:p>
    <w:p>
      <w:pPr>
        <w:pStyle w:val="BodyText"/>
        <w:spacing w:line="240" w:lineRule="auto"/>
        <w:ind w:left="1133" w:right="193"/>
        <w:jc w:val="left"/>
      </w:pPr>
      <w:r>
        <w:rPr>
          <w:color w:val="231F20"/>
        </w:rPr>
        <w:t>While this holds true for all teachers, there are three cohorts of educators whose circumstances</w:t>
      </w:r>
      <w:r>
        <w:rPr>
          <w:color w:val="231F20"/>
          <w:spacing w:val="-1"/>
        </w:rPr>
        <w:t> </w:t>
      </w:r>
      <w:r>
        <w:rPr>
          <w:color w:val="231F20"/>
        </w:rPr>
        <w:t>make</w:t>
      </w:r>
      <w:r>
        <w:rPr>
          <w:color w:val="231F20"/>
          <w:spacing w:val="-1"/>
        </w:rPr>
        <w:t> </w:t>
      </w:r>
      <w:r>
        <w:rPr>
          <w:color w:val="231F20"/>
        </w:rPr>
        <w:t>it</w:t>
      </w:r>
      <w:r>
        <w:rPr>
          <w:color w:val="231F20"/>
          <w:spacing w:val="-1"/>
        </w:rPr>
        <w:t> </w:t>
      </w:r>
      <w:r>
        <w:rPr>
          <w:color w:val="231F20"/>
        </w:rPr>
        <w:t>difficult</w:t>
      </w:r>
      <w:r>
        <w:rPr>
          <w:color w:val="231F20"/>
          <w:spacing w:val="-1"/>
        </w:rPr>
        <w:t> </w:t>
      </w:r>
      <w:r>
        <w:rPr>
          <w:color w:val="231F20"/>
        </w:rPr>
        <w:t>for</w:t>
      </w:r>
      <w:r>
        <w:rPr>
          <w:color w:val="231F20"/>
          <w:spacing w:val="-1"/>
        </w:rPr>
        <w:t> </w:t>
      </w:r>
      <w:r>
        <w:rPr>
          <w:color w:val="231F20"/>
        </w:rPr>
        <w:t>them</w:t>
      </w:r>
      <w:r>
        <w:rPr>
          <w:color w:val="231F20"/>
          <w:spacing w:val="-1"/>
        </w:rPr>
        <w:t> </w:t>
      </w:r>
      <w:r>
        <w:rPr>
          <w:color w:val="231F20"/>
        </w:rPr>
        <w:t>to</w:t>
      </w:r>
      <w:r>
        <w:rPr>
          <w:color w:val="231F20"/>
        </w:rPr>
        <w:t> plan and undertake professional learning effectively: early childhood teachers (EC</w:t>
      </w:r>
      <w:r>
        <w:rPr>
          <w:color w:val="231F20"/>
          <w:spacing w:val="-26"/>
        </w:rPr>
        <w:t>T</w:t>
      </w:r>
      <w:r>
        <w:rPr>
          <w:color w:val="231F20"/>
        </w:rPr>
        <w:t>s),</w:t>
      </w:r>
      <w:r>
        <w:rPr>
          <w:color w:val="231F20"/>
        </w:rPr>
        <w:t> casual/relief teachers (CR</w:t>
      </w:r>
      <w:r>
        <w:rPr>
          <w:color w:val="231F20"/>
          <w:spacing w:val="-26"/>
        </w:rPr>
        <w:t>T</w:t>
      </w:r>
      <w:r>
        <w:rPr>
          <w:color w:val="231F20"/>
        </w:rPr>
        <w:t>s), and teachers</w:t>
      </w:r>
      <w:r>
        <w:rPr>
          <w:color w:val="231F20"/>
        </w:rPr>
        <w:t> in rural, regional and remote (RRR) contexts.</w:t>
      </w:r>
      <w:r>
        <w:rPr/>
      </w:r>
    </w:p>
    <w:p>
      <w:pPr>
        <w:pStyle w:val="BodyText"/>
        <w:spacing w:line="240" w:lineRule="auto" w:before="0"/>
        <w:ind w:left="1133" w:right="11"/>
        <w:jc w:val="left"/>
      </w:pPr>
      <w:r>
        <w:rPr>
          <w:color w:val="231F20"/>
          <w:spacing w:val="-1"/>
        </w:rPr>
        <w:t>Available</w:t>
      </w:r>
      <w:r>
        <w:rPr>
          <w:color w:val="231F20"/>
        </w:rPr>
        <w:t> evidence suggests these cohorts</w:t>
      </w:r>
      <w:r>
        <w:rPr>
          <w:color w:val="231F20"/>
          <w:spacing w:val="26"/>
        </w:rPr>
        <w:t> </w:t>
      </w:r>
      <w:r>
        <w:rPr>
          <w:color w:val="231F20"/>
        </w:rPr>
        <w:t>represent</w:t>
      </w:r>
      <w:r>
        <w:rPr>
          <w:color w:val="231F20"/>
          <w:spacing w:val="-2"/>
        </w:rPr>
        <w:t> </w:t>
      </w:r>
      <w:r>
        <w:rPr>
          <w:color w:val="231F20"/>
        </w:rPr>
        <w:t>a</w:t>
      </w:r>
      <w:r>
        <w:rPr>
          <w:color w:val="231F20"/>
          <w:spacing w:val="-2"/>
        </w:rPr>
        <w:t> </w:t>
      </w:r>
      <w:r>
        <w:rPr>
          <w:color w:val="231F20"/>
        </w:rPr>
        <w:t>significant</w:t>
      </w:r>
      <w:r>
        <w:rPr>
          <w:color w:val="231F20"/>
          <w:spacing w:val="-1"/>
        </w:rPr>
        <w:t> </w:t>
      </w:r>
      <w:r>
        <w:rPr>
          <w:color w:val="231F20"/>
        </w:rPr>
        <w:t>proportion</w:t>
      </w:r>
      <w:r>
        <w:rPr>
          <w:color w:val="231F20"/>
          <w:spacing w:val="-2"/>
        </w:rPr>
        <w:t> </w:t>
      </w:r>
      <w:r>
        <w:rPr>
          <w:color w:val="231F20"/>
        </w:rPr>
        <w:t>of</w:t>
      </w:r>
      <w:r>
        <w:rPr>
          <w:color w:val="231F20"/>
          <w:spacing w:val="-2"/>
        </w:rPr>
        <w:t> </w:t>
      </w:r>
      <w:r>
        <w:rPr>
          <w:color w:val="231F20"/>
        </w:rPr>
        <w:t>teachers.</w:t>
      </w:r>
      <w:r>
        <w:rPr>
          <w:color w:val="231F20"/>
        </w:rPr>
        <w:t> The average student will be taught by a CRT for up to one year in total over their schooling life. </w:t>
      </w:r>
      <w:r>
        <w:rPr>
          <w:color w:val="231F20"/>
          <w:spacing w:val="-2"/>
        </w:rPr>
        <w:t>Clearly,</w:t>
      </w:r>
      <w:r>
        <w:rPr>
          <w:color w:val="231F20"/>
        </w:rPr>
        <w:t> their teaching matters.</w:t>
      </w:r>
      <w:r>
        <w:rPr/>
      </w:r>
    </w:p>
    <w:p>
      <w:pPr>
        <w:pStyle w:val="BodyText"/>
        <w:spacing w:line="240" w:lineRule="auto"/>
        <w:ind w:left="1133" w:right="53"/>
        <w:jc w:val="left"/>
      </w:pPr>
      <w:r>
        <w:rPr>
          <w:color w:val="231F20"/>
        </w:rPr>
        <w:t>In 2018, AITSL investigated the distinct challenges faced by these teachers through consultations, three targeted surveys with each cohort, and a desktop review of relevant research</w:t>
      </w:r>
      <w:r>
        <w:rPr>
          <w:color w:val="231F20"/>
          <w:spacing w:val="-2"/>
        </w:rPr>
        <w:t> </w:t>
      </w:r>
      <w:r>
        <w:rPr>
          <w:color w:val="231F20"/>
        </w:rPr>
        <w:t>and</w:t>
      </w:r>
      <w:r>
        <w:rPr>
          <w:color w:val="231F20"/>
          <w:spacing w:val="-2"/>
        </w:rPr>
        <w:t> </w:t>
      </w:r>
      <w:r>
        <w:rPr>
          <w:color w:val="231F20"/>
        </w:rPr>
        <w:t>publications.</w:t>
      </w:r>
      <w:r>
        <w:rPr>
          <w:color w:val="231F20"/>
          <w:spacing w:val="-1"/>
        </w:rPr>
        <w:t> </w:t>
      </w:r>
      <w:r>
        <w:rPr>
          <w:color w:val="231F20"/>
        </w:rPr>
        <w:t>The</w:t>
      </w:r>
      <w:r>
        <w:rPr>
          <w:color w:val="231F20"/>
          <w:spacing w:val="-2"/>
        </w:rPr>
        <w:t> </w:t>
      </w:r>
      <w:r>
        <w:rPr>
          <w:color w:val="231F20"/>
        </w:rPr>
        <w:t>findings</w:t>
      </w:r>
      <w:r>
        <w:rPr>
          <w:color w:val="231F20"/>
          <w:w w:val="99"/>
        </w:rPr>
        <w:t> </w:t>
      </w:r>
      <w:r>
        <w:rPr>
          <w:color w:val="231F20"/>
        </w:rPr>
        <w:t>focused on current professional learning</w:t>
      </w:r>
      <w:r>
        <w:rPr/>
      </w:r>
    </w:p>
    <w:p>
      <w:pPr>
        <w:pStyle w:val="BodyText"/>
        <w:spacing w:line="240" w:lineRule="auto" w:before="0"/>
        <w:ind w:left="1133" w:right="166"/>
        <w:jc w:val="left"/>
      </w:pPr>
      <w:r>
        <w:rPr>
          <w:color w:val="231F20"/>
        </w:rPr>
        <w:t>for each cohort, including their motivations, barriers and facilitating factors.</w:t>
      </w:r>
      <w:r>
        <w:rPr/>
      </w:r>
    </w:p>
    <w:p>
      <w:pPr>
        <w:pStyle w:val="BodyText"/>
        <w:spacing w:line="240" w:lineRule="auto"/>
        <w:ind w:left="1133" w:right="0"/>
        <w:jc w:val="left"/>
      </w:pPr>
      <w:r>
        <w:rPr>
          <w:color w:val="231F20"/>
        </w:rPr>
        <w:t>While professional learning for teachers is recommended at around 20 hours per year on average (</w:t>
      </w:r>
      <w:r>
        <w:rPr>
          <w:rFonts w:ascii="Swis721 Lt BT"/>
          <w:i/>
          <w:color w:val="231F20"/>
        </w:rPr>
        <w:t>One </w:t>
      </w:r>
      <w:r>
        <w:rPr>
          <w:rFonts w:ascii="Swis721 Lt BT"/>
          <w:i/>
          <w:color w:val="231F20"/>
          <w:spacing w:val="-3"/>
        </w:rPr>
        <w:t>Teaching</w:t>
      </w:r>
      <w:r>
        <w:rPr>
          <w:rFonts w:ascii="Swis721 Lt BT"/>
          <w:i/>
          <w:color w:val="231F20"/>
        </w:rPr>
        <w:t> Profession: </w:t>
      </w:r>
      <w:r>
        <w:rPr>
          <w:rFonts w:ascii="Swis721 Lt BT"/>
          <w:i/>
          <w:color w:val="231F20"/>
          <w:spacing w:val="-4"/>
        </w:rPr>
        <w:t>Teacher</w:t>
      </w:r>
      <w:r>
        <w:rPr>
          <w:rFonts w:ascii="Swis721 Lt BT"/>
          <w:i/>
          <w:color w:val="231F20"/>
          <w:spacing w:val="27"/>
        </w:rPr>
        <w:t> </w:t>
      </w:r>
      <w:r>
        <w:rPr>
          <w:rFonts w:ascii="Swis721 Lt BT"/>
          <w:i/>
          <w:color w:val="231F20"/>
        </w:rPr>
        <w:t>Registration in Australia</w:t>
      </w:r>
      <w:r>
        <w:rPr>
          <w:color w:val="231F20"/>
        </w:rPr>
        <w:t>, 2018), the research</w:t>
      </w:r>
      <w:r>
        <w:rPr>
          <w:color w:val="231F20"/>
        </w:rPr>
        <w:t> found that 43% of </w:t>
      </w:r>
      <w:r>
        <w:rPr>
          <w:color w:val="231F20"/>
          <w:spacing w:val="-6"/>
        </w:rPr>
        <w:t>CRTs,</w:t>
      </w:r>
      <w:r>
        <w:rPr>
          <w:color w:val="231F20"/>
        </w:rPr>
        <w:t> 22% of </w:t>
      </w:r>
      <w:r>
        <w:rPr>
          <w:color w:val="231F20"/>
          <w:spacing w:val="-7"/>
        </w:rPr>
        <w:t>ECTs</w:t>
      </w:r>
      <w:r>
        <w:rPr>
          <w:color w:val="231F20"/>
        </w:rPr>
        <w:t> and 20%</w:t>
      </w:r>
      <w:r>
        <w:rPr>
          <w:color w:val="231F20"/>
          <w:spacing w:val="26"/>
        </w:rPr>
        <w:t> </w:t>
      </w:r>
      <w:r>
        <w:rPr>
          <w:color w:val="231F20"/>
        </w:rPr>
        <w:t>of RRRs reported undertaking less than 10</w:t>
      </w:r>
      <w:r>
        <w:rPr>
          <w:color w:val="231F20"/>
        </w:rPr>
        <w:t> hours of professional learning in the preceding 12 months.</w:t>
      </w:r>
      <w:r>
        <w:rPr/>
      </w:r>
    </w:p>
    <w:p>
      <w:pPr>
        <w:pStyle w:val="BodyText"/>
        <w:spacing w:line="240" w:lineRule="auto"/>
        <w:ind w:left="1133" w:right="0"/>
        <w:jc w:val="left"/>
      </w:pPr>
      <w:r>
        <w:rPr>
          <w:color w:val="231F20"/>
          <w:spacing w:val="-2"/>
        </w:rPr>
        <w:t>For </w:t>
      </w:r>
      <w:r>
        <w:rPr>
          <w:color w:val="231F20"/>
        </w:rPr>
        <w:t>these</w:t>
      </w:r>
      <w:r>
        <w:rPr>
          <w:color w:val="231F20"/>
          <w:spacing w:val="-2"/>
        </w:rPr>
        <w:t> </w:t>
      </w:r>
      <w:r>
        <w:rPr>
          <w:color w:val="231F20"/>
        </w:rPr>
        <w:t>cohorts,</w:t>
      </w:r>
      <w:r>
        <w:rPr>
          <w:color w:val="231F20"/>
          <w:spacing w:val="-2"/>
        </w:rPr>
        <w:t> </w:t>
      </w:r>
      <w:r>
        <w:rPr>
          <w:color w:val="231F20"/>
        </w:rPr>
        <w:t>the</w:t>
      </w:r>
      <w:r>
        <w:rPr>
          <w:color w:val="231F20"/>
          <w:spacing w:val="-2"/>
        </w:rPr>
        <w:t> </w:t>
      </w:r>
      <w:r>
        <w:rPr>
          <w:color w:val="231F20"/>
        </w:rPr>
        <w:t>major</w:t>
      </w:r>
      <w:r>
        <w:rPr>
          <w:color w:val="231F20"/>
          <w:spacing w:val="-2"/>
        </w:rPr>
        <w:t> </w:t>
      </w:r>
      <w:r>
        <w:rPr>
          <w:color w:val="231F20"/>
        </w:rPr>
        <w:t>perceived</w:t>
      </w:r>
      <w:r>
        <w:rPr>
          <w:color w:val="231F20"/>
          <w:spacing w:val="-2"/>
        </w:rPr>
        <w:t> </w:t>
      </w:r>
      <w:r>
        <w:rPr>
          <w:color w:val="231F20"/>
        </w:rPr>
        <w:t>barriers</w:t>
      </w:r>
      <w:r>
        <w:rPr>
          <w:color w:val="231F20"/>
          <w:spacing w:val="21"/>
        </w:rPr>
        <w:t> </w:t>
      </w:r>
      <w:r>
        <w:rPr>
          <w:color w:val="231F20"/>
        </w:rPr>
        <w:t>in accessing quality professional learning are:</w:t>
      </w:r>
      <w:r>
        <w:rPr>
          <w:color w:val="231F20"/>
        </w:rPr>
        <w:t> funding for fees and expenses, time to travel and undertake the learning, CRT coverage, lack of access to school-based learning, and the accessibility and relevance of external and online options.</w:t>
      </w:r>
      <w:r>
        <w:rPr/>
      </w:r>
    </w:p>
    <w:p>
      <w:pPr>
        <w:pStyle w:val="BodyText"/>
        <w:spacing w:line="240" w:lineRule="auto" w:before="69"/>
        <w:ind w:left="300" w:right="873"/>
        <w:jc w:val="left"/>
      </w:pPr>
      <w:r>
        <w:rPr/>
        <w:br w:type="column"/>
      </w:r>
      <w:r>
        <w:rPr>
          <w:color w:val="231F20"/>
        </w:rPr>
        <w:t>Misconceptions about what constitutes high-</w:t>
      </w:r>
      <w:r>
        <w:rPr>
          <w:color w:val="231F20"/>
        </w:rPr>
        <w:t> quality professional learning and who this learning is meant for suggests these teacher cohorts may be </w:t>
      </w:r>
      <w:r>
        <w:rPr>
          <w:color w:val="231F20"/>
          <w:spacing w:val="-1"/>
        </w:rPr>
        <w:t>under-reporting</w:t>
      </w:r>
      <w:r>
        <w:rPr>
          <w:color w:val="231F20"/>
        </w:rPr>
        <w:t> the amount</w:t>
      </w:r>
      <w:r>
        <w:rPr>
          <w:color w:val="231F20"/>
          <w:spacing w:val="24"/>
        </w:rPr>
        <w:t> </w:t>
      </w:r>
      <w:r>
        <w:rPr>
          <w:color w:val="231F20"/>
        </w:rPr>
        <w:t>and nature of the learning they undertake.</w:t>
      </w:r>
      <w:r>
        <w:rPr/>
      </w:r>
    </w:p>
    <w:p>
      <w:pPr>
        <w:pStyle w:val="BodyText"/>
        <w:spacing w:line="240" w:lineRule="auto" w:before="0"/>
        <w:ind w:left="300" w:right="873"/>
        <w:jc w:val="left"/>
      </w:pPr>
      <w:r>
        <w:rPr>
          <w:color w:val="231F20"/>
        </w:rPr>
        <w:t>While these teacher cohorts agree mentorship and collegial and collaborative opportunities with other teachers are valuable for their professional growth, they do not always identify these as high-quality professional learning. There was a tendency among</w:t>
      </w:r>
      <w:r>
        <w:rPr/>
      </w:r>
    </w:p>
    <w:p>
      <w:pPr>
        <w:pStyle w:val="BodyText"/>
        <w:spacing w:line="240" w:lineRule="auto" w:before="0"/>
        <w:ind w:left="300" w:right="873"/>
        <w:jc w:val="left"/>
      </w:pPr>
      <w:r>
        <w:rPr>
          <w:color w:val="231F20"/>
        </w:rPr>
        <w:t>these teacher cohorts to view professional learning as primarily external — akin to a conference — as opposed to job embedded, ongoing and collaborative. This perception</w:t>
      </w:r>
      <w:r>
        <w:rPr/>
      </w:r>
    </w:p>
    <w:p>
      <w:pPr>
        <w:pStyle w:val="BodyText"/>
        <w:spacing w:line="240" w:lineRule="auto" w:before="0"/>
        <w:ind w:left="300" w:right="873"/>
        <w:jc w:val="left"/>
      </w:pPr>
      <w:r>
        <w:rPr>
          <w:color w:val="231F20"/>
        </w:rPr>
        <w:t>is not uncommon throughout the teaching profession. In the case of the early childhood </w:t>
      </w:r>
      <w:r>
        <w:rPr>
          <w:color w:val="231F20"/>
          <w:spacing w:val="-3"/>
        </w:rPr>
        <w:t>sector,</w:t>
      </w:r>
      <w:r>
        <w:rPr>
          <w:color w:val="231F20"/>
        </w:rPr>
        <w:t> professional learning tends to be</w:t>
      </w:r>
      <w:r>
        <w:rPr>
          <w:color w:val="231F20"/>
          <w:spacing w:val="23"/>
        </w:rPr>
        <w:t> </w:t>
      </w:r>
      <w:r>
        <w:rPr>
          <w:color w:val="231F20"/>
        </w:rPr>
        <w:t>perceived as a reward rather than a </w:t>
      </w:r>
      <w:r>
        <w:rPr>
          <w:color w:val="231F20"/>
          <w:spacing w:val="-2"/>
        </w:rPr>
        <w:t>necessity.</w:t>
      </w:r>
      <w:r>
        <w:rPr/>
      </w:r>
    </w:p>
    <w:p>
      <w:pPr>
        <w:pStyle w:val="BodyText"/>
        <w:spacing w:line="240" w:lineRule="auto"/>
        <w:ind w:left="300" w:right="1358"/>
        <w:jc w:val="both"/>
      </w:pPr>
      <w:r>
        <w:rPr>
          <w:color w:val="231F20"/>
          <w:spacing w:val="-3"/>
        </w:rPr>
        <w:t>However,</w:t>
      </w:r>
      <w:r>
        <w:rPr>
          <w:color w:val="231F20"/>
          <w:spacing w:val="-2"/>
        </w:rPr>
        <w:t> </w:t>
      </w:r>
      <w:r>
        <w:rPr>
          <w:color w:val="231F20"/>
        </w:rPr>
        <w:t>these</w:t>
      </w:r>
      <w:r>
        <w:rPr>
          <w:color w:val="231F20"/>
          <w:spacing w:val="-1"/>
        </w:rPr>
        <w:t> </w:t>
      </w:r>
      <w:r>
        <w:rPr>
          <w:color w:val="231F20"/>
        </w:rPr>
        <w:t>findings</w:t>
      </w:r>
      <w:r>
        <w:rPr>
          <w:color w:val="231F20"/>
          <w:spacing w:val="-1"/>
        </w:rPr>
        <w:t> </w:t>
      </w:r>
      <w:r>
        <w:rPr>
          <w:color w:val="231F20"/>
        </w:rPr>
        <w:t>suggest</w:t>
      </w:r>
      <w:r>
        <w:rPr>
          <w:color w:val="231F20"/>
          <w:spacing w:val="-1"/>
        </w:rPr>
        <w:t> </w:t>
      </w:r>
      <w:r>
        <w:rPr>
          <w:color w:val="231F20"/>
        </w:rPr>
        <w:t>there</w:t>
      </w:r>
      <w:r>
        <w:rPr>
          <w:color w:val="231F20"/>
          <w:spacing w:val="-1"/>
        </w:rPr>
        <w:t> </w:t>
      </w:r>
      <w:r>
        <w:rPr>
          <w:color w:val="231F20"/>
        </w:rPr>
        <w:t>is</w:t>
      </w:r>
      <w:r>
        <w:rPr>
          <w:color w:val="231F20"/>
          <w:spacing w:val="26"/>
        </w:rPr>
        <w:t> </w:t>
      </w:r>
      <w:r>
        <w:rPr>
          <w:color w:val="231F20"/>
        </w:rPr>
        <w:t>a need for more nuanced approaches to</w:t>
      </w:r>
      <w:r>
        <w:rPr>
          <w:color w:val="231F20"/>
        </w:rPr>
        <w:t> providing professional learning for these</w:t>
      </w:r>
      <w:r>
        <w:rPr/>
      </w:r>
    </w:p>
    <w:p>
      <w:pPr>
        <w:pStyle w:val="BodyText"/>
        <w:spacing w:line="240" w:lineRule="auto" w:before="0"/>
        <w:ind w:left="300" w:right="873"/>
        <w:jc w:val="left"/>
      </w:pPr>
      <w:r>
        <w:rPr>
          <w:color w:val="231F20"/>
        </w:rPr>
        <w:t>specific</w:t>
      </w:r>
      <w:r>
        <w:rPr>
          <w:color w:val="231F20"/>
          <w:spacing w:val="-1"/>
        </w:rPr>
        <w:t> </w:t>
      </w:r>
      <w:r>
        <w:rPr>
          <w:color w:val="231F20"/>
        </w:rPr>
        <w:t>groups</w:t>
      </w:r>
      <w:r>
        <w:rPr>
          <w:color w:val="231F20"/>
          <w:spacing w:val="-1"/>
        </w:rPr>
        <w:t> </w:t>
      </w:r>
      <w:r>
        <w:rPr>
          <w:color w:val="231F20"/>
        </w:rPr>
        <w:t>of</w:t>
      </w:r>
      <w:r>
        <w:rPr>
          <w:color w:val="231F20"/>
          <w:spacing w:val="-1"/>
        </w:rPr>
        <w:t> </w:t>
      </w:r>
      <w:r>
        <w:rPr>
          <w:color w:val="231F20"/>
        </w:rPr>
        <w:t>teachers</w:t>
      </w:r>
      <w:r>
        <w:rPr>
          <w:color w:val="231F20"/>
          <w:spacing w:val="-1"/>
        </w:rPr>
        <w:t> </w:t>
      </w:r>
      <w:r>
        <w:rPr>
          <w:color w:val="231F20"/>
        </w:rPr>
        <w:t>as</w:t>
      </w:r>
      <w:r>
        <w:rPr>
          <w:color w:val="231F20"/>
          <w:spacing w:val="-1"/>
        </w:rPr>
        <w:t> </w:t>
      </w:r>
      <w:r>
        <w:rPr>
          <w:color w:val="231F20"/>
        </w:rPr>
        <w:t>they</w:t>
      </w:r>
      <w:r>
        <w:rPr>
          <w:color w:val="231F20"/>
          <w:spacing w:val="-1"/>
        </w:rPr>
        <w:t> </w:t>
      </w:r>
      <w:r>
        <w:rPr>
          <w:color w:val="231F20"/>
        </w:rPr>
        <w:t>work</w:t>
      </w:r>
      <w:r>
        <w:rPr>
          <w:color w:val="231F20"/>
          <w:spacing w:val="-1"/>
        </w:rPr>
        <w:t> </w:t>
      </w:r>
      <w:r>
        <w:rPr>
          <w:color w:val="231F20"/>
        </w:rPr>
        <w:t>in</w:t>
      </w:r>
      <w:r>
        <w:rPr>
          <w:color w:val="231F20"/>
        </w:rPr>
        <w:t> diverse contexts and have different needs.</w:t>
      </w:r>
      <w:r>
        <w:rPr/>
      </w:r>
    </w:p>
    <w:p>
      <w:pPr>
        <w:pStyle w:val="BodyText"/>
        <w:spacing w:line="240" w:lineRule="auto"/>
        <w:ind w:left="300" w:right="848"/>
        <w:jc w:val="left"/>
      </w:pPr>
      <w:r>
        <w:rPr>
          <w:color w:val="231F20"/>
        </w:rPr>
        <w:t>One recommendation is to diversify and make school-based or local professional learning opportunities</w:t>
      </w:r>
      <w:r>
        <w:rPr>
          <w:color w:val="231F20"/>
          <w:spacing w:val="-2"/>
        </w:rPr>
        <w:t> </w:t>
      </w:r>
      <w:r>
        <w:rPr>
          <w:color w:val="231F20"/>
        </w:rPr>
        <w:t>more</w:t>
      </w:r>
      <w:r>
        <w:rPr>
          <w:color w:val="231F20"/>
          <w:spacing w:val="-2"/>
        </w:rPr>
        <w:t> </w:t>
      </w:r>
      <w:r>
        <w:rPr>
          <w:color w:val="231F20"/>
        </w:rPr>
        <w:t>available</w:t>
      </w:r>
      <w:r>
        <w:rPr>
          <w:color w:val="231F20"/>
          <w:spacing w:val="-2"/>
        </w:rPr>
        <w:t> </w:t>
      </w:r>
      <w:r>
        <w:rPr>
          <w:color w:val="231F20"/>
        </w:rPr>
        <w:t>to</w:t>
      </w:r>
      <w:r>
        <w:rPr>
          <w:color w:val="231F20"/>
          <w:spacing w:val="-2"/>
        </w:rPr>
        <w:t> </w:t>
      </w:r>
      <w:r>
        <w:rPr>
          <w:color w:val="231F20"/>
        </w:rPr>
        <w:t>these</w:t>
      </w:r>
      <w:r>
        <w:rPr>
          <w:color w:val="231F20"/>
          <w:spacing w:val="-2"/>
        </w:rPr>
        <w:t> </w:t>
      </w:r>
      <w:r>
        <w:rPr>
          <w:color w:val="231F20"/>
        </w:rPr>
        <w:t>teachers,</w:t>
      </w:r>
      <w:r>
        <w:rPr>
          <w:color w:val="231F20"/>
        </w:rPr>
        <w:t> including exploring strategies for providing tailored, in-house opportunities. Learning content and strategies could be catered to teachers’</w:t>
      </w:r>
      <w:r>
        <w:rPr>
          <w:color w:val="231F20"/>
          <w:spacing w:val="-2"/>
        </w:rPr>
        <w:t> </w:t>
      </w:r>
      <w:r>
        <w:rPr>
          <w:color w:val="231F20"/>
        </w:rPr>
        <w:t>specific</w:t>
      </w:r>
      <w:r>
        <w:rPr>
          <w:color w:val="231F20"/>
          <w:spacing w:val="-1"/>
        </w:rPr>
        <w:t> </w:t>
      </w:r>
      <w:r>
        <w:rPr>
          <w:color w:val="231F20"/>
        </w:rPr>
        <w:t>needs</w:t>
      </w:r>
      <w:r>
        <w:rPr>
          <w:color w:val="231F20"/>
          <w:spacing w:val="-1"/>
        </w:rPr>
        <w:t> </w:t>
      </w:r>
      <w:r>
        <w:rPr>
          <w:color w:val="231F20"/>
        </w:rPr>
        <w:t>and</w:t>
      </w:r>
      <w:r>
        <w:rPr>
          <w:color w:val="231F20"/>
          <w:spacing w:val="-2"/>
        </w:rPr>
        <w:t> </w:t>
      </w:r>
      <w:r>
        <w:rPr>
          <w:color w:val="231F20"/>
        </w:rPr>
        <w:t>contexts.</w:t>
      </w:r>
      <w:r>
        <w:rPr>
          <w:color w:val="231F20"/>
          <w:spacing w:val="-1"/>
        </w:rPr>
        <w:t> </w:t>
      </w:r>
      <w:r>
        <w:rPr>
          <w:color w:val="231F20"/>
        </w:rPr>
        <w:t>Online</w:t>
      </w:r>
      <w:r>
        <w:rPr>
          <w:color w:val="231F20"/>
        </w:rPr>
        <w:t> and technological options hold promise, but they need to be optimally functioning, and their content and structure quality assured.</w:t>
      </w:r>
      <w:r>
        <w:rPr/>
      </w:r>
    </w:p>
    <w:p>
      <w:pPr>
        <w:pStyle w:val="BodyText"/>
        <w:spacing w:line="240" w:lineRule="auto"/>
        <w:ind w:left="300" w:right="866"/>
        <w:jc w:val="left"/>
      </w:pPr>
      <w:r>
        <w:rPr>
          <w:color w:val="231F20"/>
        </w:rPr>
        <w:t>Initiatives are in place or being trialled within different jurisdictions to address some of these issues. There is opportunity to evaluate these initiatives and scale them throughout the Australian professional learning landscape.</w:t>
      </w:r>
      <w:r>
        <w:rPr/>
      </w:r>
    </w:p>
    <w:p>
      <w:pPr>
        <w:spacing w:after="0" w:line="240" w:lineRule="auto"/>
        <w:jc w:val="left"/>
        <w:sectPr>
          <w:type w:val="continuous"/>
          <w:pgSz w:w="9980" w:h="14180"/>
          <w:pgMar w:top="0" w:bottom="280" w:left="0" w:right="0"/>
          <w:cols w:num="2" w:equalWidth="0">
            <w:col w:w="4961" w:space="40"/>
            <w:col w:w="4979"/>
          </w:cols>
        </w:sectPr>
      </w:pPr>
    </w:p>
    <w:p>
      <w:pPr>
        <w:spacing w:line="240" w:lineRule="auto" w:before="0"/>
        <w:rPr>
          <w:rFonts w:ascii="Swis721 Lt BT" w:hAnsi="Swis721 Lt BT" w:cs="Swis721 Lt BT" w:eastAsia="Swis721 Lt BT"/>
          <w:sz w:val="20"/>
          <w:szCs w:val="20"/>
        </w:rPr>
      </w:pPr>
      <w:r>
        <w:rPr/>
        <w:pict>
          <v:group style="position:absolute;margin-left:0pt;margin-top:50.900009pt;width:498.9pt;height:657.8pt;mso-position-horizontal-relative:page;mso-position-vertical-relative:page;z-index:-183040" coordorigin="0,1018" coordsize="9978,13156">
            <v:shape style="position:absolute;left:0;top:1018;width:9978;height:13156" coordorigin="0,1018" coordsize="9978,13156" path="m0,14173l9978,14173,9978,1018,0,1018,0,14173xe" filled="true" fillcolor="#dae7e8" stroked="false">
              <v:path arrowok="t"/>
              <v:fill type="solid"/>
            </v:shape>
            <w10:wrap type="none"/>
          </v:group>
        </w:pict>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pStyle w:val="Heading2"/>
        <w:spacing w:line="240" w:lineRule="auto" w:before="185"/>
        <w:ind w:left="850" w:right="0"/>
        <w:jc w:val="left"/>
        <w:rPr>
          <w:b w:val="0"/>
          <w:bCs w:val="0"/>
        </w:rPr>
      </w:pPr>
      <w:r>
        <w:rPr/>
        <w:pict>
          <v:group style="position:absolute;margin-left:0pt;margin-top:-72.590691pt;width:498.9pt;height:50.9pt;mso-position-horizontal-relative:page;mso-position-vertical-relative:paragraph;z-index:2632" coordorigin="0,-1452" coordsize="9978,1018">
            <v:shape style="position:absolute;left:0;top:-1452;width:9978;height:1018" coordorigin="0,-1452" coordsize="9978,1018" path="m0,-434l9978,-434,9978,-1452,0,-1452,0,-434xe" filled="true" fillcolor="#003b45" stroked="false">
              <v:path arrowok="t"/>
              <v:fill type="solid"/>
            </v:shape>
            <w10:wrap type="none"/>
          </v:group>
        </w:pict>
      </w:r>
      <w:bookmarkStart w:name="_TOC_250005" w:id="11"/>
      <w:bookmarkStart w:name="REACH INTO THE PROFESSION" w:id="12"/>
      <w:r>
        <w:rPr>
          <w:b w:val="0"/>
        </w:rPr>
      </w:r>
      <w:r>
        <w:rPr>
          <w:color w:val="005E63"/>
        </w:rPr>
        <w:t>REACH INTO THE PROFESSION</w:t>
      </w:r>
      <w:bookmarkEnd w:id="11"/>
      <w:r>
        <w:rPr>
          <w:b w:val="0"/>
        </w:rPr>
      </w:r>
    </w:p>
    <w:p>
      <w:pPr>
        <w:spacing w:line="240" w:lineRule="auto" w:before="1"/>
        <w:rPr>
          <w:rFonts w:ascii="Swis721 BT" w:hAnsi="Swis721 BT" w:cs="Swis721 BT" w:eastAsia="Swis721 BT"/>
          <w:b/>
          <w:bCs/>
          <w:sz w:val="41"/>
          <w:szCs w:val="41"/>
        </w:rPr>
      </w:pPr>
    </w:p>
    <w:p>
      <w:pPr>
        <w:pStyle w:val="Heading5"/>
        <w:spacing w:line="240" w:lineRule="auto"/>
        <w:ind w:left="5017" w:right="0"/>
        <w:jc w:val="left"/>
        <w:rPr>
          <w:b w:val="0"/>
          <w:bCs w:val="0"/>
        </w:rPr>
      </w:pPr>
      <w:r>
        <w:rPr/>
        <w:pict>
          <v:group style="position:absolute;margin-left:0pt;margin-top:1.917515pt;width:233.9pt;height:114.8pt;mso-position-horizontal-relative:page;mso-position-vertical-relative:paragraph;z-index:2872" coordorigin="0,38" coordsize="4678,2296">
            <v:group style="position:absolute;left:0;top:38;width:4678;height:2296" coordorigin="0,38" coordsize="4678,2296">
              <v:shape style="position:absolute;left:0;top:38;width:4678;height:2296" coordorigin="0,38" coordsize="4678,2296" path="m0,2333l4677,2333,4677,38,0,38,0,2333xe" filled="true" fillcolor="#ffffff" stroked="false">
                <v:path arrowok="t"/>
                <v:fill type="solid"/>
              </v:shape>
            </v:group>
            <v:group style="position:absolute;left:850;top:402;width:428;height:429" coordorigin="850,402" coordsize="428,429">
              <v:shape style="position:absolute;left:850;top:402;width:428;height:429" coordorigin="850,402" coordsize="428,429" path="m1064,402l997,413,939,443,893,488,862,546,850,613,852,637,869,702,904,757,953,799,1014,824,1059,830,1082,829,1149,812,1201,780,1045,780,1030,767,1022,759,973,759,958,753,942,741,927,725,914,705,913,704,1259,704,1266,690,1272,669,1273,666,896,666,892,647,889,627,889,624,889,613,890,596,893,577,938,567,1191,567,1191,566,1271,566,1268,555,1260,533,1258,528,913,528,924,511,937,496,952,482,968,470,981,462,1033,462,1045,452,1201,452,1195,447,1139,416,1074,402,1064,402xe" filled="true" fillcolor="#003b45" stroked="false">
                <v:path arrowok="t"/>
                <v:fill type="solid"/>
              </v:shape>
              <v:shape style="position:absolute;left:850;top:402;width:428;height:429" coordorigin="850,402" coordsize="428,429" path="m1084,704l1045,704,1045,780,1084,780,1084,704xe" filled="true" fillcolor="#003b45" stroked="false">
                <v:path arrowok="t"/>
                <v:fill type="solid"/>
              </v:shape>
              <v:shape style="position:absolute;left:850;top:402;width:428;height:429" coordorigin="850,402" coordsize="428,429" path="m1216,704l1140,704,1132,723,1122,740,1110,756,1095,771,1084,780,1201,780,1204,778,1212,771,1148,771,1159,754,1169,736,1177,718,1216,704xe" filled="true" fillcolor="#003b45" stroked="false">
                <v:path arrowok="t"/>
                <v:fill type="solid"/>
              </v:shape>
              <v:shape style="position:absolute;left:850;top:402;width:428;height:429" coordorigin="850,402" coordsize="428,429" path="m1259,704l1216,704,1205,721,1192,737,1177,751,1161,763,1148,771,1212,771,1220,763,1234,746,1246,729,1257,710,1259,704xe" filled="true" fillcolor="#003b45" stroked="false">
                <v:path arrowok="t"/>
                <v:fill type="solid"/>
              </v:shape>
              <v:shape style="position:absolute;left:850;top:402;width:428;height:429" coordorigin="850,402" coordsize="428,429" path="m1045,704l948,704,954,723,963,741,973,759,1022,759,1016,752,1004,736,994,718,1045,704xe" filled="true" fillcolor="#003b45" stroked="false">
                <v:path arrowok="t"/>
                <v:fill type="solid"/>
              </v:shape>
              <v:shape style="position:absolute;left:850;top:402;width:428;height:429" coordorigin="850,402" coordsize="428,429" path="m1045,567l938,567,935,587,934,606,934,627,935,646,938,666,896,666,1273,666,1273,666,1152,666,977,666,974,646,973,627,973,624,973,613,973,596,976,576,1045,567xe" filled="true" fillcolor="#003b45" stroked="false">
                <v:path arrowok="t"/>
                <v:fill type="solid"/>
              </v:shape>
              <v:shape style="position:absolute;left:850;top:402;width:428;height:429" coordorigin="850,402" coordsize="428,429" path="m1191,567l1152,567,1155,587,1156,606,1156,627,1155,646,1152,666,1273,666,1191,666,1194,646,1195,627,1195,606,1194,587,1191,567xe" filled="true" fillcolor="#003b45" stroked="false">
                <v:path arrowok="t"/>
                <v:fill type="solid"/>
              </v:shape>
              <v:shape style="position:absolute;left:850;top:402;width:428;height:429" coordorigin="850,402" coordsize="428,429" path="m1084,567l1045,567,1045,666,1084,666,1084,567xe" filled="true" fillcolor="#003b45" stroked="false">
                <v:path arrowok="t"/>
                <v:fill type="solid"/>
              </v:shape>
              <v:shape style="position:absolute;left:850;top:402;width:428;height:429" coordorigin="850,402" coordsize="428,429" path="m1271,566l1233,566,1237,586,1240,606,1240,616,1239,636,1235,656,1191,666,1273,666,1276,647,1278,624,1277,600,1274,577,1271,566xe" filled="true" fillcolor="#003b45" stroked="false">
                <v:path arrowok="t"/>
                <v:fill type="solid"/>
              </v:shape>
              <v:shape style="position:absolute;left:850;top:402;width:428;height:429" coordorigin="850,402" coordsize="428,429" path="m1033,462l981,462,970,479,960,496,952,515,913,528,988,528,997,510,1007,492,1019,476,1033,462xe" filled="true" fillcolor="#003b45" stroked="false">
                <v:path arrowok="t"/>
                <v:fill type="solid"/>
              </v:shape>
              <v:shape style="position:absolute;left:850;top:402;width:428;height:429" coordorigin="850,402" coordsize="428,429" path="m1084,452l1045,452,1045,528,1084,528,1084,452xe" filled="true" fillcolor="#003b45" stroked="false">
                <v:path arrowok="t"/>
                <v:fill type="solid"/>
              </v:shape>
              <v:shape style="position:absolute;left:850;top:402;width:428;height:429" coordorigin="850,402" coordsize="428,429" path="m1201,452l1084,452,1099,465,1113,480,1125,497,1135,514,1084,528,1181,528,1175,509,1166,491,1156,474,1223,474,1211,462,1201,452xe" filled="true" fillcolor="#003b45" stroked="false">
                <v:path arrowok="t"/>
                <v:fill type="solid"/>
              </v:shape>
              <v:shape style="position:absolute;left:850;top:402;width:428;height:429" coordorigin="850,402" coordsize="428,429" path="m1223,474l1156,474,1171,480,1187,492,1202,508,1215,527,1216,528,1258,528,1251,513,1239,495,1226,477,1223,474xe" filled="true" fillcolor="#003b45" stroked="false">
                <v:path arrowok="t"/>
                <v:fill type="solid"/>
              </v:shape>
              <v:shape style="position:absolute;left:0;top:38;width:4678;height:2296" type="#_x0000_t202" filled="false" stroked="false">
                <v:textbox inset="0,0,0,0">
                  <w:txbxContent>
                    <w:p>
                      <w:pPr>
                        <w:spacing w:line="240" w:lineRule="auto" w:before="3"/>
                        <w:rPr>
                          <w:rFonts w:ascii="Swis721 Lt BT" w:hAnsi="Swis721 Lt BT" w:cs="Swis721 Lt BT" w:eastAsia="Swis721 Lt BT"/>
                          <w:sz w:val="34"/>
                          <w:szCs w:val="34"/>
                        </w:rPr>
                      </w:pPr>
                    </w:p>
                    <w:p>
                      <w:pPr>
                        <w:spacing w:before="0"/>
                        <w:ind w:left="1345" w:right="0" w:firstLine="0"/>
                        <w:jc w:val="left"/>
                        <w:rPr>
                          <w:rFonts w:ascii="Swis721 Md BT" w:hAnsi="Swis721 Md BT" w:cs="Swis721 Md BT" w:eastAsia="Swis721 Md BT"/>
                          <w:sz w:val="26"/>
                          <w:szCs w:val="26"/>
                        </w:rPr>
                      </w:pPr>
                      <w:r>
                        <w:rPr>
                          <w:rFonts w:ascii="Swis721 Md BT"/>
                          <w:color w:val="003B45"/>
                          <w:sz w:val="26"/>
                        </w:rPr>
                        <w:t>aitsl.edu.au</w:t>
                      </w:r>
                      <w:r>
                        <w:rPr>
                          <w:rFonts w:ascii="Swis721 Md BT"/>
                          <w:sz w:val="26"/>
                        </w:rPr>
                      </w:r>
                    </w:p>
                    <w:p>
                      <w:pPr>
                        <w:spacing w:before="171"/>
                        <w:ind w:left="850" w:right="0" w:firstLine="0"/>
                        <w:jc w:val="left"/>
                        <w:rPr>
                          <w:rFonts w:ascii="Swis721 BT" w:hAnsi="Swis721 BT" w:cs="Swis721 BT" w:eastAsia="Swis721 BT"/>
                          <w:sz w:val="69"/>
                          <w:szCs w:val="69"/>
                        </w:rPr>
                      </w:pPr>
                      <w:r>
                        <w:rPr>
                          <w:rFonts w:ascii="Swis721 BT"/>
                          <w:b/>
                          <w:color w:val="00757A"/>
                          <w:sz w:val="69"/>
                        </w:rPr>
                        <w:t>900,00</w:t>
                      </w:r>
                      <w:r>
                        <w:rPr>
                          <w:rFonts w:ascii="Swis721 BT"/>
                          <w:b/>
                          <w:color w:val="00757A"/>
                          <w:spacing w:val="-42"/>
                          <w:sz w:val="69"/>
                        </w:rPr>
                        <w:t>0</w:t>
                      </w:r>
                      <w:r>
                        <w:rPr>
                          <w:rFonts w:ascii="Swis721 BT"/>
                          <w:b/>
                          <w:color w:val="00757A"/>
                          <w:sz w:val="69"/>
                        </w:rPr>
                        <w:t>+</w:t>
                      </w:r>
                      <w:r>
                        <w:rPr>
                          <w:rFonts w:ascii="Swis721 BT"/>
                          <w:sz w:val="69"/>
                        </w:rPr>
                      </w:r>
                    </w:p>
                    <w:p>
                      <w:pPr>
                        <w:spacing w:before="0"/>
                        <w:ind w:left="850" w:right="0" w:firstLine="0"/>
                        <w:jc w:val="left"/>
                        <w:rPr>
                          <w:rFonts w:ascii="Swis721 Md BT" w:hAnsi="Swis721 Md BT" w:cs="Swis721 Md BT" w:eastAsia="Swis721 Md BT"/>
                          <w:sz w:val="24"/>
                          <w:szCs w:val="24"/>
                        </w:rPr>
                      </w:pPr>
                      <w:r>
                        <w:rPr>
                          <w:rFonts w:ascii="Swis721 Md BT"/>
                          <w:color w:val="003B45"/>
                          <w:sz w:val="24"/>
                        </w:rPr>
                        <w:t>UNIQUE VISITS A YEAR</w:t>
                      </w:r>
                      <w:r>
                        <w:rPr>
                          <w:rFonts w:ascii="Swis721 Md BT"/>
                          <w:sz w:val="24"/>
                        </w:rPr>
                      </w:r>
                    </w:p>
                  </w:txbxContent>
                </v:textbox>
                <w10:wrap type="none"/>
              </v:shape>
            </v:group>
            <w10:wrap type="none"/>
          </v:group>
        </w:pict>
      </w:r>
      <w:r>
        <w:rPr>
          <w:color w:val="005E63"/>
          <w:spacing w:val="-1"/>
        </w:rPr>
        <w:t>STAKEHOLDER</w:t>
      </w:r>
      <w:r>
        <w:rPr>
          <w:color w:val="005E63"/>
        </w:rPr>
        <w:t> REACH</w:t>
      </w:r>
      <w:r>
        <w:rPr>
          <w:b w:val="0"/>
        </w:rPr>
      </w:r>
    </w:p>
    <w:p>
      <w:pPr>
        <w:pStyle w:val="BodyText"/>
        <w:spacing w:line="240" w:lineRule="auto" w:before="215"/>
        <w:ind w:left="5017" w:right="1438"/>
        <w:jc w:val="both"/>
      </w:pPr>
      <w:r>
        <w:rPr>
          <w:color w:val="231F20"/>
        </w:rPr>
        <w:t>AITSL spoke or presented at more than 30 events across Australia to more than 3,000 education sector representatives, including teachers and school leaders from all states and territories.</w:t>
      </w:r>
      <w:r>
        <w:rPr/>
      </w:r>
    </w:p>
    <w:p>
      <w:pPr>
        <w:spacing w:line="240" w:lineRule="auto" w:before="0"/>
        <w:rPr>
          <w:rFonts w:ascii="Swis721 Lt BT" w:hAnsi="Swis721 Lt BT" w:cs="Swis721 Lt BT" w:eastAsia="Swis721 Lt BT"/>
          <w:sz w:val="18"/>
          <w:szCs w:val="18"/>
        </w:rPr>
      </w:pPr>
    </w:p>
    <w:p>
      <w:pPr>
        <w:spacing w:line="240" w:lineRule="auto" w:before="9"/>
        <w:rPr>
          <w:rFonts w:ascii="Swis721 Lt BT" w:hAnsi="Swis721 Lt BT" w:cs="Swis721 Lt BT" w:eastAsia="Swis721 Lt BT"/>
          <w:sz w:val="25"/>
          <w:szCs w:val="25"/>
        </w:rPr>
      </w:pPr>
    </w:p>
    <w:p>
      <w:pPr>
        <w:pStyle w:val="Heading5"/>
        <w:spacing w:line="240" w:lineRule="auto"/>
        <w:ind w:left="5017" w:right="0"/>
        <w:jc w:val="left"/>
        <w:rPr>
          <w:b w:val="0"/>
          <w:bCs w:val="0"/>
        </w:rPr>
      </w:pPr>
      <w:r>
        <w:rPr>
          <w:color w:val="005E63"/>
        </w:rPr>
        <w:t>WORLD TEACHERS’ </w:t>
      </w:r>
      <w:r>
        <w:rPr>
          <w:color w:val="005E63"/>
          <w:spacing w:val="-6"/>
        </w:rPr>
        <w:t>DAY</w:t>
      </w:r>
      <w:r>
        <w:rPr>
          <w:color w:val="005E63"/>
        </w:rPr>
        <w:t> 2018</w:t>
      </w:r>
      <w:r>
        <w:rPr>
          <w:b w:val="0"/>
          <w:bCs w:val="0"/>
        </w:rPr>
      </w:r>
    </w:p>
    <w:p>
      <w:pPr>
        <w:pStyle w:val="BodyText"/>
        <w:spacing w:line="240" w:lineRule="auto" w:before="215"/>
        <w:ind w:left="5017" w:right="1543"/>
        <w:jc w:val="left"/>
      </w:pPr>
      <w:r>
        <w:rPr/>
        <w:pict>
          <v:group style="position:absolute;margin-left:0pt;margin-top:8.514268pt;width:233.9pt;height:114.8pt;mso-position-horizontal-relative:page;mso-position-vertical-relative:paragraph;z-index:2824" coordorigin="0,170" coordsize="4678,2296">
            <v:group style="position:absolute;left:0;top:170;width:4678;height:2296" coordorigin="0,170" coordsize="4678,2296">
              <v:shape style="position:absolute;left:0;top:170;width:4678;height:2296" coordorigin="0,170" coordsize="4678,2296" path="m0,2465l4677,2465,4677,170,0,170,0,2465xe" filled="true" fillcolor="#ffffff" stroked="false">
                <v:path arrowok="t"/>
                <v:fill type="solid"/>
              </v:shape>
              <v:shape style="position:absolute;left:1593;top:531;width:847;height:413" type="#_x0000_t75" stroked="false">
                <v:imagedata r:id="rId45" o:title=""/>
              </v:shape>
              <v:shape style="position:absolute;left:873;top:598;width:667;height:332" type="#_x0000_t75" stroked="false">
                <v:imagedata r:id="rId46" o:title=""/>
              </v:shape>
            </v:group>
            <v:group style="position:absolute;left:2117;top:652;width:40;height:45" coordorigin="2117,652" coordsize="40,45">
              <v:shape style="position:absolute;left:2117;top:652;width:40;height:45" coordorigin="2117,652" coordsize="40,45" path="m2126,652l2119,656,2117,678,2120,695,2142,697,2155,681,2157,659,2148,654,2126,652xe" filled="true" fillcolor="#004751" stroked="false">
                <v:path arrowok="t"/>
                <v:fill type="solid"/>
              </v:shape>
              <v:shape style="position:absolute;left:0;top:170;width:4678;height:2296" type="#_x0000_t202" filled="false" stroked="false">
                <v:textbox inset="0,0,0,0">
                  <w:txbxContent>
                    <w:p>
                      <w:pPr>
                        <w:spacing w:line="240" w:lineRule="auto" w:before="6"/>
                        <w:rPr>
                          <w:rFonts w:ascii="Swis721 Lt BT" w:hAnsi="Swis721 Lt BT" w:cs="Swis721 Lt BT" w:eastAsia="Swis721 Lt BT"/>
                          <w:sz w:val="74"/>
                          <w:szCs w:val="74"/>
                        </w:rPr>
                      </w:pPr>
                    </w:p>
                    <w:p>
                      <w:pPr>
                        <w:spacing w:before="0"/>
                        <w:ind w:left="850" w:right="0" w:firstLine="0"/>
                        <w:jc w:val="left"/>
                        <w:rPr>
                          <w:rFonts w:ascii="Swis721 BT" w:hAnsi="Swis721 BT" w:cs="Swis721 BT" w:eastAsia="Swis721 BT"/>
                          <w:sz w:val="69"/>
                          <w:szCs w:val="69"/>
                        </w:rPr>
                      </w:pPr>
                      <w:r>
                        <w:rPr>
                          <w:rFonts w:ascii="Swis721 BT"/>
                          <w:b/>
                          <w:color w:val="00757A"/>
                          <w:sz w:val="69"/>
                        </w:rPr>
                        <w:t>164,315</w:t>
                      </w:r>
                      <w:r>
                        <w:rPr>
                          <w:rFonts w:ascii="Swis721 BT"/>
                          <w:sz w:val="69"/>
                        </w:rPr>
                      </w:r>
                    </w:p>
                    <w:p>
                      <w:pPr>
                        <w:spacing w:before="0"/>
                        <w:ind w:left="850" w:right="0" w:firstLine="0"/>
                        <w:jc w:val="left"/>
                        <w:rPr>
                          <w:rFonts w:ascii="Swis721 Md BT" w:hAnsi="Swis721 Md BT" w:cs="Swis721 Md BT" w:eastAsia="Swis721 Md BT"/>
                          <w:sz w:val="24"/>
                          <w:szCs w:val="24"/>
                        </w:rPr>
                      </w:pPr>
                      <w:r>
                        <w:rPr>
                          <w:rFonts w:ascii="Swis721 Md BT"/>
                          <w:color w:val="003B45"/>
                          <w:sz w:val="24"/>
                        </w:rPr>
                        <w:t>EMAIL SUBSCRIBERS</w:t>
                      </w:r>
                      <w:r>
                        <w:rPr>
                          <w:rFonts w:ascii="Swis721 Md BT"/>
                          <w:sz w:val="24"/>
                        </w:rPr>
                      </w:r>
                    </w:p>
                  </w:txbxContent>
                </v:textbox>
                <w10:wrap type="none"/>
              </v:shape>
            </v:group>
            <w10:wrap type="none"/>
          </v:group>
        </w:pict>
      </w:r>
      <w:r>
        <w:rPr>
          <w:color w:val="231F20"/>
        </w:rPr>
        <w:t>Supporting </w:t>
      </w:r>
      <w:r>
        <w:rPr>
          <w:color w:val="231F20"/>
          <w:spacing w:val="-4"/>
        </w:rPr>
        <w:t>W</w:t>
      </w:r>
      <w:r>
        <w:rPr>
          <w:color w:val="231F20"/>
        </w:rPr>
        <w:t>orld </w:t>
      </w:r>
      <w:r>
        <w:rPr>
          <w:color w:val="231F20"/>
          <w:spacing w:val="-26"/>
        </w:rPr>
        <w:t>T</w:t>
      </w:r>
      <w:r>
        <w:rPr>
          <w:color w:val="231F20"/>
        </w:rPr>
        <w:t>eachers’ Day 2018 on</w:t>
      </w:r>
      <w:r>
        <w:rPr>
          <w:color w:val="231F20"/>
        </w:rPr>
        <w:t> 26 October to celebrate educators across Australia, AITSL ran a high-impact and</w:t>
      </w:r>
      <w:r>
        <w:rPr/>
      </w:r>
    </w:p>
    <w:p>
      <w:pPr>
        <w:pStyle w:val="BodyText"/>
        <w:spacing w:line="240" w:lineRule="auto" w:before="0"/>
        <w:ind w:left="5017" w:right="1134"/>
        <w:jc w:val="left"/>
      </w:pPr>
      <w:r>
        <w:rPr>
          <w:color w:val="231F20"/>
        </w:rPr>
        <w:t>energetic campaign with the theme ‘</w:t>
      </w:r>
      <w:r>
        <w:rPr>
          <w:color w:val="231F20"/>
          <w:spacing w:val="-26"/>
        </w:rPr>
        <w:t>T</w:t>
      </w:r>
      <w:r>
        <w:rPr>
          <w:color w:val="231F20"/>
        </w:rPr>
        <w:t>eacher</w:t>
      </w:r>
      <w:r>
        <w:rPr>
          <w:color w:val="231F20"/>
        </w:rPr>
        <w:t> Difference,’ reinforcing AITSL’s mission</w:t>
      </w:r>
      <w:r>
        <w:rPr/>
      </w:r>
    </w:p>
    <w:p>
      <w:pPr>
        <w:pStyle w:val="BodyText"/>
        <w:spacing w:line="240" w:lineRule="auto" w:before="0"/>
        <w:ind w:left="5017" w:right="1134"/>
        <w:jc w:val="left"/>
      </w:pPr>
      <w:r>
        <w:rPr>
          <w:color w:val="231F20"/>
        </w:rPr>
        <w:t>to promote and support excellence in the teaching profession.</w:t>
      </w:r>
      <w:r>
        <w:rPr/>
      </w:r>
    </w:p>
    <w:p>
      <w:pPr>
        <w:pStyle w:val="BodyText"/>
        <w:spacing w:line="240" w:lineRule="auto"/>
        <w:ind w:left="5017" w:right="1149"/>
        <w:jc w:val="left"/>
      </w:pPr>
      <w:r>
        <w:rPr/>
        <w:pict>
          <v:group style="position:absolute;margin-left:0pt;margin-top:47.28577pt;width:233.9pt;height:82pt;mso-position-horizontal-relative:page;mso-position-vertical-relative:paragraph;z-index:2680" coordorigin="0,946" coordsize="4678,1640">
            <v:group style="position:absolute;left:0;top:946;width:4678;height:1640" coordorigin="0,946" coordsize="4678,1640">
              <v:shape style="position:absolute;left:0;top:946;width:4678;height:1640" coordorigin="0,946" coordsize="4678,1640" path="m0,2585l4677,2585,4677,946,0,946,0,2585xe" filled="true" fillcolor="#ffffff" stroked="false">
                <v:path arrowok="t"/>
                <v:fill type="solid"/>
              </v:shape>
            </v:group>
            <v:group style="position:absolute;left:3520;top:1343;width:846;height:841" coordorigin="3520,1343" coordsize="846,841">
              <v:shape style="position:absolute;left:3520;top:1343;width:846;height:841" coordorigin="3520,1343" coordsize="846,841" path="m3943,1343l3874,1348,3809,1364,3748,1390,3693,1424,3644,1466,3601,1516,3567,1571,3541,1632,3525,1697,3520,1765,3521,1797,3530,1858,3547,1915,3587,1994,3642,2063,3710,2119,3789,2159,3847,2177,3877,2183,3877,1888,3769,1888,3769,1765,3877,1765,3877,1670,3878,1646,3898,1579,3940,1534,4001,1511,4025,1508,4278,1508,4264,1490,4218,1444,4165,1406,4107,1376,4044,1355,3977,1344,3943,1343xe" filled="true" fillcolor="#2c73ba" stroked="false">
                <v:path arrowok="t"/>
                <v:fill type="solid"/>
              </v:shape>
              <v:shape style="position:absolute;left:3520;top:1343;width:846;height:841" coordorigin="3520,1343" coordsize="846,841" path="m4278,1508l4025,1508,4056,1509,4084,1510,4106,1513,4122,1515,4130,1516,4131,1620,4078,1620,4049,1624,4029,1635,4016,1651,4010,1670,4009,1765,4126,1765,4107,1888,4009,1888,4009,2183,4068,2169,4150,2134,4222,2083,4281,2019,4327,1943,4355,1858,4364,1797,4365,1765,4364,1731,4353,1664,4332,1601,4302,1543,4284,1516,4278,1508xe" filled="true" fillcolor="#2c73ba" stroked="false">
                <v:path arrowok="t"/>
                <v:fill type="solid"/>
              </v:shape>
            </v:group>
            <v:group style="position:absolute;left:3769;top:1508;width:362;height:681" coordorigin="3769,1508" coordsize="362,681">
              <v:shape style="position:absolute;left:3769;top:1508;width:362;height:681" coordorigin="3769,1508" coordsize="362,681" path="m4009,1888l3877,1888,3877,2183,3896,2186,3916,2187,3936,2188,3959,2188,3979,2187,3997,2185,4009,1888xe" filled="true" fillcolor="#ffffff" stroked="false">
                <v:path arrowok="t"/>
                <v:fill type="solid"/>
              </v:shape>
              <v:shape style="position:absolute;left:3769;top:1508;width:362;height:681" coordorigin="3769,1508" coordsize="362,681" path="m4126,1765l3769,1765,3769,1888,4107,1888,4126,1765xe" filled="true" fillcolor="#ffffff" stroked="false">
                <v:path arrowok="t"/>
                <v:fill type="solid"/>
              </v:shape>
              <v:shape style="position:absolute;left:3769;top:1508;width:362;height:681" coordorigin="3769,1508" coordsize="362,681" path="m4055,1508l3979,1518,3924,1549,3889,1600,3877,1669,3877,1765,4009,1765,4009,1686,4011,1665,4019,1647,4033,1632,4055,1622,4131,1620,4131,1516,4106,1512,4088,1509,4073,1508,4055,1508xe" filled="true" fillcolor="#ffffff" stroked="false">
                <v:path arrowok="t"/>
                <v:fill type="solid"/>
              </v:shape>
              <v:shape style="position:absolute;left:0;top:946;width:4678;height:1640" type="#_x0000_t202" filled="false" stroked="false">
                <v:textbox inset="0,0,0,0">
                  <w:txbxContent>
                    <w:p>
                      <w:pPr>
                        <w:spacing w:before="237"/>
                        <w:ind w:left="850" w:right="0" w:firstLine="0"/>
                        <w:jc w:val="left"/>
                        <w:rPr>
                          <w:rFonts w:ascii="Swis721 BT" w:hAnsi="Swis721 BT" w:cs="Swis721 BT" w:eastAsia="Swis721 BT"/>
                          <w:sz w:val="69"/>
                          <w:szCs w:val="69"/>
                        </w:rPr>
                      </w:pPr>
                      <w:r>
                        <w:rPr>
                          <w:rFonts w:ascii="Swis721 BT"/>
                          <w:b/>
                          <w:color w:val="00757A"/>
                          <w:sz w:val="69"/>
                        </w:rPr>
                        <w:t>30,432</w:t>
                      </w:r>
                      <w:r>
                        <w:rPr>
                          <w:rFonts w:ascii="Swis721 BT"/>
                          <w:sz w:val="69"/>
                        </w:rPr>
                      </w:r>
                    </w:p>
                    <w:p>
                      <w:pPr>
                        <w:spacing w:before="0"/>
                        <w:ind w:left="850" w:right="0" w:firstLine="0"/>
                        <w:jc w:val="left"/>
                        <w:rPr>
                          <w:rFonts w:ascii="Swis721 Md BT" w:hAnsi="Swis721 Md BT" w:cs="Swis721 Md BT" w:eastAsia="Swis721 Md BT"/>
                          <w:sz w:val="24"/>
                          <w:szCs w:val="24"/>
                        </w:rPr>
                      </w:pPr>
                      <w:r>
                        <w:rPr>
                          <w:rFonts w:ascii="Swis721 Md BT"/>
                          <w:color w:val="003B45"/>
                          <w:sz w:val="24"/>
                        </w:rPr>
                        <w:t>LIKES</w:t>
                      </w:r>
                      <w:r>
                        <w:rPr>
                          <w:rFonts w:ascii="Swis721 Md BT"/>
                          <w:sz w:val="24"/>
                        </w:rPr>
                      </w:r>
                    </w:p>
                  </w:txbxContent>
                </v:textbox>
                <w10:wrap type="none"/>
              </v:shape>
            </v:group>
            <w10:wrap type="none"/>
          </v:group>
        </w:pict>
      </w:r>
      <w:r>
        <w:rPr>
          <w:color w:val="231F20"/>
        </w:rPr>
        <w:t>The grassroots campaign reached approximately 1.7 million Australians. Held throughout the month of October leading up to </w:t>
      </w:r>
      <w:r>
        <w:rPr>
          <w:color w:val="231F20"/>
          <w:spacing w:val="-4"/>
        </w:rPr>
        <w:t>W</w:t>
      </w:r>
      <w:r>
        <w:rPr>
          <w:color w:val="231F20"/>
        </w:rPr>
        <w:t>orld </w:t>
      </w:r>
      <w:r>
        <w:rPr>
          <w:color w:val="231F20"/>
          <w:spacing w:val="-26"/>
        </w:rPr>
        <w:t>T</w:t>
      </w:r>
      <w:r>
        <w:rPr>
          <w:color w:val="231F20"/>
        </w:rPr>
        <w:t>eachers’ Da</w:t>
      </w:r>
      <w:r>
        <w:rPr>
          <w:color w:val="231F20"/>
          <w:spacing w:val="-15"/>
        </w:rPr>
        <w:t>y</w:t>
      </w:r>
      <w:r>
        <w:rPr>
          <w:color w:val="231F20"/>
        </w:rPr>
        <w:t>, the campaign focused</w:t>
      </w:r>
      <w:r>
        <w:rPr>
          <w:color w:val="231F20"/>
        </w:rPr>
        <w:t> on online engagement to promote teachers who made or make a difference in our lives, and was supported by news editorials and radio advertising to reach the general public</w:t>
      </w:r>
      <w:r>
        <w:rPr/>
      </w:r>
    </w:p>
    <w:p>
      <w:pPr>
        <w:pStyle w:val="BodyText"/>
        <w:spacing w:line="240" w:lineRule="auto" w:before="0"/>
        <w:ind w:left="5017" w:right="0"/>
        <w:jc w:val="left"/>
      </w:pPr>
      <w:r>
        <w:rPr>
          <w:color w:val="231F20"/>
        </w:rPr>
        <w:t>in every state and </w:t>
      </w:r>
      <w:r>
        <w:rPr>
          <w:color w:val="231F20"/>
          <w:spacing w:val="-2"/>
        </w:rPr>
        <w:t>territory.</w:t>
      </w:r>
      <w:r>
        <w:rPr/>
      </w:r>
    </w:p>
    <w:p>
      <w:pPr>
        <w:pStyle w:val="BodyText"/>
        <w:spacing w:line="240" w:lineRule="auto"/>
        <w:ind w:left="5017" w:right="1134"/>
        <w:jc w:val="left"/>
      </w:pPr>
      <w:r>
        <w:rPr/>
        <w:pict>
          <v:group style="position:absolute;margin-left:0pt;margin-top:35.571259pt;width:233.9pt;height:82pt;mso-position-horizontal-relative:page;mso-position-vertical-relative:paragraph;z-index:2728" coordorigin="0,711" coordsize="4678,1640">
            <v:group style="position:absolute;left:0;top:711;width:4678;height:1640" coordorigin="0,711" coordsize="4678,1640">
              <v:shape style="position:absolute;left:0;top:711;width:4678;height:1640" coordorigin="0,711" coordsize="4678,1640" path="m0,2351l4677,2351,4677,711,0,711,0,2351xe" filled="true" fillcolor="#ffffff" stroked="false">
                <v:path arrowok="t"/>
                <v:fill type="solid"/>
              </v:shape>
              <v:shape style="position:absolute;left:3560;top:1145;width:907;height:771" type="#_x0000_t75" stroked="false">
                <v:imagedata r:id="rId47" o:title=""/>
              </v:shape>
              <v:shape style="position:absolute;left:0;top:711;width:4678;height:1640" type="#_x0000_t202" filled="false" stroked="false">
                <v:textbox inset="0,0,0,0">
                  <w:txbxContent>
                    <w:p>
                      <w:pPr>
                        <w:spacing w:before="237"/>
                        <w:ind w:left="850" w:right="0" w:firstLine="0"/>
                        <w:jc w:val="left"/>
                        <w:rPr>
                          <w:rFonts w:ascii="Swis721 BT" w:hAnsi="Swis721 BT" w:cs="Swis721 BT" w:eastAsia="Swis721 BT"/>
                          <w:sz w:val="69"/>
                          <w:szCs w:val="69"/>
                        </w:rPr>
                      </w:pPr>
                      <w:r>
                        <w:rPr>
                          <w:rFonts w:ascii="Swis721 BT"/>
                          <w:b/>
                          <w:color w:val="00757A"/>
                          <w:sz w:val="69"/>
                        </w:rPr>
                        <w:t>19,844</w:t>
                      </w:r>
                      <w:r>
                        <w:rPr>
                          <w:rFonts w:ascii="Swis721 BT"/>
                          <w:sz w:val="69"/>
                        </w:rPr>
                      </w:r>
                    </w:p>
                    <w:p>
                      <w:pPr>
                        <w:spacing w:before="0"/>
                        <w:ind w:left="850" w:right="0" w:firstLine="0"/>
                        <w:jc w:val="left"/>
                        <w:rPr>
                          <w:rFonts w:ascii="Swis721 Md BT" w:hAnsi="Swis721 Md BT" w:cs="Swis721 Md BT" w:eastAsia="Swis721 Md BT"/>
                          <w:sz w:val="24"/>
                          <w:szCs w:val="24"/>
                        </w:rPr>
                      </w:pPr>
                      <w:r>
                        <w:rPr>
                          <w:rFonts w:ascii="Swis721 Md BT"/>
                          <w:color w:val="003B45"/>
                          <w:spacing w:val="-1"/>
                          <w:sz w:val="24"/>
                        </w:rPr>
                        <w:t>FOLLOWERS</w:t>
                      </w:r>
                      <w:r>
                        <w:rPr>
                          <w:rFonts w:ascii="Swis721 Md BT"/>
                          <w:sz w:val="24"/>
                        </w:rPr>
                      </w:r>
                    </w:p>
                  </w:txbxContent>
                </v:textbox>
                <w10:wrap type="none"/>
              </v:shape>
            </v:group>
            <w10:wrap type="none"/>
          </v:group>
        </w:pict>
      </w:r>
      <w:r>
        <w:rPr>
          <w:color w:val="231F20"/>
        </w:rPr>
        <w:t>The main online event of the campaign was ‘Hattie chat,’ with AITSL Chair Laureate Professor John Hattie. This was an interactive and real-time event with Professor Hattie,</w:t>
      </w:r>
      <w:r>
        <w:rPr/>
      </w:r>
    </w:p>
    <w:p>
      <w:pPr>
        <w:pStyle w:val="BodyText"/>
        <w:spacing w:line="346" w:lineRule="atLeast" w:before="0"/>
        <w:ind w:left="5017" w:right="0"/>
        <w:jc w:val="left"/>
      </w:pPr>
      <w:r>
        <w:rPr>
          <w:color w:val="231F20"/>
        </w:rPr>
        <w:t>on the eve of </w:t>
      </w:r>
      <w:r>
        <w:rPr>
          <w:color w:val="231F20"/>
          <w:spacing w:val="-4"/>
        </w:rPr>
        <w:t>W</w:t>
      </w:r>
      <w:r>
        <w:rPr>
          <w:color w:val="231F20"/>
        </w:rPr>
        <w:t>orld </w:t>
      </w:r>
      <w:r>
        <w:rPr>
          <w:color w:val="231F20"/>
          <w:spacing w:val="-26"/>
        </w:rPr>
        <w:t>T</w:t>
      </w:r>
      <w:r>
        <w:rPr>
          <w:color w:val="231F20"/>
        </w:rPr>
        <w:t>eachers’ Da</w:t>
      </w:r>
      <w:r>
        <w:rPr>
          <w:color w:val="231F20"/>
          <w:spacing w:val="-15"/>
        </w:rPr>
        <w:t>y</w:t>
      </w:r>
      <w:r>
        <w:rPr>
          <w:color w:val="231F20"/>
        </w:rPr>
        <w:t>, with</w:t>
      </w:r>
      <w:r>
        <w:rPr/>
      </w:r>
    </w:p>
    <w:p>
      <w:pPr>
        <w:pStyle w:val="BodyText"/>
        <w:spacing w:line="456" w:lineRule="atLeast" w:before="0"/>
        <w:ind w:left="5017" w:right="0"/>
        <w:jc w:val="left"/>
      </w:pPr>
      <w:r>
        <w:rPr>
          <w:color w:val="231F20"/>
        </w:rPr>
        <w:t>who engaged with the public and education</w:t>
      </w:r>
      <w:r>
        <w:rPr/>
      </w:r>
    </w:p>
    <w:p>
      <w:pPr>
        <w:pStyle w:val="BodyText"/>
        <w:spacing w:line="240" w:lineRule="auto" w:before="0"/>
        <w:ind w:left="5017" w:right="0"/>
        <w:jc w:val="left"/>
      </w:pPr>
      <w:r>
        <w:rPr>
          <w:color w:val="231F20"/>
        </w:rPr>
        <w:t>stakeholders during a one-hour </w:t>
      </w:r>
      <w:r>
        <w:rPr>
          <w:color w:val="231F20"/>
          <w:spacing w:val="-25"/>
        </w:rPr>
        <w:t>T</w:t>
      </w:r>
      <w:r>
        <w:rPr>
          <w:color w:val="231F20"/>
        </w:rPr>
        <w:t>witter chat</w:t>
      </w:r>
      <w:r>
        <w:rPr/>
      </w:r>
    </w:p>
    <w:p>
      <w:pPr>
        <w:pStyle w:val="BodyText"/>
        <w:spacing w:line="240" w:lineRule="auto" w:before="0"/>
        <w:ind w:left="5017" w:right="0"/>
        <w:jc w:val="left"/>
      </w:pPr>
      <w:r>
        <w:rPr>
          <w:color w:val="231F20"/>
        </w:rPr>
        <w:t>over 26,000 </w:t>
      </w:r>
      <w:r>
        <w:rPr>
          <w:color w:val="231F20"/>
          <w:spacing w:val="-25"/>
        </w:rPr>
        <w:t>T</w:t>
      </w:r>
      <w:r>
        <w:rPr>
          <w:color w:val="231F20"/>
        </w:rPr>
        <w:t>witter users tuning in. </w:t>
      </w:r>
      <w:r>
        <w:rPr>
          <w:color w:val="231F20"/>
          <w:spacing w:val="-26"/>
        </w:rPr>
        <w:t>T</w:t>
      </w:r>
      <w:r>
        <w:rPr>
          <w:color w:val="231F20"/>
        </w:rPr>
        <w:t>ogether</w:t>
      </w:r>
      <w:r>
        <w:rPr/>
      </w:r>
    </w:p>
    <w:p>
      <w:pPr>
        <w:pStyle w:val="BodyText"/>
        <w:spacing w:line="240" w:lineRule="auto" w:before="0"/>
        <w:ind w:left="5017" w:right="0"/>
        <w:jc w:val="left"/>
      </w:pPr>
      <w:r>
        <w:rPr>
          <w:color w:val="231F20"/>
        </w:rPr>
        <w:t>with AITSL representatives from the Quality</w:t>
      </w:r>
      <w:r>
        <w:rPr/>
      </w:r>
    </w:p>
    <w:p>
      <w:pPr>
        <w:pStyle w:val="BodyText"/>
        <w:spacing w:line="240" w:lineRule="auto" w:before="0"/>
        <w:ind w:left="5017" w:right="0"/>
        <w:jc w:val="left"/>
      </w:pPr>
      <w:r>
        <w:rPr>
          <w:color w:val="231F20"/>
          <w:spacing w:val="-26"/>
        </w:rPr>
        <w:t>T</w:t>
      </w:r>
      <w:r>
        <w:rPr>
          <w:color w:val="231F20"/>
        </w:rPr>
        <w:t>eaching and School Leadership teams,</w:t>
      </w:r>
      <w:r>
        <w:rPr/>
      </w:r>
    </w:p>
    <w:p>
      <w:pPr>
        <w:pStyle w:val="BodyText"/>
        <w:spacing w:line="240" w:lineRule="auto" w:before="0"/>
        <w:ind w:left="5017" w:right="0"/>
        <w:jc w:val="left"/>
      </w:pPr>
      <w:r>
        <w:rPr/>
        <w:pict>
          <v:group style="position:absolute;margin-left:0pt;margin-top:12.476264pt;width:233.9pt;height:82pt;mso-position-horizontal-relative:page;mso-position-vertical-relative:paragraph;z-index:2776" coordorigin="0,250" coordsize="4678,1640">
            <v:group style="position:absolute;left:0;top:250;width:4678;height:1640" coordorigin="0,250" coordsize="4678,1640">
              <v:shape style="position:absolute;left:0;top:250;width:4678;height:1640" coordorigin="0,250" coordsize="4678,1640" path="m0,1889l4677,1889,4677,250,0,250,0,1889xe" filled="true" fillcolor="#ffffff" stroked="false">
                <v:path arrowok="t"/>
                <v:fill type="solid"/>
              </v:shape>
            </v:group>
            <v:group style="position:absolute;left:3520;top:646;width:846;height:846" coordorigin="3520,646" coordsize="846,846">
              <v:shape style="position:absolute;left:3520;top:646;width:846;height:846" coordorigin="3520,646" coordsize="846,846" path="m3943,646l3874,652,3809,668,3748,694,3693,728,3644,770,3601,820,3567,875,3541,936,3525,1001,3520,1069,3521,1104,3532,1171,3553,1234,3583,1292,3622,1344,3667,1390,3720,1429,3778,1459,3841,1480,3908,1491,3943,1492,3977,1491,4044,1480,4107,1459,4165,1429,4218,1390,4264,1344,4302,1292,4332,1234,4353,1171,4364,1104,4365,1069,4364,1035,4353,968,4332,905,4302,847,4264,794,4218,748,4165,710,4107,680,4044,659,3977,648,3943,646xe" filled="true" fillcolor="#399bd6" stroked="false">
                <v:path arrowok="t"/>
                <v:fill type="solid"/>
              </v:shape>
            </v:group>
            <v:group style="position:absolute;left:3711;top:889;width:487;height:404" coordorigin="3711,889" coordsize="487,404">
              <v:shape style="position:absolute;left:3711;top:889;width:487;height:404" coordorigin="3711,889" coordsize="487,404" path="m3711,1247l3782,1280,3843,1291,3864,1292,3865,1292,3944,1282,4011,1255,4023,1247,3725,1247,3711,1247xe" filled="true" fillcolor="#ffffff" stroked="false">
                <v:path arrowok="t"/>
                <v:fill type="solid"/>
              </v:shape>
              <v:shape style="position:absolute;left:3711;top:889;width:487;height:404" coordorigin="3711,889" coordsize="487,404" path="m3765,1133l3801,1184,3839,1202,3829,1216,3776,1243,3725,1247,4023,1247,4081,1198,4118,1144,4122,1135,3777,1135,3771,1135,3765,1133xe" filled="true" fillcolor="#ffffff" stroked="false">
                <v:path arrowok="t"/>
                <v:fill type="solid"/>
              </v:shape>
              <v:shape style="position:absolute;left:3711;top:889;width:487;height:404" coordorigin="3711,889" coordsize="487,404" path="m3729,1031l3749,1093,3801,1129,3802,1134,3793,1135,4122,1135,4148,1064,4152,1042,3773,1042,3754,1040,3734,1033,3729,1031xe" filled="true" fillcolor="#ffffff" stroked="false">
                <v:path arrowok="t"/>
                <v:fill type="solid"/>
              </v:shape>
              <v:shape style="position:absolute;left:3711;top:889;width:487;height:404" coordorigin="3711,889" coordsize="487,404" path="m3754,919l3736,930,3730,951,3732,975,3738,996,3746,1014,3758,1029,3773,1042,4152,1042,4154,1023,4155,1014,3954,1014,3932,1012,3871,997,3816,971,3768,934,3754,919xe" filled="true" fillcolor="#ffffff" stroked="false">
                <v:path arrowok="t"/>
                <v:fill type="solid"/>
              </v:shape>
              <v:shape style="position:absolute;left:3711;top:889;width:487;height:404" coordorigin="3711,889" coordsize="487,404" path="m4060,889l3994,908,3956,958,3951,998,3952,1006,3954,1014,4155,1014,4155,1004,4155,996,4155,989,4171,977,4185,962,4195,950,4161,950,4170,937,4181,920,4182,919,4135,919,4117,908,4099,898,4080,892,4060,889xe" filled="true" fillcolor="#ffffff" stroked="false">
                <v:path arrowok="t"/>
                <v:fill type="solid"/>
              </v:shape>
              <v:shape style="position:absolute;left:3711;top:889;width:487;height:404" coordorigin="3711,889" coordsize="487,404" path="m4182,947l4161,950,4195,950,4198,947,4182,947xe" filled="true" fillcolor="#ffffff" stroked="false">
                <v:path arrowok="t"/>
                <v:fill type="solid"/>
              </v:shape>
              <v:shape style="position:absolute;left:3711;top:889;width:487;height:404" coordorigin="3711,889" coordsize="487,404" path="m4191,899l4174,906,4155,913,4135,919,4182,919,4191,899xe" filled="true" fillcolor="#ffffff" stroked="false">
                <v:path arrowok="t"/>
                <v:fill type="solid"/>
              </v:shape>
              <v:shape style="position:absolute;left:0;top:250;width:4678;height:1640" type="#_x0000_t202" filled="false" stroked="false">
                <v:textbox inset="0,0,0,0">
                  <w:txbxContent>
                    <w:p>
                      <w:pPr>
                        <w:spacing w:before="237"/>
                        <w:ind w:left="850" w:right="0" w:firstLine="0"/>
                        <w:jc w:val="left"/>
                        <w:rPr>
                          <w:rFonts w:ascii="Swis721 BT" w:hAnsi="Swis721 BT" w:cs="Swis721 BT" w:eastAsia="Swis721 BT"/>
                          <w:sz w:val="69"/>
                          <w:szCs w:val="69"/>
                        </w:rPr>
                      </w:pPr>
                      <w:r>
                        <w:rPr>
                          <w:rFonts w:ascii="Swis721 BT"/>
                          <w:b/>
                          <w:color w:val="00757A"/>
                          <w:sz w:val="69"/>
                        </w:rPr>
                        <w:t>36,104</w:t>
                      </w:r>
                      <w:r>
                        <w:rPr>
                          <w:rFonts w:ascii="Swis721 BT"/>
                          <w:sz w:val="69"/>
                        </w:rPr>
                      </w:r>
                    </w:p>
                    <w:p>
                      <w:pPr>
                        <w:spacing w:before="0"/>
                        <w:ind w:left="850" w:right="0" w:firstLine="0"/>
                        <w:jc w:val="left"/>
                        <w:rPr>
                          <w:rFonts w:ascii="Swis721 Md BT" w:hAnsi="Swis721 Md BT" w:cs="Swis721 Md BT" w:eastAsia="Swis721 Md BT"/>
                          <w:sz w:val="24"/>
                          <w:szCs w:val="24"/>
                        </w:rPr>
                      </w:pPr>
                      <w:r>
                        <w:rPr>
                          <w:rFonts w:ascii="Swis721 Md BT"/>
                          <w:color w:val="003B45"/>
                          <w:spacing w:val="-1"/>
                          <w:sz w:val="24"/>
                        </w:rPr>
                        <w:t>FOLLOWERS</w:t>
                      </w:r>
                      <w:r>
                        <w:rPr>
                          <w:rFonts w:ascii="Swis721 Md BT"/>
                          <w:sz w:val="24"/>
                        </w:rPr>
                      </w:r>
                    </w:p>
                  </w:txbxContent>
                </v:textbox>
                <w10:wrap type="none"/>
              </v:shape>
            </v:group>
            <w10:wrap type="none"/>
          </v:group>
        </w:pict>
      </w:r>
      <w:r>
        <w:rPr>
          <w:color w:val="231F20"/>
        </w:rPr>
        <w:t>he answered questions on several topics</w:t>
      </w:r>
      <w:r>
        <w:rPr/>
      </w:r>
    </w:p>
    <w:p>
      <w:pPr>
        <w:pStyle w:val="BodyText"/>
        <w:spacing w:line="240" w:lineRule="auto" w:before="0"/>
        <w:ind w:left="5017" w:right="0"/>
        <w:jc w:val="left"/>
      </w:pPr>
      <w:r>
        <w:rPr>
          <w:color w:val="231F20"/>
        </w:rPr>
        <w:t>including </w:t>
      </w:r>
      <w:r>
        <w:rPr>
          <w:color w:val="231F20"/>
          <w:spacing w:val="-2"/>
        </w:rPr>
        <w:t>pedagogy,</w:t>
      </w:r>
      <w:r>
        <w:rPr>
          <w:color w:val="231F20"/>
        </w:rPr>
        <w:t> Highly Accomplished</w:t>
      </w:r>
      <w:r>
        <w:rPr/>
      </w:r>
    </w:p>
    <w:p>
      <w:pPr>
        <w:pStyle w:val="BodyText"/>
        <w:spacing w:line="240" w:lineRule="auto" w:before="0"/>
        <w:ind w:left="5017" w:right="0"/>
        <w:jc w:val="left"/>
      </w:pPr>
      <w:r>
        <w:rPr>
          <w:color w:val="231F20"/>
        </w:rPr>
        <w:t>and Lead </w:t>
      </w:r>
      <w:r>
        <w:rPr>
          <w:color w:val="231F20"/>
          <w:spacing w:val="-26"/>
        </w:rPr>
        <w:t>T</w:t>
      </w:r>
      <w:r>
        <w:rPr>
          <w:color w:val="231F20"/>
        </w:rPr>
        <w:t>eachers and diagnostic testing</w:t>
      </w:r>
      <w:r>
        <w:rPr/>
      </w:r>
    </w:p>
    <w:p>
      <w:pPr>
        <w:pStyle w:val="BodyText"/>
        <w:spacing w:line="240" w:lineRule="auto" w:before="0"/>
        <w:ind w:left="5017" w:right="0"/>
        <w:jc w:val="left"/>
      </w:pPr>
      <w:r>
        <w:rPr>
          <w:color w:val="231F20"/>
        </w:rPr>
        <w:t>of learners.</w:t>
      </w:r>
      <w:r>
        <w:rPr/>
      </w:r>
    </w:p>
    <w:p>
      <w:pPr>
        <w:spacing w:after="0" w:line="240" w:lineRule="auto"/>
        <w:jc w:val="left"/>
        <w:sectPr>
          <w:pgSz w:w="9980" w:h="14180"/>
          <w:pgMar w:header="0" w:footer="452" w:top="0" w:bottom="640" w:left="0" w:right="0"/>
        </w:sectPr>
      </w:pPr>
    </w:p>
    <w:p>
      <w:pPr>
        <w:spacing w:line="240" w:lineRule="auto" w:before="5"/>
        <w:rPr>
          <w:rFonts w:ascii="Swis721 Lt BT" w:hAnsi="Swis721 Lt BT" w:cs="Swis721 Lt BT" w:eastAsia="Swis721 Lt BT"/>
          <w:sz w:val="28"/>
          <w:szCs w:val="28"/>
        </w:rPr>
      </w:pPr>
    </w:p>
    <w:p>
      <w:pPr>
        <w:spacing w:before="77"/>
        <w:ind w:left="0" w:right="848" w:firstLine="0"/>
        <w:jc w:val="right"/>
        <w:rPr>
          <w:rFonts w:ascii="Swis721 Lt BT" w:hAnsi="Swis721 Lt BT" w:cs="Swis721 Lt BT" w:eastAsia="Swis721 Lt BT"/>
          <w:sz w:val="14"/>
          <w:szCs w:val="14"/>
        </w:rPr>
      </w:pPr>
      <w:r>
        <w:rPr/>
        <w:pict>
          <v:group style="position:absolute;margin-left:-.05pt;margin-top:-17.761885pt;width:498.95pt;height:51pt;mso-position-horizontal-relative:page;mso-position-vertical-relative:paragraph;z-index:-182752" coordorigin="-1,-355" coordsize="9979,1020">
            <v:group style="position:absolute;left:0;top:-354;width:9978;height:1018" coordorigin="0,-354" coordsize="9978,1018">
              <v:shape style="position:absolute;left:0;top:-354;width:9978;height:1018" coordorigin="0,-354" coordsize="9978,1018" path="m0,664l9978,664,9978,-354,0,-354,0,664xe" filled="true" fillcolor="#003b45" stroked="false">
                <v:path arrowok="t"/>
                <v:fill type="solid"/>
              </v:shape>
            </v:group>
            <v:group style="position:absolute;left:3384;top:-354;width:6594;height:1018" coordorigin="3384,-354" coordsize="6594,1018">
              <v:shape style="position:absolute;left:3384;top:-354;width:6594;height:1018" coordorigin="3384,-354" coordsize="6594,1018" path="m6982,-354l3384,664,9978,664,9978,-354,6982,-354e" filled="true" fillcolor="#005e63" stroked="false">
                <v:path arrowok="t"/>
                <v:fill type="solid"/>
              </v:shape>
            </v:group>
            <v:group style="position:absolute;left:0;top:-354;width:2;height:1018" coordorigin="0,-354" coordsize="2,1018">
              <v:shape style="position:absolute;left:0;top:-354;width:2;height:1018" coordorigin="0,-354" coordsize="0,1018" path="m0,-354l0,664e" filled="false" stroked="true" strokeweight=".1pt" strokecolor="#003b45">
                <v:path arrowok="t"/>
              </v:shape>
            </v:group>
            <w10:wrap type="none"/>
          </v:group>
        </w:pict>
      </w:r>
      <w:bookmarkStart w:name="KEY EVENTS" w:id="13"/>
      <w:bookmarkEnd w:id="13"/>
      <w:r>
        <w:rPr/>
      </w:r>
      <w:r>
        <w:rPr>
          <w:rFonts w:ascii="Swis721 Lt BT" w:hAnsi="Swis721 Lt BT" w:cs="Swis721 Lt BT" w:eastAsia="Swis721 Lt BT"/>
          <w:color w:val="FFFFFF"/>
          <w:spacing w:val="-1"/>
          <w:sz w:val="14"/>
          <w:szCs w:val="14"/>
        </w:rPr>
        <w:t>ANNUAL</w:t>
      </w:r>
      <w:r>
        <w:rPr>
          <w:rFonts w:ascii="Swis721 Lt BT" w:hAnsi="Swis721 Lt BT" w:cs="Swis721 Lt BT" w:eastAsia="Swis721 Lt BT"/>
          <w:color w:val="FFFFFF"/>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7"/>
        <w:rPr>
          <w:rFonts w:ascii="Swis721 Lt BT" w:hAnsi="Swis721 Lt BT" w:cs="Swis721 Lt BT" w:eastAsia="Swis721 Lt BT"/>
          <w:sz w:val="23"/>
          <w:szCs w:val="23"/>
        </w:rPr>
      </w:pPr>
    </w:p>
    <w:p>
      <w:pPr>
        <w:pStyle w:val="Heading2"/>
        <w:spacing w:line="240" w:lineRule="auto"/>
        <w:ind w:left="1133" w:right="0"/>
        <w:jc w:val="left"/>
        <w:rPr>
          <w:b w:val="0"/>
          <w:bCs w:val="0"/>
        </w:rPr>
      </w:pPr>
      <w:bookmarkStart w:name="_TOC_250004" w:id="14"/>
      <w:r>
        <w:rPr>
          <w:color w:val="005E63"/>
        </w:rPr>
        <w:t>KEY EVENTS</w:t>
      </w:r>
      <w:bookmarkEnd w:id="14"/>
      <w:r>
        <w:rPr>
          <w:b w:val="0"/>
        </w:rPr>
      </w:r>
    </w:p>
    <w:p>
      <w:pPr>
        <w:spacing w:line="240" w:lineRule="auto" w:before="7"/>
        <w:rPr>
          <w:rFonts w:ascii="Swis721 BT" w:hAnsi="Swis721 BT" w:cs="Swis721 BT" w:eastAsia="Swis721 BT"/>
          <w:b/>
          <w:bCs/>
          <w:sz w:val="39"/>
          <w:szCs w:val="39"/>
        </w:rPr>
      </w:pPr>
    </w:p>
    <w:p>
      <w:pPr>
        <w:pStyle w:val="Heading5"/>
        <w:spacing w:line="240" w:lineRule="auto"/>
        <w:ind w:left="1133" w:right="0"/>
        <w:jc w:val="left"/>
        <w:rPr>
          <w:b w:val="0"/>
          <w:bCs w:val="0"/>
        </w:rPr>
      </w:pPr>
      <w:r>
        <w:rPr>
          <w:color w:val="005E63"/>
        </w:rPr>
        <w:t>THE </w:t>
      </w:r>
      <w:r>
        <w:rPr>
          <w:color w:val="005E63"/>
          <w:spacing w:val="-6"/>
        </w:rPr>
        <w:t>HALT</w:t>
      </w:r>
      <w:r>
        <w:rPr>
          <w:color w:val="005E63"/>
        </w:rPr>
        <w:t> SUMMIT</w:t>
      </w:r>
      <w:r>
        <w:rPr>
          <w:b w:val="0"/>
        </w:rPr>
      </w:r>
    </w:p>
    <w:p>
      <w:pPr>
        <w:spacing w:line="240" w:lineRule="auto" w:before="2"/>
        <w:rPr>
          <w:rFonts w:ascii="Swis721 BT" w:hAnsi="Swis721 BT" w:cs="Swis721 BT" w:eastAsia="Swis721 BT"/>
          <w:b/>
          <w:bCs/>
          <w:sz w:val="12"/>
          <w:szCs w:val="12"/>
        </w:rPr>
      </w:pPr>
    </w:p>
    <w:p>
      <w:pPr>
        <w:spacing w:after="0" w:line="240" w:lineRule="auto"/>
        <w:rPr>
          <w:rFonts w:ascii="Swis721 BT" w:hAnsi="Swis721 BT" w:cs="Swis721 BT" w:eastAsia="Swis721 BT"/>
          <w:sz w:val="12"/>
          <w:szCs w:val="12"/>
        </w:rPr>
        <w:sectPr>
          <w:pgSz w:w="9980" w:h="14180"/>
          <w:pgMar w:header="0" w:footer="452" w:top="0" w:bottom="640" w:left="0" w:right="0"/>
        </w:sectPr>
      </w:pPr>
    </w:p>
    <w:p>
      <w:pPr>
        <w:pStyle w:val="BodyText"/>
        <w:spacing w:line="240" w:lineRule="auto" w:before="69"/>
        <w:ind w:left="1133" w:right="368"/>
        <w:jc w:val="left"/>
      </w:pPr>
      <w:r>
        <w:rPr>
          <w:color w:val="231F20"/>
        </w:rPr>
        <w:t>In May 2019, AITSL hosted its fourth Highly Accomplished and Lead </w:t>
      </w:r>
      <w:r>
        <w:rPr>
          <w:color w:val="231F20"/>
          <w:spacing w:val="-26"/>
        </w:rPr>
        <w:t>T</w:t>
      </w:r>
      <w:r>
        <w:rPr>
          <w:color w:val="231F20"/>
        </w:rPr>
        <w:t>eacher</w:t>
      </w:r>
      <w:r>
        <w:rPr>
          <w:color w:val="231F20"/>
        </w:rPr>
        <w:t> </w:t>
      </w:r>
      <w:r>
        <w:rPr>
          <w:color w:val="231F20"/>
          <w:spacing w:val="-3"/>
        </w:rPr>
        <w:t>(HALT)</w:t>
      </w:r>
      <w:r>
        <w:rPr>
          <w:color w:val="231F20"/>
        </w:rPr>
        <w:t> Summit. Almost 200 of Australia’s</w:t>
      </w:r>
      <w:r>
        <w:rPr>
          <w:color w:val="231F20"/>
          <w:spacing w:val="22"/>
        </w:rPr>
        <w:t> </w:t>
      </w:r>
      <w:r>
        <w:rPr>
          <w:color w:val="231F20"/>
        </w:rPr>
        <w:t>expert teachers plus jurisdictional, teacher</w:t>
      </w:r>
      <w:r>
        <w:rPr/>
      </w:r>
    </w:p>
    <w:p>
      <w:pPr>
        <w:pStyle w:val="BodyText"/>
        <w:spacing w:line="240" w:lineRule="auto" w:before="0"/>
        <w:ind w:left="1133" w:right="0"/>
        <w:jc w:val="left"/>
      </w:pPr>
      <w:r>
        <w:rPr>
          <w:color w:val="231F20"/>
        </w:rPr>
        <w:t>regulatory </w:t>
      </w:r>
      <w:r>
        <w:rPr>
          <w:color w:val="231F20"/>
          <w:spacing w:val="-2"/>
        </w:rPr>
        <w:t>authority,</w:t>
      </w:r>
      <w:r>
        <w:rPr>
          <w:color w:val="231F20"/>
        </w:rPr>
        <w:t> and system and sector</w:t>
      </w:r>
      <w:r>
        <w:rPr>
          <w:color w:val="231F20"/>
          <w:spacing w:val="25"/>
        </w:rPr>
        <w:t> </w:t>
      </w:r>
      <w:r>
        <w:rPr>
          <w:color w:val="231F20"/>
        </w:rPr>
        <w:t>representatives gathered in Darwin to share</w:t>
      </w:r>
      <w:r>
        <w:rPr>
          <w:color w:val="231F20"/>
        </w:rPr>
        <w:t> expertise</w:t>
      </w:r>
      <w:r>
        <w:rPr>
          <w:color w:val="231F20"/>
          <w:spacing w:val="-1"/>
        </w:rPr>
        <w:t> </w:t>
      </w:r>
      <w:r>
        <w:rPr>
          <w:color w:val="231F20"/>
        </w:rPr>
        <w:t>and</w:t>
      </w:r>
      <w:r>
        <w:rPr>
          <w:color w:val="231F20"/>
          <w:spacing w:val="-1"/>
        </w:rPr>
        <w:t> </w:t>
      </w:r>
      <w:r>
        <w:rPr>
          <w:color w:val="231F20"/>
        </w:rPr>
        <w:t>knowledge</w:t>
      </w:r>
      <w:r>
        <w:rPr>
          <w:color w:val="231F20"/>
          <w:spacing w:val="-1"/>
        </w:rPr>
        <w:t> </w:t>
      </w:r>
      <w:r>
        <w:rPr>
          <w:color w:val="231F20"/>
        </w:rPr>
        <w:t>for</w:t>
      </w:r>
      <w:r>
        <w:rPr>
          <w:color w:val="231F20"/>
          <w:spacing w:val="-1"/>
        </w:rPr>
        <w:t> </w:t>
      </w:r>
      <w:r>
        <w:rPr>
          <w:color w:val="231F20"/>
        </w:rPr>
        <w:t>the</w:t>
      </w:r>
      <w:r>
        <w:rPr>
          <w:color w:val="231F20"/>
          <w:spacing w:val="-1"/>
        </w:rPr>
        <w:t> </w:t>
      </w:r>
      <w:r>
        <w:rPr>
          <w:color w:val="231F20"/>
        </w:rPr>
        <w:t>benefit</w:t>
      </w:r>
      <w:r>
        <w:rPr>
          <w:color w:val="231F20"/>
          <w:spacing w:val="-1"/>
        </w:rPr>
        <w:t> </w:t>
      </w:r>
      <w:r>
        <w:rPr>
          <w:color w:val="231F20"/>
        </w:rPr>
        <w:t>of</w:t>
      </w:r>
      <w:r>
        <w:rPr>
          <w:color w:val="231F20"/>
        </w:rPr>
        <w:t> Australia’s students.</w:t>
      </w:r>
      <w:r>
        <w:rPr/>
      </w:r>
    </w:p>
    <w:p>
      <w:pPr>
        <w:pStyle w:val="BodyText"/>
        <w:spacing w:line="240" w:lineRule="auto"/>
        <w:ind w:left="1133" w:right="0"/>
        <w:jc w:val="left"/>
      </w:pPr>
      <w:r>
        <w:rPr>
          <w:color w:val="231F20"/>
        </w:rPr>
        <w:t>During the Summit, delegates worked with leading educational thinkers, including Dr </w:t>
      </w:r>
      <w:r>
        <w:rPr>
          <w:color w:val="231F20"/>
          <w:spacing w:val="-2"/>
        </w:rPr>
        <w:t>Lyn</w:t>
      </w:r>
      <w:r>
        <w:rPr>
          <w:color w:val="231F20"/>
          <w:spacing w:val="22"/>
        </w:rPr>
        <w:t> </w:t>
      </w:r>
      <w:r>
        <w:rPr>
          <w:color w:val="231F20"/>
        </w:rPr>
        <w:t>Sharratt from the Ontario Institute for Studies</w:t>
      </w:r>
      <w:r>
        <w:rPr>
          <w:color w:val="231F20"/>
        </w:rPr>
        <w:t> in Education at the University of </w:t>
      </w:r>
      <w:r>
        <w:rPr>
          <w:color w:val="231F20"/>
          <w:spacing w:val="-26"/>
        </w:rPr>
        <w:t>T</w:t>
      </w:r>
      <w:r>
        <w:rPr>
          <w:color w:val="231F20"/>
        </w:rPr>
        <w:t>oronto, AITSL</w:t>
      </w:r>
      <w:r>
        <w:rPr>
          <w:color w:val="231F20"/>
        </w:rPr>
        <w:t> Chair Laureate Professor John Hattie, and Dan </w:t>
      </w:r>
      <w:r>
        <w:rPr>
          <w:color w:val="231F20"/>
          <w:spacing w:val="-3"/>
        </w:rPr>
        <w:t>Haesler,</w:t>
      </w:r>
      <w:r>
        <w:rPr>
          <w:color w:val="231F20"/>
        </w:rPr>
        <w:t> Director of Cut Through Consulting</w:t>
      </w:r>
      <w:r>
        <w:rPr>
          <w:color w:val="231F20"/>
          <w:spacing w:val="26"/>
        </w:rPr>
        <w:t> </w:t>
      </w:r>
      <w:r>
        <w:rPr>
          <w:color w:val="231F20"/>
        </w:rPr>
        <w:t>and Coaching, to examine how they can</w:t>
      </w:r>
      <w:r>
        <w:rPr>
          <w:color w:val="231F20"/>
        </w:rPr>
        <w:t> effectively lead their colleagues and expand their impact in their schools.</w:t>
      </w:r>
      <w:r>
        <w:rPr/>
      </w:r>
    </w:p>
    <w:p>
      <w:pPr>
        <w:pStyle w:val="BodyText"/>
        <w:spacing w:line="240" w:lineRule="auto"/>
        <w:ind w:left="1133" w:right="0"/>
        <w:jc w:val="left"/>
      </w:pPr>
      <w:r>
        <w:rPr>
          <w:color w:val="231F20"/>
        </w:rPr>
        <w:t>The Summit program featured a series of facilitated workshops where delegates worked together to tackle three hot topics: student growth, the status of the profession, and women in leadership.</w:t>
      </w:r>
      <w:r>
        <w:rPr/>
      </w:r>
    </w:p>
    <w:p>
      <w:pPr>
        <w:pStyle w:val="BodyText"/>
        <w:spacing w:line="240" w:lineRule="auto" w:before="69"/>
        <w:ind w:left="308" w:right="898"/>
        <w:jc w:val="left"/>
      </w:pPr>
      <w:r>
        <w:rPr/>
        <w:br w:type="column"/>
      </w:r>
      <w:r>
        <w:rPr>
          <w:color w:val="231F20"/>
        </w:rPr>
        <w:t>In the days leading up to the Summit, some</w:t>
      </w:r>
      <w:r>
        <w:rPr>
          <w:color w:val="231F20"/>
        </w:rPr>
        <w:t> delegates participated in school visits in the Katherine, Jabiru, Gunbalanya and Darwin regions, reporting back on what a valuable and insightful experience it was to see unique teaching and learning contexts in the Northern </w:t>
      </w:r>
      <w:r>
        <w:rPr>
          <w:color w:val="231F20"/>
          <w:spacing w:val="-26"/>
        </w:rPr>
        <w:t>T</w:t>
      </w:r>
      <w:r>
        <w:rPr>
          <w:color w:val="231F20"/>
        </w:rPr>
        <w:t>erritor</w:t>
      </w:r>
      <w:r>
        <w:rPr>
          <w:color w:val="231F20"/>
          <w:spacing w:val="-15"/>
        </w:rPr>
        <w:t>y</w:t>
      </w:r>
      <w:r>
        <w:rPr>
          <w:color w:val="231F20"/>
        </w:rPr>
        <w:t>.</w:t>
      </w:r>
      <w:r>
        <w:rPr/>
      </w:r>
    </w:p>
    <w:p>
      <w:pPr>
        <w:pStyle w:val="BodyText"/>
        <w:spacing w:line="240" w:lineRule="auto"/>
        <w:ind w:left="308" w:right="898"/>
        <w:jc w:val="left"/>
      </w:pPr>
      <w:r>
        <w:rPr>
          <w:color w:val="231F20"/>
        </w:rPr>
        <w:t>In</w:t>
      </w:r>
      <w:r>
        <w:rPr>
          <w:color w:val="231F20"/>
          <w:spacing w:val="-1"/>
        </w:rPr>
        <w:t> </w:t>
      </w:r>
      <w:r>
        <w:rPr>
          <w:color w:val="231F20"/>
        </w:rPr>
        <w:t>his first</w:t>
      </w:r>
      <w:r>
        <w:rPr>
          <w:color w:val="231F20"/>
          <w:spacing w:val="-1"/>
        </w:rPr>
        <w:t> </w:t>
      </w:r>
      <w:r>
        <w:rPr>
          <w:color w:val="231F20"/>
        </w:rPr>
        <w:t>keynote address</w:t>
      </w:r>
      <w:r>
        <w:rPr>
          <w:color w:val="231F20"/>
          <w:spacing w:val="-1"/>
        </w:rPr>
        <w:t> </w:t>
      </w:r>
      <w:r>
        <w:rPr>
          <w:color w:val="231F20"/>
        </w:rPr>
        <w:t>as AITSL </w:t>
      </w:r>
      <w:r>
        <w:rPr>
          <w:color w:val="231F20"/>
          <w:spacing w:val="-2"/>
        </w:rPr>
        <w:t>CEO,</w:t>
      </w:r>
      <w:r>
        <w:rPr>
          <w:color w:val="231F20"/>
          <w:spacing w:val="20"/>
        </w:rPr>
        <w:t> </w:t>
      </w:r>
      <w:r>
        <w:rPr>
          <w:color w:val="231F20"/>
        </w:rPr>
        <w:t>Mark Grant spoke to delegates about the vital</w:t>
      </w:r>
      <w:r>
        <w:rPr>
          <w:color w:val="231F20"/>
        </w:rPr>
        <w:t> impact of </w:t>
      </w:r>
      <w:r>
        <w:rPr>
          <w:color w:val="231F20"/>
          <w:spacing w:val="-9"/>
        </w:rPr>
        <w:t>HALTs</w:t>
      </w:r>
      <w:r>
        <w:rPr>
          <w:color w:val="231F20"/>
        </w:rPr>
        <w:t> on school communities and</w:t>
      </w:r>
      <w:r>
        <w:rPr>
          <w:color w:val="231F20"/>
          <w:spacing w:val="23"/>
        </w:rPr>
        <w:t> </w:t>
      </w:r>
      <w:r>
        <w:rPr>
          <w:color w:val="231F20"/>
        </w:rPr>
        <w:t>student learning across the </w:t>
      </w:r>
      <w:r>
        <w:rPr>
          <w:color w:val="231F20"/>
          <w:spacing w:val="-2"/>
        </w:rPr>
        <w:t>country.</w:t>
      </w:r>
      <w:r>
        <w:rPr/>
      </w:r>
    </w:p>
    <w:p>
      <w:pPr>
        <w:pStyle w:val="BodyText"/>
        <w:spacing w:line="240" w:lineRule="auto"/>
        <w:ind w:left="308" w:right="898"/>
        <w:jc w:val="left"/>
      </w:pPr>
      <w:r>
        <w:rPr>
          <w:color w:val="231F20"/>
        </w:rPr>
        <w:t>Mr Grant said: ‘AITSL is committed to building the nation’s capacity for excellence in teaching…all of our programs help to expand our impact, but there is more we can do and I really believe that the </w:t>
      </w:r>
      <w:r>
        <w:rPr>
          <w:color w:val="231F20"/>
          <w:spacing w:val="-4"/>
        </w:rPr>
        <w:t>HALT</w:t>
      </w:r>
      <w:r>
        <w:rPr>
          <w:color w:val="231F20"/>
        </w:rPr>
        <w:t> cohort is one key</w:t>
      </w:r>
      <w:r>
        <w:rPr>
          <w:color w:val="231F20"/>
          <w:spacing w:val="20"/>
        </w:rPr>
        <w:t> </w:t>
      </w:r>
      <w:r>
        <w:rPr>
          <w:color w:val="231F20"/>
        </w:rPr>
        <w:t>to future success.’</w:t>
      </w:r>
      <w:r>
        <w:rPr/>
      </w:r>
    </w:p>
    <w:p>
      <w:pPr>
        <w:pStyle w:val="BodyText"/>
        <w:spacing w:line="240" w:lineRule="auto"/>
        <w:ind w:left="308" w:right="898"/>
        <w:jc w:val="left"/>
      </w:pPr>
      <w:r>
        <w:rPr>
          <w:color w:val="231F20"/>
        </w:rPr>
        <w:t>The success of the Summit is a testament to the</w:t>
      </w:r>
      <w:r>
        <w:rPr>
          <w:color w:val="231F20"/>
          <w:spacing w:val="-2"/>
        </w:rPr>
        <w:t> </w:t>
      </w:r>
      <w:r>
        <w:rPr>
          <w:color w:val="231F20"/>
        </w:rPr>
        <w:t>growing</w:t>
      </w:r>
      <w:r>
        <w:rPr>
          <w:color w:val="231F20"/>
          <w:spacing w:val="-2"/>
        </w:rPr>
        <w:t> </w:t>
      </w:r>
      <w:r>
        <w:rPr>
          <w:color w:val="231F20"/>
        </w:rPr>
        <w:t>interest</w:t>
      </w:r>
      <w:r>
        <w:rPr>
          <w:color w:val="231F20"/>
          <w:spacing w:val="-2"/>
        </w:rPr>
        <w:t> </w:t>
      </w:r>
      <w:r>
        <w:rPr>
          <w:color w:val="231F20"/>
        </w:rPr>
        <w:t>in</w:t>
      </w:r>
      <w:r>
        <w:rPr>
          <w:color w:val="231F20"/>
          <w:spacing w:val="-2"/>
        </w:rPr>
        <w:t> </w:t>
      </w:r>
      <w:r>
        <w:rPr>
          <w:color w:val="231F20"/>
        </w:rPr>
        <w:t>teacher</w:t>
      </w:r>
      <w:r>
        <w:rPr>
          <w:color w:val="231F20"/>
          <w:spacing w:val="-2"/>
        </w:rPr>
        <w:t> </w:t>
      </w:r>
      <w:r>
        <w:rPr>
          <w:color w:val="231F20"/>
        </w:rPr>
        <w:t>certification.</w:t>
      </w:r>
      <w:r>
        <w:rPr/>
      </w:r>
    </w:p>
    <w:p>
      <w:pPr>
        <w:spacing w:after="0" w:line="240" w:lineRule="auto"/>
        <w:jc w:val="left"/>
        <w:sectPr>
          <w:type w:val="continuous"/>
          <w:pgSz w:w="9980" w:h="14180"/>
          <w:pgMar w:top="0" w:bottom="280" w:left="0" w:right="0"/>
          <w:cols w:num="2" w:equalWidth="0">
            <w:col w:w="4953" w:space="40"/>
            <w:col w:w="4987"/>
          </w:cols>
        </w:sectPr>
      </w:pPr>
    </w:p>
    <w:p>
      <w:pPr>
        <w:spacing w:line="240" w:lineRule="auto" w:before="0"/>
        <w:rPr>
          <w:rFonts w:ascii="Swis721 Lt BT" w:hAnsi="Swis721 Lt BT" w:cs="Swis721 Lt BT" w:eastAsia="Swis721 Lt BT"/>
          <w:sz w:val="20"/>
          <w:szCs w:val="20"/>
        </w:rPr>
      </w:pPr>
    </w:p>
    <w:p>
      <w:pPr>
        <w:spacing w:line="240" w:lineRule="auto" w:before="2"/>
        <w:rPr>
          <w:rFonts w:ascii="Swis721 Lt BT" w:hAnsi="Swis721 Lt BT" w:cs="Swis721 Lt BT" w:eastAsia="Swis721 Lt BT"/>
          <w:sz w:val="20"/>
          <w:szCs w:val="20"/>
        </w:rPr>
      </w:pPr>
    </w:p>
    <w:p>
      <w:pPr>
        <w:spacing w:line="200" w:lineRule="atLeast"/>
        <w:ind w:left="1133" w:right="0" w:firstLine="0"/>
        <w:rPr>
          <w:rFonts w:ascii="Swis721 Lt BT" w:hAnsi="Swis721 Lt BT" w:cs="Swis721 Lt BT" w:eastAsia="Swis721 Lt BT"/>
          <w:sz w:val="20"/>
          <w:szCs w:val="20"/>
        </w:rPr>
      </w:pPr>
      <w:r>
        <w:rPr>
          <w:rFonts w:ascii="Swis721 Lt BT" w:hAnsi="Swis721 Lt BT" w:cs="Swis721 Lt BT" w:eastAsia="Swis721 Lt BT"/>
          <w:sz w:val="20"/>
          <w:szCs w:val="20"/>
        </w:rPr>
        <w:drawing>
          <wp:inline distT="0" distB="0" distL="0" distR="0">
            <wp:extent cx="5042483" cy="2841307"/>
            <wp:effectExtent l="0" t="0" r="0" b="0"/>
            <wp:docPr id="1" name="image30.jpeg" descr=""/>
            <wp:cNvGraphicFramePr>
              <a:graphicFrameLocks noChangeAspect="1"/>
            </wp:cNvGraphicFramePr>
            <a:graphic>
              <a:graphicData uri="http://schemas.openxmlformats.org/drawingml/2006/picture">
                <pic:pic>
                  <pic:nvPicPr>
                    <pic:cNvPr id="2" name="image30.jpeg"/>
                    <pic:cNvPicPr/>
                  </pic:nvPicPr>
                  <pic:blipFill>
                    <a:blip r:embed="rId48" cstate="print"/>
                    <a:stretch>
                      <a:fillRect/>
                    </a:stretch>
                  </pic:blipFill>
                  <pic:spPr>
                    <a:xfrm>
                      <a:off x="0" y="0"/>
                      <a:ext cx="5042483" cy="2841307"/>
                    </a:xfrm>
                    <a:prstGeom prst="rect">
                      <a:avLst/>
                    </a:prstGeom>
                  </pic:spPr>
                </pic:pic>
              </a:graphicData>
            </a:graphic>
          </wp:inline>
        </w:drawing>
      </w:r>
      <w:r>
        <w:rPr>
          <w:rFonts w:ascii="Swis721 Lt BT" w:hAnsi="Swis721 Lt BT" w:cs="Swis721 Lt BT" w:eastAsia="Swis721 Lt BT"/>
          <w:sz w:val="20"/>
          <w:szCs w:val="20"/>
        </w:rPr>
      </w:r>
    </w:p>
    <w:p>
      <w:pPr>
        <w:spacing w:after="0" w:line="200" w:lineRule="atLeast"/>
        <w:rPr>
          <w:rFonts w:ascii="Swis721 Lt BT" w:hAnsi="Swis721 Lt BT" w:cs="Swis721 Lt BT" w:eastAsia="Swis721 Lt BT"/>
          <w:sz w:val="20"/>
          <w:szCs w:val="20"/>
        </w:rPr>
        <w:sectPr>
          <w:type w:val="continuous"/>
          <w:pgSz w:w="9980" w:h="14180"/>
          <w:pgMar w:top="0" w:bottom="280" w:left="0" w:right="0"/>
        </w:sectPr>
      </w:pPr>
    </w:p>
    <w:p>
      <w:pPr>
        <w:spacing w:before="48"/>
        <w:ind w:left="850" w:right="0" w:firstLine="0"/>
        <w:jc w:val="left"/>
        <w:rPr>
          <w:rFonts w:ascii="Swis721 Lt BT" w:hAnsi="Swis721 Lt BT" w:cs="Swis721 Lt BT" w:eastAsia="Swis721 Lt BT"/>
          <w:sz w:val="16"/>
          <w:szCs w:val="16"/>
        </w:rPr>
      </w:pPr>
      <w:r>
        <w:rPr/>
        <w:pict>
          <v:group style="position:absolute;margin-left:0pt;margin-top:308.692017pt;width:498.9pt;height:400pt;mso-position-horizontal-relative:page;mso-position-vertical-relative:page;z-index:2968" coordorigin="0,6174" coordsize="9978,8000">
            <v:group style="position:absolute;left:0;top:7511;width:9978;height:6663" coordorigin="0,7511" coordsize="9978,6663">
              <v:shape style="position:absolute;left:0;top:7511;width:9978;height:6663" coordorigin="0,7511" coordsize="9978,6663" path="m9978,7511l0,10333,0,14173,9978,14173,9978,7511xe" filled="true" fillcolor="#005e63" stroked="false">
                <v:path arrowok="t"/>
                <v:fill type="solid"/>
              </v:shape>
              <v:shape style="position:absolute;left:850;top:9000;width:7994;height:4323" type="#_x0000_t75" stroked="false">
                <v:imagedata r:id="rId50" o:title=""/>
              </v:shape>
              <v:shape style="position:absolute;left:5017;top:6174;width:3827;height:2466" type="#_x0000_t75" stroked="false">
                <v:imagedata r:id="rId51" o:title=""/>
              </v:shape>
              <v:shape style="position:absolute;left:850;top:6174;width:3827;height:2466" type="#_x0000_t75" stroked="false">
                <v:imagedata r:id="rId52" o:title=""/>
              </v:shape>
              <v:shape style="position:absolute;left:850;top:13521;width:171;height:160" type="#_x0000_t202" filled="false" stroked="false">
                <v:textbox inset="0,0,0,0">
                  <w:txbxContent>
                    <w:p>
                      <w:pPr>
                        <w:spacing w:line="160" w:lineRule="exact" w:before="0"/>
                        <w:ind w:left="0" w:right="0" w:firstLine="0"/>
                        <w:jc w:val="left"/>
                        <w:rPr>
                          <w:rFonts w:ascii="Swis721 Lt BT" w:hAnsi="Swis721 Lt BT" w:cs="Swis721 Lt BT" w:eastAsia="Swis721 Lt BT"/>
                          <w:sz w:val="16"/>
                          <w:szCs w:val="16"/>
                        </w:rPr>
                      </w:pPr>
                      <w:r>
                        <w:rPr>
                          <w:rFonts w:ascii="Swis721 Lt BT"/>
                          <w:color w:val="FFFFFF"/>
                          <w:sz w:val="16"/>
                        </w:rPr>
                        <w:t>28</w:t>
                      </w:r>
                      <w:r>
                        <w:rPr>
                          <w:rFonts w:ascii="Swis721 Lt BT"/>
                          <w:sz w:val="16"/>
                        </w:rPr>
                      </w:r>
                    </w:p>
                  </w:txbxContent>
                </v:textbox>
                <w10:wrap type="none"/>
              </v:shape>
            </v:group>
            <w10:wrap type="none"/>
          </v:group>
        </w:pict>
      </w:r>
      <w:r>
        <w:rPr>
          <w:rFonts w:ascii="Swis721 BT"/>
          <w:b/>
          <w:color w:val="FFFFFF"/>
          <w:sz w:val="16"/>
        </w:rPr>
        <w:t>KEY EVENTS </w:t>
      </w:r>
      <w:r>
        <w:rPr>
          <w:rFonts w:ascii="Swis721 Lt BT"/>
          <w:color w:val="FFFFFF"/>
          <w:sz w:val="16"/>
        </w:rPr>
        <w:t>CONTINUED</w:t>
      </w:r>
      <w:r>
        <w:rPr>
          <w:rFonts w:ascii="Swis721 Lt BT"/>
          <w:sz w:val="16"/>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9"/>
        <w:rPr>
          <w:rFonts w:ascii="Swis721 Lt BT" w:hAnsi="Swis721 Lt BT" w:cs="Swis721 Lt BT" w:eastAsia="Swis721 Lt BT"/>
          <w:sz w:val="15"/>
          <w:szCs w:val="15"/>
        </w:rPr>
      </w:pPr>
    </w:p>
    <w:p>
      <w:pPr>
        <w:spacing w:line="170" w:lineRule="atLeast"/>
        <w:ind w:left="850" w:right="0" w:firstLine="0"/>
        <w:rPr>
          <w:rFonts w:ascii="Swis721 Lt BT" w:hAnsi="Swis721 Lt BT" w:cs="Swis721 Lt BT" w:eastAsia="Swis721 Lt BT"/>
          <w:sz w:val="17"/>
          <w:szCs w:val="17"/>
        </w:rPr>
      </w:pPr>
      <w:r>
        <w:rPr>
          <w:rFonts w:ascii="Swis721 Lt BT" w:hAnsi="Swis721 Lt BT" w:cs="Swis721 Lt BT" w:eastAsia="Swis721 Lt BT"/>
          <w:sz w:val="17"/>
          <w:szCs w:val="17"/>
        </w:rPr>
        <w:pict>
          <v:group style="width:4.7pt;height:8.65pt;mso-position-horizontal-relative:char;mso-position-vertical-relative:line" coordorigin="0,0" coordsize="94,173">
            <v:group style="position:absolute;left:0;top:0;width:94;height:173" coordorigin="0,0" coordsize="94,173">
              <v:shape style="position:absolute;left:0;top:0;width:94;height:173" coordorigin="0,0" coordsize="94,173" path="m93,0l32,24,2,79,0,172,92,172,92,85,44,85,44,82,48,62,59,47,78,35,93,0xe" filled="true" fillcolor="#ebf0c9" stroked="false">
                <v:path arrowok="t"/>
                <v:fill type="solid"/>
              </v:shape>
            </v:group>
          </v:group>
        </w:pict>
      </w:r>
      <w:r>
        <w:rPr>
          <w:rFonts w:ascii="Swis721 Lt BT" w:hAnsi="Swis721 Lt BT" w:cs="Swis721 Lt BT" w:eastAsia="Swis721 Lt BT"/>
          <w:sz w:val="17"/>
          <w:szCs w:val="17"/>
        </w:rPr>
      </w:r>
    </w:p>
    <w:p>
      <w:pPr>
        <w:pStyle w:val="Heading6"/>
        <w:spacing w:line="240" w:lineRule="auto" w:before="19"/>
        <w:ind w:right="5322"/>
        <w:jc w:val="left"/>
      </w:pPr>
      <w:r>
        <w:rPr/>
        <w:pict>
          <v:shape style="position:absolute;margin-left:250.865997pt;margin-top:-11.538296pt;width:191.339pt;height:205.653pt;mso-position-horizontal-relative:page;mso-position-vertical-relative:paragraph;z-index:2992" type="#_x0000_t75" stroked="false">
            <v:imagedata r:id="rId53" o:title=""/>
          </v:shape>
        </w:pict>
      </w:r>
      <w:r>
        <w:rPr/>
        <w:pict>
          <v:group style="position:absolute;margin-left:207.853302pt;margin-top:104.693604pt;width:4.7pt;height:8.65pt;mso-position-horizontal-relative:page;mso-position-vertical-relative:paragraph;z-index:-182632" coordorigin="4157,2094" coordsize="94,173">
            <v:shape style="position:absolute;left:4157;top:2094;width:94;height:173" coordorigin="4157,2094" coordsize="94,173" path="m4251,2094l4159,2094,4159,2181,4207,2181,4207,2184,4203,2204,4192,2220,4172,2231,4157,2266,4219,2242,4248,2187,4250,2162,4251,2094xe" filled="true" fillcolor="#ebf0c9" stroked="false">
              <v:path arrowok="t"/>
              <v:fill type="solid"/>
            </v:shape>
            <w10:wrap type="none"/>
          </v:group>
        </w:pict>
      </w:r>
      <w:r>
        <w:rPr>
          <w:color w:val="EBF0C9"/>
        </w:rPr>
        <w:t>I have taken away so many unique, wonderful, incredible moments from this Summit. It was a privilege to have so many school leaders with me. I know she has lots of take- always and so many ideas for our school going forward, including projects we can collaborate on.</w:t>
      </w:r>
      <w:r>
        <w:rPr/>
      </w:r>
    </w:p>
    <w:p>
      <w:pPr>
        <w:spacing w:line="240" w:lineRule="auto" w:before="0"/>
        <w:rPr>
          <w:rFonts w:ascii="Swis721 Lt BT" w:hAnsi="Swis721 Lt BT" w:cs="Swis721 Lt BT" w:eastAsia="Swis721 Lt BT"/>
          <w:sz w:val="24"/>
          <w:szCs w:val="24"/>
        </w:rPr>
      </w:pPr>
    </w:p>
    <w:p>
      <w:pPr>
        <w:spacing w:line="240" w:lineRule="auto" w:before="0"/>
        <w:rPr>
          <w:rFonts w:ascii="Swis721 Lt BT" w:hAnsi="Swis721 Lt BT" w:cs="Swis721 Lt BT" w:eastAsia="Swis721 Lt BT"/>
          <w:sz w:val="24"/>
          <w:szCs w:val="24"/>
        </w:rPr>
      </w:pPr>
    </w:p>
    <w:p>
      <w:pPr>
        <w:spacing w:line="240" w:lineRule="auto" w:before="0"/>
        <w:rPr>
          <w:rFonts w:ascii="Swis721 Lt BT" w:hAnsi="Swis721 Lt BT" w:cs="Swis721 Lt BT" w:eastAsia="Swis721 Lt BT"/>
          <w:sz w:val="24"/>
          <w:szCs w:val="24"/>
        </w:rPr>
      </w:pPr>
    </w:p>
    <w:p>
      <w:pPr>
        <w:spacing w:line="240" w:lineRule="auto" w:before="10"/>
        <w:rPr>
          <w:rFonts w:ascii="Swis721 Lt BT" w:hAnsi="Swis721 Lt BT" w:cs="Swis721 Lt BT" w:eastAsia="Swis721 Lt BT"/>
          <w:sz w:val="18"/>
          <w:szCs w:val="18"/>
        </w:rPr>
      </w:pPr>
    </w:p>
    <w:p>
      <w:pPr>
        <w:spacing w:before="0"/>
        <w:ind w:left="850" w:right="0" w:firstLine="0"/>
        <w:jc w:val="left"/>
        <w:rPr>
          <w:rFonts w:ascii="Swis721 BT" w:hAnsi="Swis721 BT" w:cs="Swis721 BT" w:eastAsia="Swis721 BT"/>
          <w:sz w:val="14"/>
          <w:szCs w:val="14"/>
        </w:rPr>
      </w:pPr>
      <w:r>
        <w:rPr>
          <w:rFonts w:ascii="Swis721 BT"/>
          <w:i/>
          <w:color w:val="FFFFFF"/>
          <w:sz w:val="14"/>
        </w:rPr>
        <w:t>Right: AITSL CEO Mark Grant</w:t>
      </w:r>
      <w:r>
        <w:rPr>
          <w:rFonts w:ascii="Swis721 BT"/>
          <w:sz w:val="14"/>
        </w:rPr>
      </w:r>
    </w:p>
    <w:p>
      <w:pPr>
        <w:spacing w:before="0"/>
        <w:ind w:left="850" w:right="0" w:firstLine="0"/>
        <w:jc w:val="left"/>
        <w:rPr>
          <w:rFonts w:ascii="Swis721 BT" w:hAnsi="Swis721 BT" w:cs="Swis721 BT" w:eastAsia="Swis721 BT"/>
          <w:sz w:val="14"/>
          <w:szCs w:val="14"/>
        </w:rPr>
      </w:pPr>
      <w:r>
        <w:rPr>
          <w:rFonts w:ascii="Swis721 BT"/>
          <w:i/>
          <w:color w:val="FFFFFF"/>
          <w:sz w:val="14"/>
        </w:rPr>
        <w:t>Below left: AITSL Chair Laureate Professor John Hattie</w:t>
      </w:r>
      <w:r>
        <w:rPr>
          <w:rFonts w:ascii="Swis721 BT"/>
          <w:sz w:val="14"/>
        </w:rPr>
      </w:r>
    </w:p>
    <w:p>
      <w:pPr>
        <w:spacing w:before="0"/>
        <w:ind w:left="850" w:right="0" w:firstLine="0"/>
        <w:jc w:val="left"/>
        <w:rPr>
          <w:rFonts w:ascii="Swis721 BT" w:hAnsi="Swis721 BT" w:cs="Swis721 BT" w:eastAsia="Swis721 BT"/>
          <w:sz w:val="14"/>
          <w:szCs w:val="14"/>
        </w:rPr>
      </w:pPr>
      <w:r>
        <w:rPr>
          <w:rFonts w:ascii="Swis721 BT"/>
          <w:i/>
          <w:color w:val="FFFFFF"/>
          <w:sz w:val="14"/>
        </w:rPr>
        <w:t>Below right/bottom: Highly Accomplished and Lead </w:t>
      </w:r>
      <w:r>
        <w:rPr>
          <w:rFonts w:ascii="Swis721 BT"/>
          <w:i/>
          <w:color w:val="FFFFFF"/>
          <w:spacing w:val="-2"/>
          <w:sz w:val="14"/>
        </w:rPr>
        <w:t>Teachers</w:t>
      </w:r>
      <w:r>
        <w:rPr>
          <w:rFonts w:ascii="Swis721 BT"/>
          <w:sz w:val="14"/>
        </w:rPr>
      </w:r>
    </w:p>
    <w:p>
      <w:pPr>
        <w:spacing w:after="0"/>
        <w:jc w:val="left"/>
        <w:rPr>
          <w:rFonts w:ascii="Swis721 BT" w:hAnsi="Swis721 BT" w:cs="Swis721 BT" w:eastAsia="Swis721 BT"/>
          <w:sz w:val="14"/>
          <w:szCs w:val="14"/>
        </w:rPr>
        <w:sectPr>
          <w:footerReference w:type="even" r:id="rId49"/>
          <w:pgSz w:w="9980" w:h="14180"/>
          <w:pgMar w:footer="0" w:header="0" w:top="800" w:bottom="0" w:left="0" w:right="0"/>
        </w:sectPr>
      </w:pPr>
    </w:p>
    <w:p>
      <w:pPr>
        <w:spacing w:line="240" w:lineRule="auto" w:before="5"/>
        <w:rPr>
          <w:rFonts w:ascii="Swis721 BT" w:hAnsi="Swis721 BT" w:cs="Swis721 BT" w:eastAsia="Swis721 BT"/>
          <w:i/>
          <w:sz w:val="28"/>
          <w:szCs w:val="28"/>
        </w:rPr>
      </w:pPr>
    </w:p>
    <w:p>
      <w:pPr>
        <w:spacing w:before="77"/>
        <w:ind w:left="0" w:right="10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14"/>
          <w:szCs w:val="14"/>
        </w:rPr>
      </w:pPr>
    </w:p>
    <w:p>
      <w:pPr>
        <w:spacing w:line="240" w:lineRule="auto" w:before="0"/>
        <w:rPr>
          <w:rFonts w:ascii="Swis721 Lt BT" w:hAnsi="Swis721 Lt BT" w:cs="Swis721 Lt BT" w:eastAsia="Swis721 Lt BT"/>
          <w:sz w:val="14"/>
          <w:szCs w:val="14"/>
        </w:rPr>
      </w:pPr>
    </w:p>
    <w:p>
      <w:pPr>
        <w:spacing w:line="240" w:lineRule="auto" w:before="0"/>
        <w:rPr>
          <w:rFonts w:ascii="Swis721 Lt BT" w:hAnsi="Swis721 Lt BT" w:cs="Swis721 Lt BT" w:eastAsia="Swis721 Lt BT"/>
          <w:sz w:val="14"/>
          <w:szCs w:val="14"/>
        </w:rPr>
      </w:pPr>
    </w:p>
    <w:p>
      <w:pPr>
        <w:spacing w:line="240" w:lineRule="auto" w:before="0"/>
        <w:rPr>
          <w:rFonts w:ascii="Swis721 Lt BT" w:hAnsi="Swis721 Lt BT" w:cs="Swis721 Lt BT" w:eastAsia="Swis721 Lt BT"/>
          <w:sz w:val="14"/>
          <w:szCs w:val="14"/>
        </w:rPr>
      </w:pPr>
    </w:p>
    <w:p>
      <w:pPr>
        <w:spacing w:line="240" w:lineRule="auto" w:before="0"/>
        <w:rPr>
          <w:rFonts w:ascii="Swis721 Lt BT" w:hAnsi="Swis721 Lt BT" w:cs="Swis721 Lt BT" w:eastAsia="Swis721 Lt BT"/>
          <w:sz w:val="14"/>
          <w:szCs w:val="14"/>
        </w:rPr>
      </w:pPr>
    </w:p>
    <w:p>
      <w:pPr>
        <w:spacing w:line="240" w:lineRule="auto" w:before="8"/>
        <w:rPr>
          <w:rFonts w:ascii="Swis721 Lt BT" w:hAnsi="Swis721 Lt BT" w:cs="Swis721 Lt BT" w:eastAsia="Swis721 Lt BT"/>
          <w:sz w:val="18"/>
          <w:szCs w:val="18"/>
        </w:rPr>
      </w:pPr>
    </w:p>
    <w:p>
      <w:pPr>
        <w:pStyle w:val="Heading5"/>
        <w:spacing w:line="240" w:lineRule="auto"/>
        <w:ind w:left="0" w:right="208"/>
        <w:jc w:val="right"/>
        <w:rPr>
          <w:b w:val="0"/>
          <w:bCs w:val="0"/>
        </w:rPr>
      </w:pPr>
      <w:r>
        <w:rPr>
          <w:color w:val="005E63"/>
          <w:spacing w:val="-4"/>
        </w:rPr>
        <w:t>NATIONAL</w:t>
      </w:r>
      <w:r>
        <w:rPr>
          <w:color w:val="005E63"/>
          <w:spacing w:val="-5"/>
        </w:rPr>
        <w:t> </w:t>
      </w:r>
      <w:r>
        <w:rPr>
          <w:color w:val="005E63"/>
          <w:spacing w:val="-4"/>
        </w:rPr>
        <w:t>DIALOGUE</w:t>
      </w:r>
      <w:r>
        <w:rPr>
          <w:color w:val="005E63"/>
          <w:spacing w:val="-5"/>
        </w:rPr>
        <w:t> </w:t>
      </w:r>
      <w:r>
        <w:rPr>
          <w:color w:val="005E63"/>
          <w:spacing w:val="-2"/>
        </w:rPr>
        <w:t>ON</w:t>
      </w:r>
      <w:r>
        <w:rPr>
          <w:color w:val="005E63"/>
          <w:spacing w:val="-5"/>
        </w:rPr>
        <w:t> </w:t>
      </w:r>
      <w:r>
        <w:rPr>
          <w:color w:val="005E63"/>
          <w:spacing w:val="-3"/>
        </w:rPr>
        <w:t>HIGH</w:t>
      </w:r>
      <w:r>
        <w:rPr>
          <w:color w:val="005E63"/>
          <w:spacing w:val="-5"/>
        </w:rPr>
        <w:t> </w:t>
      </w:r>
      <w:r>
        <w:rPr>
          <w:color w:val="005E63"/>
          <w:spacing w:val="-4"/>
        </w:rPr>
        <w:t>QUALITY</w:t>
      </w:r>
      <w:r>
        <w:rPr>
          <w:color w:val="005E63"/>
          <w:spacing w:val="-5"/>
        </w:rPr>
        <w:t> </w:t>
      </w:r>
      <w:r>
        <w:rPr>
          <w:color w:val="005E63"/>
          <w:spacing w:val="-3"/>
        </w:rPr>
        <w:t>PROFESSIONAL</w:t>
      </w:r>
      <w:r>
        <w:rPr>
          <w:color w:val="005E63"/>
          <w:spacing w:val="-5"/>
        </w:rPr>
        <w:t> </w:t>
      </w:r>
      <w:r>
        <w:rPr>
          <w:color w:val="005E63"/>
          <w:spacing w:val="-3"/>
        </w:rPr>
        <w:t>LEARNING</w:t>
      </w:r>
      <w:r>
        <w:rPr>
          <w:b w:val="0"/>
        </w:rPr>
      </w:r>
    </w:p>
    <w:p>
      <w:pPr>
        <w:spacing w:line="240" w:lineRule="auto" w:before="2"/>
        <w:rPr>
          <w:rFonts w:ascii="Swis721 BT" w:hAnsi="Swis721 BT" w:cs="Swis721 BT" w:eastAsia="Swis721 BT"/>
          <w:b/>
          <w:bCs/>
          <w:sz w:val="12"/>
          <w:szCs w:val="12"/>
        </w:rPr>
      </w:pPr>
    </w:p>
    <w:p>
      <w:pPr>
        <w:spacing w:after="0" w:line="240" w:lineRule="auto"/>
        <w:rPr>
          <w:rFonts w:ascii="Swis721 BT" w:hAnsi="Swis721 BT" w:cs="Swis721 BT" w:eastAsia="Swis721 BT"/>
          <w:sz w:val="12"/>
          <w:szCs w:val="12"/>
        </w:rPr>
        <w:sectPr>
          <w:footerReference w:type="default" r:id="rId54"/>
          <w:footerReference w:type="even" r:id="rId55"/>
          <w:pgSz w:w="9980" w:h="14180"/>
          <w:pgMar w:footer="452" w:header="0" w:top="0" w:bottom="640" w:left="0" w:right="740"/>
          <w:pgNumType w:start="29"/>
        </w:sectPr>
      </w:pPr>
    </w:p>
    <w:p>
      <w:pPr>
        <w:pStyle w:val="BodyText"/>
        <w:spacing w:line="240" w:lineRule="auto" w:before="69"/>
        <w:ind w:left="1133" w:right="0"/>
        <w:jc w:val="left"/>
      </w:pPr>
      <w:r>
        <w:rPr/>
        <w:pict>
          <v:group style="position:absolute;margin-left:0pt;margin-top:0pt;width:.1pt;height:708.7pt;mso-position-horizontal-relative:page;mso-position-vertical-relative:page;z-index:3040" coordorigin="0,0" coordsize="2,14174">
            <v:shape style="position:absolute;left:0;top:0;width:2;height:14174" coordorigin="0,0" coordsize="0,14174" path="m0,0l0,14173e" filled="false" stroked="true" strokeweight=".1pt" strokecolor="#003b45">
              <v:path arrowok="t"/>
            </v:shape>
            <w10:wrap type="none"/>
          </v:group>
        </w:pict>
      </w:r>
      <w:r>
        <w:rPr>
          <w:color w:val="231F20"/>
        </w:rPr>
        <w:t>On 14 November 2018, AITSL convened a National Dialogue on High Quality Professional Learning in partnership with Education Services Australia (ESA). There were over 100 participants, including teachers and leaders, senior system and sector representatives, teacher regulatory authorities and professional and principal associations.</w:t>
      </w:r>
      <w:r>
        <w:rPr/>
      </w:r>
    </w:p>
    <w:p>
      <w:pPr>
        <w:pStyle w:val="BodyText"/>
        <w:spacing w:line="240" w:lineRule="auto"/>
        <w:ind w:left="1133" w:right="0"/>
        <w:jc w:val="left"/>
      </w:pPr>
      <w:r>
        <w:rPr/>
        <w:pict>
          <v:shape style="position:absolute;margin-left:265.039368pt;margin-top:47.976814pt;width:191.338572pt;height:127.559055pt;mso-position-horizontal-relative:page;mso-position-vertical-relative:paragraph;z-index:3112" type="#_x0000_t75" stroked="false">
            <v:imagedata r:id="rId56" o:title=""/>
          </v:shape>
        </w:pict>
      </w:r>
      <w:r>
        <w:rPr>
          <w:color w:val="231F20"/>
        </w:rPr>
        <w:t>The National Dialogue was an opportunity to examine the challenges and co-create national solutions to the challenges faced by three cohorts in accessing high quality professional learning: early childhood, </w:t>
      </w:r>
      <w:r>
        <w:rPr>
          <w:color w:val="231F20"/>
          <w:spacing w:val="-1"/>
        </w:rPr>
        <w:t>casual/relief,</w:t>
      </w:r>
      <w:r>
        <w:rPr>
          <w:color w:val="231F20"/>
        </w:rPr>
        <w:t> and</w:t>
      </w:r>
      <w:r>
        <w:rPr>
          <w:color w:val="231F20"/>
          <w:spacing w:val="21"/>
        </w:rPr>
        <w:t> </w:t>
      </w:r>
      <w:r>
        <w:rPr>
          <w:color w:val="231F20"/>
        </w:rPr>
        <w:t>regional/rural/remote teachers.</w:t>
      </w:r>
      <w:r>
        <w:rPr/>
      </w:r>
    </w:p>
    <w:p>
      <w:pPr>
        <w:pStyle w:val="BodyText"/>
        <w:spacing w:line="240" w:lineRule="auto"/>
        <w:ind w:left="1133" w:right="193"/>
        <w:jc w:val="left"/>
      </w:pPr>
      <w:r>
        <w:rPr>
          <w:color w:val="231F20"/>
        </w:rPr>
        <w:t>In her welcome address, Lisa Rodgers, then CEO of AITSL, challenged participants to</w:t>
      </w:r>
      <w:r>
        <w:rPr>
          <w:color w:val="231F20"/>
          <w:spacing w:val="25"/>
        </w:rPr>
        <w:t> </w:t>
      </w:r>
      <w:r>
        <w:rPr>
          <w:color w:val="231F20"/>
        </w:rPr>
        <w:t>think outside the box. She emphasised the</w:t>
      </w:r>
      <w:r>
        <w:rPr>
          <w:color w:val="231F20"/>
        </w:rPr>
        <w:t> shared commitment of AITSL and ESA to enabling change ‘so that access to high</w:t>
      </w:r>
      <w:r>
        <w:rPr/>
      </w:r>
    </w:p>
    <w:p>
      <w:pPr>
        <w:pStyle w:val="BodyText"/>
        <w:spacing w:line="240" w:lineRule="auto" w:before="0"/>
        <w:ind w:left="1133" w:right="11"/>
        <w:jc w:val="left"/>
      </w:pPr>
      <w:r>
        <w:rPr>
          <w:color w:val="231F20"/>
        </w:rPr>
        <w:t>quality professional learning is the rule, not the exception.’</w:t>
      </w:r>
      <w:r>
        <w:rPr/>
      </w:r>
    </w:p>
    <w:p>
      <w:pPr>
        <w:pStyle w:val="BodyText"/>
        <w:spacing w:line="240" w:lineRule="auto"/>
        <w:ind w:left="1133" w:right="153"/>
        <w:jc w:val="left"/>
      </w:pPr>
      <w:r>
        <w:rPr/>
        <w:pict>
          <v:shape style="position:absolute;margin-left:265.039368pt;margin-top:33.992836pt;width:191.338572pt;height:127.559055pt;mso-position-horizontal-relative:page;mso-position-vertical-relative:paragraph;z-index:3064" type="#_x0000_t75" stroked="false">
            <v:imagedata r:id="rId57" o:title=""/>
          </v:shape>
        </w:pict>
      </w:r>
      <w:r>
        <w:rPr>
          <w:color w:val="231F20"/>
        </w:rPr>
        <w:t>Important progress was made in raising awareness of the issues faced by the three cohorts. A clear message on the day was that</w:t>
      </w:r>
      <w:r>
        <w:rPr>
          <w:color w:val="231F20"/>
          <w:spacing w:val="-4"/>
        </w:rPr>
        <w:t> </w:t>
      </w:r>
      <w:r>
        <w:rPr>
          <w:color w:val="231F20"/>
        </w:rPr>
        <w:t>these</w:t>
      </w:r>
      <w:r>
        <w:rPr>
          <w:color w:val="231F20"/>
          <w:spacing w:val="-3"/>
        </w:rPr>
        <w:t> </w:t>
      </w:r>
      <w:r>
        <w:rPr>
          <w:color w:val="231F20"/>
        </w:rPr>
        <w:t>teachers</w:t>
      </w:r>
      <w:r>
        <w:rPr>
          <w:color w:val="231F20"/>
          <w:spacing w:val="-3"/>
        </w:rPr>
        <w:t> </w:t>
      </w:r>
      <w:r>
        <w:rPr>
          <w:color w:val="231F20"/>
        </w:rPr>
        <w:t>have</w:t>
      </w:r>
      <w:r>
        <w:rPr>
          <w:color w:val="231F20"/>
          <w:spacing w:val="-3"/>
        </w:rPr>
        <w:t> </w:t>
      </w:r>
      <w:r>
        <w:rPr>
          <w:color w:val="231F20"/>
        </w:rPr>
        <w:t>significant</w:t>
      </w:r>
      <w:r>
        <w:rPr>
          <w:color w:val="231F20"/>
          <w:spacing w:val="-3"/>
        </w:rPr>
        <w:t> </w:t>
      </w:r>
      <w:r>
        <w:rPr>
          <w:color w:val="231F20"/>
        </w:rPr>
        <w:t>influence</w:t>
      </w:r>
      <w:r>
        <w:rPr>
          <w:color w:val="231F20"/>
          <w:w w:val="99"/>
        </w:rPr>
        <w:t> </w:t>
      </w:r>
      <w:r>
        <w:rPr>
          <w:color w:val="231F20"/>
        </w:rPr>
        <w:t>on young people’s education, and for them</w:t>
      </w:r>
      <w:r>
        <w:rPr>
          <w:color w:val="231F20"/>
        </w:rPr>
        <w:t> to have maximum impact on the growth and achievement of their learners, access to high quality professional learning is critical.</w:t>
      </w:r>
      <w:r>
        <w:rPr/>
      </w:r>
    </w:p>
    <w:p>
      <w:pPr>
        <w:pStyle w:val="BodyText"/>
        <w:spacing w:line="240" w:lineRule="auto"/>
        <w:ind w:left="1133" w:right="209"/>
        <w:jc w:val="left"/>
      </w:pPr>
      <w:r>
        <w:rPr>
          <w:color w:val="231F20"/>
        </w:rPr>
        <w:t>The Dialogue also surfaced a range of recurring issues centred around four themes: the need for a coordinated national approach to professional learning with</w:t>
      </w:r>
      <w:r>
        <w:rPr/>
      </w:r>
    </w:p>
    <w:p>
      <w:pPr>
        <w:pStyle w:val="BodyText"/>
        <w:spacing w:line="240" w:lineRule="auto" w:before="0"/>
        <w:ind w:left="1133" w:right="0"/>
        <w:jc w:val="left"/>
      </w:pPr>
      <w:r>
        <w:rPr/>
        <w:pict>
          <v:shape style="position:absolute;margin-left:265.039368pt;margin-top:31.430405pt;width:191.338572pt;height:127.559055pt;mso-position-horizontal-relative:page;mso-position-vertical-relative:paragraph;z-index:3088" type="#_x0000_t75" stroked="false">
            <v:imagedata r:id="rId58" o:title=""/>
          </v:shape>
        </w:pict>
      </w:r>
      <w:r>
        <w:rPr>
          <w:color w:val="231F20"/>
        </w:rPr>
        <w:t>consistent expectations and requirements, the importance of collaborative opportunities and partnerships, the need for structural changes as enablers, and leadership support. Drawing on</w:t>
      </w:r>
      <w:r>
        <w:rPr>
          <w:color w:val="231F20"/>
          <w:spacing w:val="-2"/>
        </w:rPr>
        <w:t> </w:t>
      </w:r>
      <w:r>
        <w:rPr>
          <w:color w:val="231F20"/>
        </w:rPr>
        <w:t>local</w:t>
      </w:r>
      <w:r>
        <w:rPr>
          <w:color w:val="231F20"/>
          <w:spacing w:val="-1"/>
        </w:rPr>
        <w:t> </w:t>
      </w:r>
      <w:r>
        <w:rPr>
          <w:color w:val="231F20"/>
        </w:rPr>
        <w:t>expertise</w:t>
      </w:r>
      <w:r>
        <w:rPr>
          <w:color w:val="231F20"/>
          <w:spacing w:val="-1"/>
        </w:rPr>
        <w:t> </w:t>
      </w:r>
      <w:r>
        <w:rPr>
          <w:color w:val="231F20"/>
        </w:rPr>
        <w:t>was</w:t>
      </w:r>
      <w:r>
        <w:rPr>
          <w:color w:val="231F20"/>
          <w:spacing w:val="-1"/>
        </w:rPr>
        <w:t> </w:t>
      </w:r>
      <w:r>
        <w:rPr>
          <w:color w:val="231F20"/>
        </w:rPr>
        <w:t>identified</w:t>
      </w:r>
      <w:r>
        <w:rPr>
          <w:color w:val="231F20"/>
          <w:spacing w:val="-1"/>
        </w:rPr>
        <w:t> </w:t>
      </w:r>
      <w:r>
        <w:rPr>
          <w:color w:val="231F20"/>
        </w:rPr>
        <w:t>as</w:t>
      </w:r>
      <w:r>
        <w:rPr>
          <w:color w:val="231F20"/>
          <w:spacing w:val="-1"/>
        </w:rPr>
        <w:t> </w:t>
      </w:r>
      <w:r>
        <w:rPr>
          <w:color w:val="231F20"/>
        </w:rPr>
        <w:t>a</w:t>
      </w:r>
      <w:r>
        <w:rPr>
          <w:color w:val="231F20"/>
          <w:spacing w:val="-1"/>
        </w:rPr>
        <w:t> </w:t>
      </w:r>
      <w:r>
        <w:rPr>
          <w:color w:val="231F20"/>
        </w:rPr>
        <w:t>vital</w:t>
      </w:r>
      <w:r>
        <w:rPr>
          <w:color w:val="231F20"/>
        </w:rPr>
        <w:t> solution that needs to be encouraged, along with getting expertise out to the regions that need it most.</w:t>
      </w:r>
      <w:r>
        <w:rPr/>
      </w:r>
    </w:p>
    <w:p>
      <w:pPr>
        <w:pStyle w:val="BodyText"/>
        <w:spacing w:line="240" w:lineRule="auto" w:before="70"/>
        <w:ind w:left="300" w:right="136"/>
        <w:jc w:val="left"/>
      </w:pPr>
      <w:r>
        <w:rPr/>
        <w:br w:type="column"/>
      </w:r>
      <w:r>
        <w:rPr>
          <w:color w:val="231F20"/>
          <w:spacing w:val="-1"/>
        </w:rPr>
        <w:t>Participants</w:t>
      </w:r>
      <w:r>
        <w:rPr>
          <w:color w:val="231F20"/>
        </w:rPr>
        <w:t> played an important role in three</w:t>
      </w:r>
      <w:r>
        <w:rPr>
          <w:color w:val="231F20"/>
          <w:spacing w:val="27"/>
        </w:rPr>
        <w:t> </w:t>
      </w:r>
      <w:r>
        <w:rPr>
          <w:color w:val="231F20"/>
        </w:rPr>
        <w:t>breakout sessions addressing the needs of</w:t>
      </w:r>
      <w:r>
        <w:rPr>
          <w:color w:val="231F20"/>
        </w:rPr>
        <w:t> each cohort. The diverse knowledge and experience of the stakeholders present allowed</w:t>
      </w:r>
      <w:r>
        <w:rPr>
          <w:color w:val="231F20"/>
          <w:spacing w:val="-2"/>
        </w:rPr>
        <w:t> </w:t>
      </w:r>
      <w:r>
        <w:rPr>
          <w:color w:val="231F20"/>
        </w:rPr>
        <w:t>for</w:t>
      </w:r>
      <w:r>
        <w:rPr>
          <w:color w:val="231F20"/>
          <w:spacing w:val="-1"/>
        </w:rPr>
        <w:t> </w:t>
      </w:r>
      <w:r>
        <w:rPr>
          <w:color w:val="231F20"/>
        </w:rPr>
        <w:t>significant</w:t>
      </w:r>
      <w:r>
        <w:rPr>
          <w:color w:val="231F20"/>
          <w:spacing w:val="-1"/>
        </w:rPr>
        <w:t> </w:t>
      </w:r>
      <w:r>
        <w:rPr>
          <w:color w:val="231F20"/>
        </w:rPr>
        <w:t>progress</w:t>
      </w:r>
      <w:r>
        <w:rPr>
          <w:color w:val="231F20"/>
          <w:spacing w:val="-1"/>
        </w:rPr>
        <w:t> </w:t>
      </w:r>
      <w:r>
        <w:rPr>
          <w:color w:val="231F20"/>
        </w:rPr>
        <w:t>to</w:t>
      </w:r>
      <w:r>
        <w:rPr>
          <w:color w:val="231F20"/>
          <w:spacing w:val="-1"/>
        </w:rPr>
        <w:t> </w:t>
      </w:r>
      <w:r>
        <w:rPr>
          <w:color w:val="231F20"/>
        </w:rPr>
        <w:t>be</w:t>
      </w:r>
      <w:r>
        <w:rPr>
          <w:color w:val="231F20"/>
          <w:spacing w:val="-2"/>
        </w:rPr>
        <w:t> </w:t>
      </w:r>
      <w:r>
        <w:rPr>
          <w:color w:val="231F20"/>
        </w:rPr>
        <w:t>made</w:t>
      </w:r>
      <w:r>
        <w:rPr>
          <w:color w:val="231F20"/>
          <w:spacing w:val="-1"/>
        </w:rPr>
        <w:t> </w:t>
      </w:r>
      <w:r>
        <w:rPr>
          <w:color w:val="231F20"/>
        </w:rPr>
        <w:t>in</w:t>
      </w:r>
      <w:r>
        <w:rPr>
          <w:color w:val="231F20"/>
        </w:rPr>
        <w:t> generating practical ideas and implementation approaches. This will continue to inform AITSL’s ongoing work to improve teacher professional learning.</w:t>
      </w:r>
      <w:r>
        <w:rPr/>
      </w:r>
    </w:p>
    <w:p>
      <w:pPr>
        <w:spacing w:after="0" w:line="240" w:lineRule="auto"/>
        <w:jc w:val="left"/>
        <w:sectPr>
          <w:type w:val="continuous"/>
          <w:pgSz w:w="9980" w:h="14180"/>
          <w:pgMar w:top="0" w:bottom="280" w:left="0" w:right="740"/>
          <w:cols w:num="2" w:equalWidth="0">
            <w:col w:w="4961" w:space="40"/>
            <w:col w:w="4239"/>
          </w:cols>
        </w:sect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
        <w:rPr>
          <w:rFonts w:ascii="Swis721 Lt BT" w:hAnsi="Swis721 Lt BT" w:cs="Swis721 Lt BT" w:eastAsia="Swis721 Lt BT"/>
          <w:sz w:val="25"/>
          <w:szCs w:val="25"/>
        </w:rPr>
      </w:pPr>
    </w:p>
    <w:p>
      <w:pPr>
        <w:spacing w:after="0" w:line="240" w:lineRule="auto"/>
        <w:rPr>
          <w:rFonts w:ascii="Swis721 Lt BT" w:hAnsi="Swis721 Lt BT" w:cs="Swis721 Lt BT" w:eastAsia="Swis721 Lt BT"/>
          <w:sz w:val="25"/>
          <w:szCs w:val="25"/>
        </w:rPr>
        <w:sectPr>
          <w:pgSz w:w="9980" w:h="14180"/>
          <w:pgMar w:header="0" w:footer="452" w:top="0" w:bottom="640" w:left="0" w:right="0"/>
        </w:sectPr>
      </w:pPr>
    </w:p>
    <w:p>
      <w:pPr>
        <w:pStyle w:val="Heading5"/>
        <w:spacing w:line="240" w:lineRule="auto" w:before="61"/>
        <w:ind w:left="850" w:right="0"/>
        <w:jc w:val="left"/>
        <w:rPr>
          <w:b w:val="0"/>
          <w:bCs w:val="0"/>
        </w:rPr>
      </w:pPr>
      <w:r>
        <w:rPr/>
        <w:pict>
          <v:group style="position:absolute;margin-left:0pt;margin-top:-267.440002pt;width:498.9pt;height:239.9pt;mso-position-horizontal-relative:page;mso-position-vertical-relative:paragraph;z-index:3160" coordorigin="0,-5349" coordsize="9978,4798">
            <v:group style="position:absolute;left:0;top:-5349;width:9978;height:1018" coordorigin="0,-5349" coordsize="9978,1018">
              <v:shape style="position:absolute;left:0;top:-5349;width:9978;height:1018" coordorigin="0,-5349" coordsize="9978,1018" path="m0,-4331l9978,-4331,9978,-5349,0,-5349,0,-4331xe" filled="true" fillcolor="#003b45" stroked="false">
                <v:path arrowok="t"/>
                <v:fill type="solid"/>
              </v:shape>
            </v:group>
            <v:group style="position:absolute;left:0;top:-4331;width:9978;height:3780" coordorigin="0,-4331" coordsize="9978,3780">
              <v:shape style="position:absolute;left:0;top:-4331;width:9978;height:3780" coordorigin="0,-4331" coordsize="9978,3780" path="m9978,-4331l0,-4331,0,-552,9978,-3374,9978,-4331xe" filled="true" fillcolor="#bfd22b" stroked="false">
                <v:path arrowok="t"/>
                <v:fill type="solid"/>
              </v:shape>
              <v:shape style="position:absolute;left:0;top:-5349;width:9978;height:4798" type="#_x0000_t202" filled="false" stroked="false">
                <v:textbox inset="0,0,0,0">
                  <w:txbxContent>
                    <w:p>
                      <w:pPr>
                        <w:spacing w:line="240" w:lineRule="auto" w:before="0"/>
                        <w:rPr>
                          <w:rFonts w:ascii="Swis721 Lt BT" w:hAnsi="Swis721 Lt BT" w:cs="Swis721 Lt BT" w:eastAsia="Swis721 Lt BT"/>
                          <w:sz w:val="40"/>
                          <w:szCs w:val="40"/>
                        </w:rPr>
                      </w:pPr>
                    </w:p>
                    <w:p>
                      <w:pPr>
                        <w:spacing w:line="240" w:lineRule="auto" w:before="0"/>
                        <w:rPr>
                          <w:rFonts w:ascii="Swis721 Lt BT" w:hAnsi="Swis721 Lt BT" w:cs="Swis721 Lt BT" w:eastAsia="Swis721 Lt BT"/>
                          <w:sz w:val="40"/>
                          <w:szCs w:val="40"/>
                        </w:rPr>
                      </w:pPr>
                    </w:p>
                    <w:p>
                      <w:pPr>
                        <w:spacing w:line="240" w:lineRule="auto" w:before="10"/>
                        <w:rPr>
                          <w:rFonts w:ascii="Swis721 Lt BT" w:hAnsi="Swis721 Lt BT" w:cs="Swis721 Lt BT" w:eastAsia="Swis721 Lt BT"/>
                          <w:sz w:val="51"/>
                          <w:szCs w:val="51"/>
                        </w:rPr>
                      </w:pPr>
                    </w:p>
                    <w:p>
                      <w:pPr>
                        <w:spacing w:before="0"/>
                        <w:ind w:left="850" w:right="6280" w:firstLine="0"/>
                        <w:jc w:val="left"/>
                        <w:rPr>
                          <w:rFonts w:ascii="Swis721 BT" w:hAnsi="Swis721 BT" w:cs="Swis721 BT" w:eastAsia="Swis721 BT"/>
                          <w:sz w:val="40"/>
                          <w:szCs w:val="40"/>
                        </w:rPr>
                      </w:pPr>
                      <w:r>
                        <w:rPr>
                          <w:rFonts w:ascii="Swis721 BT"/>
                          <w:b/>
                          <w:color w:val="005E63"/>
                          <w:spacing w:val="-2"/>
                          <w:sz w:val="40"/>
                        </w:rPr>
                        <w:t>CORPORATE</w:t>
                      </w:r>
                      <w:r>
                        <w:rPr>
                          <w:rFonts w:ascii="Swis721 BT"/>
                          <w:b/>
                          <w:color w:val="005E63"/>
                          <w:spacing w:val="23"/>
                          <w:sz w:val="40"/>
                        </w:rPr>
                        <w:t> </w:t>
                      </w:r>
                      <w:r>
                        <w:rPr>
                          <w:rFonts w:ascii="Swis721 BT"/>
                          <w:b/>
                          <w:color w:val="005E63"/>
                          <w:spacing w:val="-1"/>
                          <w:sz w:val="40"/>
                        </w:rPr>
                        <w:t>GOVERNANCE</w:t>
                      </w:r>
                      <w:r>
                        <w:rPr>
                          <w:rFonts w:ascii="Swis721 BT"/>
                          <w:b/>
                          <w:color w:val="005E63"/>
                          <w:spacing w:val="26"/>
                          <w:sz w:val="40"/>
                        </w:rPr>
                        <w:t> </w:t>
                      </w:r>
                      <w:r>
                        <w:rPr>
                          <w:rFonts w:ascii="Swis721 BT"/>
                          <w:b/>
                          <w:color w:val="005E63"/>
                          <w:spacing w:val="-4"/>
                          <w:sz w:val="40"/>
                        </w:rPr>
                        <w:t>STATEMENT</w:t>
                      </w:r>
                      <w:r>
                        <w:rPr>
                          <w:rFonts w:ascii="Swis721 BT"/>
                          <w:sz w:val="40"/>
                        </w:rPr>
                      </w:r>
                    </w:p>
                  </w:txbxContent>
                </v:textbox>
                <w10:wrap type="none"/>
              </v:shape>
            </v:group>
            <w10:wrap type="none"/>
          </v:group>
        </w:pict>
      </w:r>
      <w:bookmarkStart w:name="CORPORATE GOVERNANCE STATEMENT" w:id="15"/>
      <w:bookmarkEnd w:id="15"/>
      <w:r>
        <w:rPr>
          <w:b w:val="0"/>
        </w:rPr>
      </w:r>
      <w:r>
        <w:rPr>
          <w:color w:val="005E63"/>
        </w:rPr>
        <w:t>PURPOSE</w:t>
      </w:r>
      <w:r>
        <w:rPr>
          <w:b w:val="0"/>
        </w:rPr>
      </w:r>
    </w:p>
    <w:p>
      <w:pPr>
        <w:pStyle w:val="BodyText"/>
        <w:spacing w:line="240" w:lineRule="auto" w:before="215"/>
        <w:ind w:left="850" w:right="0"/>
        <w:jc w:val="left"/>
      </w:pPr>
      <w:r>
        <w:rPr>
          <w:color w:val="231F20"/>
        </w:rPr>
        <w:t>AITSL was formed to provide national leadership for Commonwealth, state and territory governments in promoting excellence in the profession of teaching and school leadership with funding provided by the Australian Government.</w:t>
      </w:r>
      <w:r>
        <w:rPr/>
      </w:r>
    </w:p>
    <w:p>
      <w:pPr>
        <w:pStyle w:val="BodyText"/>
        <w:spacing w:line="240" w:lineRule="auto"/>
        <w:ind w:left="850" w:right="0"/>
        <w:jc w:val="left"/>
      </w:pPr>
      <w:r>
        <w:rPr>
          <w:color w:val="231F20"/>
        </w:rPr>
        <w:t>AITSL</w:t>
      </w:r>
      <w:r>
        <w:rPr>
          <w:color w:val="231F20"/>
          <w:spacing w:val="-2"/>
        </w:rPr>
        <w:t> </w:t>
      </w:r>
      <w:r>
        <w:rPr>
          <w:color w:val="231F20"/>
        </w:rPr>
        <w:t>plays</w:t>
      </w:r>
      <w:r>
        <w:rPr>
          <w:color w:val="231F20"/>
          <w:spacing w:val="-1"/>
        </w:rPr>
        <w:t> </w:t>
      </w:r>
      <w:r>
        <w:rPr>
          <w:color w:val="231F20"/>
        </w:rPr>
        <w:t>a</w:t>
      </w:r>
      <w:r>
        <w:rPr>
          <w:color w:val="231F20"/>
          <w:spacing w:val="-1"/>
        </w:rPr>
        <w:t> </w:t>
      </w:r>
      <w:r>
        <w:rPr>
          <w:color w:val="231F20"/>
        </w:rPr>
        <w:t>key</w:t>
      </w:r>
      <w:r>
        <w:rPr>
          <w:color w:val="231F20"/>
          <w:spacing w:val="-1"/>
        </w:rPr>
        <w:t> </w:t>
      </w:r>
      <w:r>
        <w:rPr>
          <w:color w:val="231F20"/>
        </w:rPr>
        <w:t>role</w:t>
      </w:r>
      <w:r>
        <w:rPr>
          <w:color w:val="231F20"/>
          <w:spacing w:val="-1"/>
        </w:rPr>
        <w:t> </w:t>
      </w:r>
      <w:r>
        <w:rPr>
          <w:color w:val="231F20"/>
        </w:rPr>
        <w:t>in</w:t>
      </w:r>
      <w:r>
        <w:rPr>
          <w:color w:val="231F20"/>
          <w:spacing w:val="-2"/>
        </w:rPr>
        <w:t> </w:t>
      </w:r>
      <w:r>
        <w:rPr>
          <w:color w:val="231F20"/>
        </w:rPr>
        <w:t>leading</w:t>
      </w:r>
      <w:r>
        <w:rPr>
          <w:color w:val="231F20"/>
          <w:spacing w:val="-1"/>
        </w:rPr>
        <w:t> </w:t>
      </w:r>
      <w:r>
        <w:rPr>
          <w:color w:val="231F20"/>
        </w:rPr>
        <w:t>significant</w:t>
      </w:r>
      <w:r>
        <w:rPr>
          <w:color w:val="231F20"/>
          <w:w w:val="99"/>
        </w:rPr>
        <w:t> </w:t>
      </w:r>
      <w:r>
        <w:rPr>
          <w:color w:val="231F20"/>
        </w:rPr>
        <w:t>educational reform across Australian</w:t>
      </w:r>
      <w:r>
        <w:rPr>
          <w:color w:val="231F20"/>
        </w:rPr>
        <w:t> governments, and its work program is set in accordance with directions received from the Commonwealth Minister for Education.</w:t>
      </w:r>
      <w:r>
        <w:rPr/>
      </w:r>
    </w:p>
    <w:p>
      <w:pPr>
        <w:spacing w:line="240" w:lineRule="auto" w:before="0"/>
        <w:rPr>
          <w:rFonts w:ascii="Swis721 Lt BT" w:hAnsi="Swis721 Lt BT" w:cs="Swis721 Lt BT" w:eastAsia="Swis721 Lt BT"/>
          <w:sz w:val="18"/>
          <w:szCs w:val="18"/>
        </w:rPr>
      </w:pPr>
    </w:p>
    <w:p>
      <w:pPr>
        <w:spacing w:line="240" w:lineRule="auto" w:before="9"/>
        <w:rPr>
          <w:rFonts w:ascii="Swis721 Lt BT" w:hAnsi="Swis721 Lt BT" w:cs="Swis721 Lt BT" w:eastAsia="Swis721 Lt BT"/>
          <w:sz w:val="25"/>
          <w:szCs w:val="25"/>
        </w:rPr>
      </w:pPr>
    </w:p>
    <w:p>
      <w:pPr>
        <w:pStyle w:val="Heading5"/>
        <w:spacing w:line="241" w:lineRule="auto"/>
        <w:ind w:left="850" w:right="0"/>
        <w:jc w:val="left"/>
        <w:rPr>
          <w:b w:val="0"/>
          <w:bCs w:val="0"/>
        </w:rPr>
      </w:pPr>
      <w:r>
        <w:rPr>
          <w:color w:val="005E63"/>
          <w:spacing w:val="-1"/>
        </w:rPr>
        <w:t>CORPORATE</w:t>
      </w:r>
      <w:r>
        <w:rPr>
          <w:color w:val="005E63"/>
        </w:rPr>
        <w:t> STRUCTURE AND</w:t>
      </w:r>
      <w:r>
        <w:rPr>
          <w:color w:val="005E63"/>
          <w:spacing w:val="20"/>
        </w:rPr>
        <w:t> </w:t>
      </w:r>
      <w:r>
        <w:rPr>
          <w:color w:val="005E63"/>
          <w:spacing w:val="-1"/>
        </w:rPr>
        <w:t>GOVERNING</w:t>
      </w:r>
      <w:r>
        <w:rPr>
          <w:color w:val="005E63"/>
        </w:rPr>
        <w:t> </w:t>
      </w:r>
      <w:r>
        <w:rPr>
          <w:color w:val="005E63"/>
          <w:spacing w:val="-1"/>
        </w:rPr>
        <w:t>LEGISLATION</w:t>
      </w:r>
      <w:r>
        <w:rPr>
          <w:b w:val="0"/>
        </w:rPr>
      </w:r>
    </w:p>
    <w:p>
      <w:pPr>
        <w:pStyle w:val="BodyText"/>
        <w:spacing w:line="240" w:lineRule="auto" w:before="213"/>
        <w:ind w:left="850" w:right="0"/>
        <w:jc w:val="left"/>
      </w:pPr>
      <w:r>
        <w:rPr>
          <w:color w:val="231F20"/>
        </w:rPr>
        <w:t>AITSL was registered and commenced operations in January 2010 and is:</w:t>
      </w:r>
      <w:r>
        <w:rPr/>
      </w:r>
    </w:p>
    <w:p>
      <w:pPr>
        <w:spacing w:before="113"/>
        <w:ind w:left="1077" w:right="0" w:hanging="227"/>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6"/>
          <w:sz w:val="19"/>
        </w:rPr>
        <w:t> </w:t>
      </w:r>
      <w:r>
        <w:rPr>
          <w:rFonts w:ascii="Swis721 Lt BT" w:hAnsi="Swis721 Lt BT"/>
          <w:color w:val="231F20"/>
          <w:sz w:val="19"/>
        </w:rPr>
        <w:t>a Commonwealth</w:t>
      </w:r>
      <w:r>
        <w:rPr>
          <w:rFonts w:ascii="Swis721 Lt BT" w:hAnsi="Swis721 Lt BT"/>
          <w:color w:val="231F20"/>
          <w:spacing w:val="-1"/>
          <w:sz w:val="19"/>
        </w:rPr>
        <w:t> </w:t>
      </w:r>
      <w:r>
        <w:rPr>
          <w:rFonts w:ascii="Swis721 Lt BT" w:hAnsi="Swis721 Lt BT"/>
          <w:color w:val="231F20"/>
          <w:sz w:val="19"/>
        </w:rPr>
        <w:t>company as defined in</w:t>
      </w:r>
      <w:r>
        <w:rPr>
          <w:rFonts w:ascii="Swis721 Lt BT" w:hAnsi="Swis721 Lt BT"/>
          <w:color w:val="231F20"/>
          <w:sz w:val="19"/>
        </w:rPr>
        <w:t> Section 89 (1) of the </w:t>
      </w:r>
      <w:r>
        <w:rPr>
          <w:rFonts w:ascii="Swis721 Lt BT" w:hAnsi="Swis721 Lt BT"/>
          <w:i/>
          <w:color w:val="231F20"/>
          <w:sz w:val="19"/>
        </w:rPr>
        <w:t>Public Governance,</w:t>
      </w:r>
      <w:r>
        <w:rPr>
          <w:rFonts w:ascii="Swis721 Lt BT" w:hAnsi="Swis721 Lt BT"/>
          <w:i/>
          <w:color w:val="231F20"/>
          <w:spacing w:val="21"/>
          <w:sz w:val="19"/>
        </w:rPr>
        <w:t> </w:t>
      </w:r>
      <w:r>
        <w:rPr>
          <w:rFonts w:ascii="Swis721 Lt BT" w:hAnsi="Swis721 Lt BT"/>
          <w:i/>
          <w:color w:val="231F20"/>
          <w:sz w:val="19"/>
        </w:rPr>
        <w:t>Performance and Accountability Act 2013</w:t>
      </w:r>
      <w:r>
        <w:rPr>
          <w:rFonts w:ascii="Swis721 Lt BT" w:hAnsi="Swis721 Lt BT"/>
          <w:i/>
          <w:color w:val="231F20"/>
          <w:spacing w:val="21"/>
          <w:sz w:val="19"/>
        </w:rPr>
        <w:t> </w:t>
      </w:r>
      <w:r>
        <w:rPr>
          <w:rFonts w:ascii="Swis721 Lt BT" w:hAnsi="Swis721 Lt BT"/>
          <w:color w:val="231F20"/>
          <w:spacing w:val="-3"/>
          <w:sz w:val="19"/>
        </w:rPr>
        <w:t>(PGPA</w:t>
      </w:r>
      <w:r>
        <w:rPr>
          <w:rFonts w:ascii="Swis721 Lt BT" w:hAnsi="Swis721 Lt BT"/>
          <w:color w:val="231F20"/>
          <w:sz w:val="19"/>
        </w:rPr>
        <w:t> Act)</w:t>
      </w:r>
      <w:r>
        <w:rPr>
          <w:rFonts w:ascii="Swis721 Lt BT" w:hAnsi="Swis721 Lt BT"/>
          <w:sz w:val="19"/>
        </w:rPr>
      </w:r>
    </w:p>
    <w:p>
      <w:pPr>
        <w:spacing w:before="113"/>
        <w:ind w:left="1077" w:right="91" w:hanging="227"/>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8"/>
          <w:sz w:val="19"/>
        </w:rPr>
        <w:t> </w:t>
      </w:r>
      <w:r>
        <w:rPr>
          <w:rFonts w:ascii="Swis721 Lt BT" w:hAnsi="Swis721 Lt BT"/>
          <w:color w:val="231F20"/>
          <w:sz w:val="19"/>
        </w:rPr>
        <w:t>a company</w:t>
      </w:r>
      <w:r>
        <w:rPr>
          <w:rFonts w:ascii="Swis721 Lt BT" w:hAnsi="Swis721 Lt BT"/>
          <w:color w:val="231F20"/>
          <w:spacing w:val="1"/>
          <w:sz w:val="19"/>
        </w:rPr>
        <w:t> </w:t>
      </w:r>
      <w:r>
        <w:rPr>
          <w:rFonts w:ascii="Swis721 Lt BT" w:hAnsi="Swis721 Lt BT"/>
          <w:color w:val="231F20"/>
          <w:sz w:val="19"/>
        </w:rPr>
        <w:t>subject</w:t>
      </w:r>
      <w:r>
        <w:rPr>
          <w:rFonts w:ascii="Swis721 Lt BT" w:hAnsi="Swis721 Lt BT"/>
          <w:color w:val="231F20"/>
          <w:spacing w:val="1"/>
          <w:sz w:val="19"/>
        </w:rPr>
        <w:t> </w:t>
      </w:r>
      <w:r>
        <w:rPr>
          <w:rFonts w:ascii="Swis721 Lt BT" w:hAnsi="Swis721 Lt BT"/>
          <w:color w:val="231F20"/>
          <w:sz w:val="19"/>
        </w:rPr>
        <w:t>to the</w:t>
      </w:r>
      <w:r>
        <w:rPr>
          <w:rFonts w:ascii="Swis721 Lt BT" w:hAnsi="Swis721 Lt BT"/>
          <w:color w:val="231F20"/>
          <w:spacing w:val="1"/>
          <w:sz w:val="19"/>
        </w:rPr>
        <w:t> </w:t>
      </w:r>
      <w:r>
        <w:rPr>
          <w:rFonts w:ascii="Swis721 Lt BT" w:hAnsi="Swis721 Lt BT"/>
          <w:i/>
          <w:color w:val="231F20"/>
          <w:sz w:val="19"/>
        </w:rPr>
        <w:t>Corporations</w:t>
      </w:r>
      <w:r>
        <w:rPr>
          <w:rFonts w:ascii="Swis721 Lt BT" w:hAnsi="Swis721 Lt BT"/>
          <w:i/>
          <w:color w:val="231F20"/>
          <w:sz w:val="19"/>
        </w:rPr>
        <w:t> Act 2001</w:t>
      </w:r>
      <w:r>
        <w:rPr>
          <w:rFonts w:ascii="Swis721 Lt BT" w:hAnsi="Swis721 Lt BT"/>
          <w:sz w:val="19"/>
        </w:rPr>
      </w:r>
    </w:p>
    <w:p>
      <w:pPr>
        <w:pStyle w:val="BodyText"/>
        <w:spacing w:line="240" w:lineRule="auto"/>
        <w:ind w:left="1077" w:right="366" w:hanging="227"/>
        <w:jc w:val="left"/>
      </w:pPr>
      <w:r>
        <w:rPr>
          <w:rFonts w:ascii="Arial" w:hAnsi="Arial"/>
          <w:color w:val="00757A"/>
        </w:rPr>
        <w:t>ϐ </w:t>
      </w:r>
      <w:r>
        <w:rPr>
          <w:rFonts w:ascii="Arial" w:hAnsi="Arial"/>
          <w:color w:val="00757A"/>
          <w:spacing w:val="8"/>
        </w:rPr>
        <w:t> </w:t>
      </w:r>
      <w:r>
        <w:rPr>
          <w:color w:val="231F20"/>
          <w:spacing w:val="-1"/>
        </w:rPr>
        <w:t>wholly-owned</w:t>
      </w:r>
      <w:r>
        <w:rPr>
          <w:color w:val="231F20"/>
          <w:spacing w:val="1"/>
        </w:rPr>
        <w:t> </w:t>
      </w:r>
      <w:r>
        <w:rPr>
          <w:color w:val="231F20"/>
        </w:rPr>
        <w:t>by</w:t>
      </w:r>
      <w:r>
        <w:rPr>
          <w:color w:val="231F20"/>
          <w:spacing w:val="1"/>
        </w:rPr>
        <w:t> </w:t>
      </w:r>
      <w:r>
        <w:rPr>
          <w:color w:val="231F20"/>
        </w:rPr>
        <w:t>the</w:t>
      </w:r>
      <w:r>
        <w:rPr>
          <w:color w:val="231F20"/>
          <w:spacing w:val="1"/>
        </w:rPr>
        <w:t> </w:t>
      </w:r>
      <w:r>
        <w:rPr>
          <w:color w:val="231F20"/>
        </w:rPr>
        <w:t>Commonwealth</w:t>
      </w:r>
      <w:r>
        <w:rPr>
          <w:color w:val="231F20"/>
          <w:spacing w:val="28"/>
        </w:rPr>
        <w:t> </w:t>
      </w:r>
      <w:r>
        <w:rPr>
          <w:color w:val="231F20"/>
        </w:rPr>
        <w:t>of Australia</w:t>
      </w:r>
      <w:r>
        <w:rPr/>
      </w:r>
    </w:p>
    <w:p>
      <w:pPr>
        <w:pStyle w:val="BodyText"/>
        <w:spacing w:line="240" w:lineRule="auto"/>
        <w:ind w:left="850" w:right="0"/>
        <w:jc w:val="left"/>
      </w:pPr>
      <w:r>
        <w:rPr>
          <w:rFonts w:ascii="Arial" w:hAnsi="Arial"/>
          <w:color w:val="00757A"/>
        </w:rPr>
        <w:t>ϐ </w:t>
      </w:r>
      <w:r>
        <w:rPr>
          <w:rFonts w:ascii="Arial" w:hAnsi="Arial"/>
          <w:color w:val="00757A"/>
          <w:spacing w:val="8"/>
        </w:rPr>
        <w:t> </w:t>
      </w:r>
      <w:r>
        <w:rPr>
          <w:color w:val="231F20"/>
        </w:rPr>
        <w:t>a public</w:t>
      </w:r>
      <w:r>
        <w:rPr>
          <w:color w:val="231F20"/>
          <w:spacing w:val="1"/>
        </w:rPr>
        <w:t> </w:t>
      </w:r>
      <w:r>
        <w:rPr>
          <w:color w:val="231F20"/>
        </w:rPr>
        <w:t>company</w:t>
      </w:r>
      <w:r>
        <w:rPr>
          <w:color w:val="231F20"/>
          <w:spacing w:val="1"/>
        </w:rPr>
        <w:t> </w:t>
      </w:r>
      <w:r>
        <w:rPr>
          <w:color w:val="231F20"/>
        </w:rPr>
        <w:t>limited by</w:t>
      </w:r>
      <w:r>
        <w:rPr>
          <w:color w:val="231F20"/>
          <w:spacing w:val="1"/>
        </w:rPr>
        <w:t> </w:t>
      </w:r>
      <w:r>
        <w:rPr>
          <w:color w:val="231F20"/>
        </w:rPr>
        <w:t>guarantee.</w:t>
      </w:r>
      <w:r>
        <w:rPr/>
      </w:r>
    </w:p>
    <w:p>
      <w:pPr>
        <w:pStyle w:val="BodyText"/>
        <w:spacing w:line="240" w:lineRule="auto" w:before="70"/>
        <w:ind w:left="393" w:right="1106"/>
        <w:jc w:val="left"/>
      </w:pPr>
      <w:r>
        <w:rPr/>
        <w:br w:type="column"/>
      </w:r>
      <w:r>
        <w:rPr>
          <w:color w:val="231F20"/>
        </w:rPr>
        <w:t>AITSL operates under its own constitution with</w:t>
      </w:r>
      <w:r>
        <w:rPr>
          <w:color w:val="231F20"/>
        </w:rPr>
        <w:t> a Board of Directors that has decision-making </w:t>
      </w:r>
      <w:r>
        <w:rPr>
          <w:color w:val="231F20"/>
          <w:spacing w:val="-2"/>
        </w:rPr>
        <w:t>authority.</w:t>
      </w:r>
      <w:r>
        <w:rPr>
          <w:color w:val="231F20"/>
        </w:rPr>
        <w:t> The Board is responsible for setting</w:t>
      </w:r>
      <w:r>
        <w:rPr>
          <w:color w:val="231F20"/>
          <w:spacing w:val="25"/>
        </w:rPr>
        <w:t> </w:t>
      </w:r>
      <w:r>
        <w:rPr>
          <w:color w:val="231F20"/>
        </w:rPr>
        <w:t>AITSL’s strategic direction and governing its</w:t>
      </w:r>
      <w:r>
        <w:rPr>
          <w:color w:val="231F20"/>
        </w:rPr>
        <w:t> operations and performance.</w:t>
      </w:r>
      <w:r>
        <w:rPr/>
      </w:r>
    </w:p>
    <w:p>
      <w:pPr>
        <w:pStyle w:val="BodyText"/>
        <w:spacing w:line="240" w:lineRule="auto"/>
        <w:ind w:left="393" w:right="1203"/>
        <w:jc w:val="left"/>
      </w:pPr>
      <w:r>
        <w:rPr>
          <w:color w:val="231F20"/>
        </w:rPr>
        <w:t>The Board is supported by a company headed</w:t>
      </w:r>
      <w:r>
        <w:rPr>
          <w:color w:val="231F20"/>
          <w:spacing w:val="-1"/>
        </w:rPr>
        <w:t> </w:t>
      </w:r>
      <w:r>
        <w:rPr>
          <w:color w:val="231F20"/>
        </w:rPr>
        <w:t>by</w:t>
      </w:r>
      <w:r>
        <w:rPr>
          <w:color w:val="231F20"/>
          <w:spacing w:val="-1"/>
        </w:rPr>
        <w:t> </w:t>
      </w:r>
      <w:r>
        <w:rPr>
          <w:color w:val="231F20"/>
        </w:rPr>
        <w:t>a</w:t>
      </w:r>
      <w:r>
        <w:rPr>
          <w:color w:val="231F20"/>
          <w:spacing w:val="-1"/>
        </w:rPr>
        <w:t> </w:t>
      </w:r>
      <w:r>
        <w:rPr>
          <w:color w:val="231F20"/>
        </w:rPr>
        <w:t>Chief</w:t>
      </w:r>
      <w:r>
        <w:rPr>
          <w:color w:val="231F20"/>
          <w:spacing w:val="-1"/>
        </w:rPr>
        <w:t> </w:t>
      </w:r>
      <w:r>
        <w:rPr>
          <w:color w:val="231F20"/>
        </w:rPr>
        <w:t>Executive </w:t>
      </w:r>
      <w:r>
        <w:rPr>
          <w:color w:val="231F20"/>
          <w:spacing w:val="-3"/>
        </w:rPr>
        <w:t>Officer,</w:t>
      </w:r>
      <w:r>
        <w:rPr>
          <w:color w:val="231F20"/>
          <w:spacing w:val="-1"/>
        </w:rPr>
        <w:t> </w:t>
      </w:r>
      <w:r>
        <w:rPr>
          <w:color w:val="231F20"/>
        </w:rPr>
        <w:t>who</w:t>
      </w:r>
      <w:r>
        <w:rPr>
          <w:color w:val="231F20"/>
          <w:spacing w:val="-1"/>
        </w:rPr>
        <w:t> </w:t>
      </w:r>
      <w:r>
        <w:rPr>
          <w:color w:val="231F20"/>
        </w:rPr>
        <w:t>is</w:t>
      </w:r>
      <w:r>
        <w:rPr>
          <w:color w:val="231F20"/>
          <w:spacing w:val="26"/>
        </w:rPr>
        <w:t> </w:t>
      </w:r>
      <w:r>
        <w:rPr>
          <w:color w:val="231F20"/>
        </w:rPr>
        <w:t>responsible for ongoing management and</w:t>
      </w:r>
      <w:r>
        <w:rPr>
          <w:color w:val="231F20"/>
        </w:rPr>
        <w:t> leadership within the broad framework and strategic direction set by the Board.</w:t>
      </w:r>
      <w:r>
        <w:rPr/>
      </w:r>
    </w:p>
    <w:p>
      <w:pPr>
        <w:pStyle w:val="BodyText"/>
        <w:spacing w:line="240" w:lineRule="auto"/>
        <w:ind w:left="393" w:right="1106"/>
        <w:jc w:val="left"/>
      </w:pPr>
      <w:r>
        <w:rPr>
          <w:color w:val="231F20"/>
        </w:rPr>
        <w:t>AITSL is committed to meeting high standards of corporate governance, which it considers essential to its long-term performance and </w:t>
      </w:r>
      <w:r>
        <w:rPr>
          <w:color w:val="231F20"/>
          <w:spacing w:val="-1"/>
        </w:rPr>
        <w:t>sustainability,</w:t>
      </w:r>
      <w:r>
        <w:rPr>
          <w:color w:val="231F20"/>
        </w:rPr>
        <w:t> and to be in the best interests</w:t>
      </w:r>
      <w:r>
        <w:rPr/>
      </w:r>
    </w:p>
    <w:p>
      <w:pPr>
        <w:pStyle w:val="BodyText"/>
        <w:spacing w:line="240" w:lineRule="auto" w:before="0"/>
        <w:ind w:left="393" w:right="0"/>
        <w:jc w:val="left"/>
      </w:pPr>
      <w:r>
        <w:rPr>
          <w:color w:val="231F20"/>
        </w:rPr>
        <w:t>of its stakeholders.</w:t>
      </w:r>
      <w:r>
        <w:rPr/>
      </w:r>
    </w:p>
    <w:p>
      <w:pPr>
        <w:pStyle w:val="BodyText"/>
        <w:spacing w:line="240" w:lineRule="auto"/>
        <w:ind w:left="393" w:right="1106"/>
        <w:jc w:val="left"/>
      </w:pPr>
      <w:r>
        <w:rPr>
          <w:color w:val="231F20"/>
        </w:rPr>
        <w:t>AITSL’s governance framework is regularly reviewed to ensure it aligns to the government, regulatory and legislative requirements.</w:t>
      </w:r>
      <w:r>
        <w:rPr/>
      </w:r>
    </w:p>
    <w:p>
      <w:pPr>
        <w:pStyle w:val="BodyText"/>
        <w:spacing w:line="240" w:lineRule="auto"/>
        <w:ind w:left="393" w:right="1106"/>
        <w:jc w:val="left"/>
      </w:pPr>
      <w:r>
        <w:rPr>
          <w:color w:val="231F20"/>
        </w:rPr>
        <w:t>AITSL’s governance practices continue to evolve, having regard to the:</w:t>
      </w:r>
      <w:r>
        <w:rPr/>
      </w:r>
    </w:p>
    <w:p>
      <w:pPr>
        <w:spacing w:before="113"/>
        <w:ind w:left="620" w:right="1293" w:hanging="227"/>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8"/>
          <w:sz w:val="19"/>
        </w:rPr>
        <w:t> </w:t>
      </w:r>
      <w:r>
        <w:rPr>
          <w:rFonts w:ascii="Swis721 Lt BT" w:hAnsi="Swis721 Lt BT"/>
          <w:color w:val="231F20"/>
          <w:spacing w:val="-4"/>
          <w:sz w:val="19"/>
        </w:rPr>
        <w:t>PGPA</w:t>
      </w:r>
      <w:r>
        <w:rPr>
          <w:rFonts w:ascii="Swis721 Lt BT" w:hAnsi="Swis721 Lt BT"/>
          <w:color w:val="231F20"/>
          <w:spacing w:val="1"/>
          <w:sz w:val="19"/>
        </w:rPr>
        <w:t> </w:t>
      </w:r>
      <w:r>
        <w:rPr>
          <w:rFonts w:ascii="Swis721 Lt BT" w:hAnsi="Swis721 Lt BT"/>
          <w:color w:val="231F20"/>
          <w:sz w:val="19"/>
        </w:rPr>
        <w:t>Act and</w:t>
      </w:r>
      <w:r>
        <w:rPr>
          <w:rFonts w:ascii="Swis721 Lt BT" w:hAnsi="Swis721 Lt BT"/>
          <w:color w:val="231F20"/>
          <w:spacing w:val="1"/>
          <w:sz w:val="19"/>
        </w:rPr>
        <w:t> </w:t>
      </w:r>
      <w:r>
        <w:rPr>
          <w:rFonts w:ascii="Swis721 Lt BT" w:hAnsi="Swis721 Lt BT"/>
          <w:i/>
          <w:color w:val="231F20"/>
          <w:sz w:val="19"/>
        </w:rPr>
        <w:t>Public</w:t>
      </w:r>
      <w:r>
        <w:rPr>
          <w:rFonts w:ascii="Swis721 Lt BT" w:hAnsi="Swis721 Lt BT"/>
          <w:i/>
          <w:color w:val="231F20"/>
          <w:spacing w:val="1"/>
          <w:sz w:val="19"/>
        </w:rPr>
        <w:t> </w:t>
      </w:r>
      <w:r>
        <w:rPr>
          <w:rFonts w:ascii="Swis721 Lt BT" w:hAnsi="Swis721 Lt BT"/>
          <w:i/>
          <w:color w:val="231F20"/>
          <w:sz w:val="19"/>
        </w:rPr>
        <w:t>Governance,</w:t>
      </w:r>
      <w:r>
        <w:rPr>
          <w:rFonts w:ascii="Swis721 Lt BT" w:hAnsi="Swis721 Lt BT"/>
          <w:i/>
          <w:color w:val="231F20"/>
          <w:spacing w:val="22"/>
          <w:sz w:val="19"/>
        </w:rPr>
        <w:t> </w:t>
      </w:r>
      <w:r>
        <w:rPr>
          <w:rFonts w:ascii="Swis721 Lt BT" w:hAnsi="Swis721 Lt BT"/>
          <w:i/>
          <w:color w:val="231F20"/>
          <w:sz w:val="19"/>
        </w:rPr>
        <w:t>Performance and Accountability Rule 2014</w:t>
      </w:r>
      <w:r>
        <w:rPr>
          <w:rFonts w:ascii="Swis721 Lt BT" w:hAnsi="Swis721 Lt BT"/>
          <w:i/>
          <w:color w:val="231F20"/>
          <w:spacing w:val="21"/>
          <w:sz w:val="19"/>
        </w:rPr>
        <w:t> </w:t>
      </w:r>
      <w:r>
        <w:rPr>
          <w:rFonts w:ascii="Swis721 Lt BT" w:hAnsi="Swis721 Lt BT"/>
          <w:color w:val="231F20"/>
          <w:spacing w:val="-3"/>
          <w:sz w:val="19"/>
        </w:rPr>
        <w:t>(PGPA</w:t>
      </w:r>
      <w:r>
        <w:rPr>
          <w:rFonts w:ascii="Swis721 Lt BT" w:hAnsi="Swis721 Lt BT"/>
          <w:color w:val="231F20"/>
          <w:sz w:val="19"/>
        </w:rPr>
        <w:t> Rule 2014)</w:t>
      </w:r>
      <w:r>
        <w:rPr>
          <w:rFonts w:ascii="Swis721 Lt BT" w:hAnsi="Swis721 Lt BT"/>
          <w:sz w:val="19"/>
        </w:rPr>
      </w:r>
    </w:p>
    <w:p>
      <w:pPr>
        <w:spacing w:before="113"/>
        <w:ind w:left="393" w:right="0" w:firstLine="0"/>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9"/>
          <w:sz w:val="19"/>
        </w:rPr>
        <w:t> </w:t>
      </w:r>
      <w:r>
        <w:rPr>
          <w:rFonts w:ascii="Swis721 Lt BT" w:hAnsi="Swis721 Lt BT"/>
          <w:i/>
          <w:color w:val="231F20"/>
          <w:sz w:val="19"/>
        </w:rPr>
        <w:t>Corporations</w:t>
      </w:r>
      <w:r>
        <w:rPr>
          <w:rFonts w:ascii="Swis721 Lt BT" w:hAnsi="Swis721 Lt BT"/>
          <w:i/>
          <w:color w:val="231F20"/>
          <w:spacing w:val="1"/>
          <w:sz w:val="19"/>
        </w:rPr>
        <w:t> </w:t>
      </w:r>
      <w:r>
        <w:rPr>
          <w:rFonts w:ascii="Swis721 Lt BT" w:hAnsi="Swis721 Lt BT"/>
          <w:i/>
          <w:color w:val="231F20"/>
          <w:sz w:val="19"/>
        </w:rPr>
        <w:t>Act</w:t>
      </w:r>
      <w:r>
        <w:rPr>
          <w:rFonts w:ascii="Swis721 Lt BT" w:hAnsi="Swis721 Lt BT"/>
          <w:i/>
          <w:color w:val="231F20"/>
          <w:spacing w:val="1"/>
          <w:sz w:val="19"/>
        </w:rPr>
        <w:t> </w:t>
      </w:r>
      <w:r>
        <w:rPr>
          <w:rFonts w:ascii="Swis721 Lt BT" w:hAnsi="Swis721 Lt BT"/>
          <w:i/>
          <w:color w:val="231F20"/>
          <w:sz w:val="19"/>
        </w:rPr>
        <w:t>2001</w:t>
      </w:r>
      <w:r>
        <w:rPr>
          <w:rFonts w:ascii="Swis721 Lt BT" w:hAnsi="Swis721 Lt BT"/>
          <w:color w:val="231F20"/>
          <w:sz w:val="19"/>
        </w:rPr>
        <w:t>.</w:t>
      </w:r>
      <w:r>
        <w:rPr>
          <w:rFonts w:ascii="Swis721 Lt BT" w:hAnsi="Swis721 Lt BT"/>
          <w:sz w:val="19"/>
        </w:rPr>
      </w:r>
    </w:p>
    <w:p>
      <w:pPr>
        <w:spacing w:after="0"/>
        <w:jc w:val="left"/>
        <w:rPr>
          <w:rFonts w:ascii="Swis721 Lt BT" w:hAnsi="Swis721 Lt BT" w:cs="Swis721 Lt BT" w:eastAsia="Swis721 Lt BT"/>
          <w:sz w:val="19"/>
          <w:szCs w:val="19"/>
        </w:rPr>
        <w:sectPr>
          <w:type w:val="continuous"/>
          <w:pgSz w:w="9980" w:h="14180"/>
          <w:pgMar w:top="0" w:bottom="280" w:left="0" w:right="0"/>
          <w:cols w:num="2" w:equalWidth="0">
            <w:col w:w="4585" w:space="40"/>
            <w:col w:w="5355"/>
          </w:cols>
        </w:sectPr>
      </w:pPr>
    </w:p>
    <w:p>
      <w:pPr>
        <w:spacing w:line="240" w:lineRule="auto" w:before="5"/>
        <w:rPr>
          <w:rFonts w:ascii="Swis721 Lt BT" w:hAnsi="Swis721 Lt BT" w:cs="Swis721 Lt BT" w:eastAsia="Swis721 Lt BT"/>
          <w:sz w:val="28"/>
          <w:szCs w:val="28"/>
        </w:rPr>
      </w:pPr>
    </w:p>
    <w:p>
      <w:pPr>
        <w:spacing w:before="77"/>
        <w:ind w:left="0" w:right="848" w:firstLine="0"/>
        <w:jc w:val="right"/>
        <w:rPr>
          <w:rFonts w:ascii="Swis721 Lt BT" w:hAnsi="Swis721 Lt BT" w:cs="Swis721 Lt BT" w:eastAsia="Swis721 Lt BT"/>
          <w:sz w:val="14"/>
          <w:szCs w:val="14"/>
        </w:rPr>
      </w:pPr>
      <w:r>
        <w:rPr/>
        <w:pict>
          <v:shape style="position:absolute;margin-left:0pt;margin-top:-17.711086pt;width:498.9pt;height:50.9pt;mso-position-horizontal-relative:page;mso-position-vertical-relative:paragraph;z-index:-182464" type="#_x0000_t202" filled="false" stroked="false">
            <v:textbox inset="0,0,0,0">
              <w:txbxContent>
                <w:p>
                  <w:pPr>
                    <w:spacing w:line="240" w:lineRule="auto" w:before="0"/>
                    <w:rPr>
                      <w:rFonts w:ascii="Swis721 Lt BT" w:hAnsi="Swis721 Lt BT" w:cs="Swis721 Lt BT" w:eastAsia="Swis721 Lt BT"/>
                      <w:sz w:val="14"/>
                      <w:szCs w:val="14"/>
                    </w:rPr>
                  </w:pPr>
                </w:p>
                <w:p>
                  <w:pPr>
                    <w:spacing w:line="240" w:lineRule="auto" w:before="0"/>
                    <w:rPr>
                      <w:rFonts w:ascii="Swis721 Lt BT" w:hAnsi="Swis721 Lt BT" w:cs="Swis721 Lt BT" w:eastAsia="Swis721 Lt BT"/>
                      <w:sz w:val="14"/>
                      <w:szCs w:val="14"/>
                    </w:rPr>
                  </w:pPr>
                </w:p>
                <w:p>
                  <w:pPr>
                    <w:spacing w:before="95"/>
                    <w:ind w:left="0" w:right="84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txbxContent>
            </v:textbox>
            <w10:wrap type="none"/>
          </v:shape>
        </w:pict>
      </w:r>
      <w:r>
        <w:rPr/>
        <w:pict>
          <v:group style="position:absolute;margin-left:0pt;margin-top:-17.711885pt;width:498.9pt;height:98.8pt;mso-position-horizontal-relative:page;mso-position-vertical-relative:paragraph;z-index:-182440" coordorigin="0,-354" coordsize="9978,1976">
            <v:group style="position:absolute;left:0;top:-354;width:9978;height:1018" coordorigin="0,-354" coordsize="9978,1018">
              <v:shape style="position:absolute;left:0;top:-354;width:9978;height:1018" coordorigin="0,-354" coordsize="9978,1018" path="m0,664l9978,664,9978,-354,0,-354,0,664xe" filled="true" fillcolor="#003b45" stroked="false">
                <v:path arrowok="t"/>
                <v:fill type="solid"/>
              </v:shape>
            </v:group>
            <v:group style="position:absolute;left:0;top:664;width:3385;height:958" coordorigin="0,664" coordsize="3385,958">
              <v:shape style="position:absolute;left:0;top:664;width:3385;height:958" coordorigin="0,664" coordsize="3385,958" path="m3384,664l0,664,0,1621,3384,664xe" filled="true" fillcolor="#bfd22b" stroked="false">
                <v:path arrowok="t"/>
                <v:fill type="solid"/>
              </v:shape>
            </v:group>
            <v:group style="position:absolute;left:3384;top:-354;width:6594;height:1018" coordorigin="3384,-354" coordsize="6594,1018">
              <v:shape style="position:absolute;left:3384;top:-354;width:6594;height:1018" coordorigin="3384,-354" coordsize="6594,1018" path="m6982,-354l3384,664,9978,664,9978,-354,6982,-354e" filled="true" fillcolor="#005e63" stroked="false">
                <v:path arrowok="t"/>
                <v:fill type="solid"/>
              </v:shape>
            </v:group>
            <w10:wrap type="none"/>
          </v:group>
        </w:pict>
      </w:r>
      <w:r>
        <w:rPr>
          <w:rFonts w:ascii="Swis721 Lt BT" w:hAnsi="Swis721 Lt BT" w:cs="Swis721 Lt BT" w:eastAsia="Swis721 Lt BT"/>
          <w:color w:val="FFFFFF"/>
          <w:spacing w:val="-1"/>
          <w:sz w:val="14"/>
          <w:szCs w:val="14"/>
        </w:rPr>
        <w:t>ANNUAL</w:t>
      </w:r>
      <w:r>
        <w:rPr>
          <w:rFonts w:ascii="Swis721 Lt BT" w:hAnsi="Swis721 Lt BT" w:cs="Swis721 Lt BT" w:eastAsia="Swis721 Lt BT"/>
          <w:color w:val="FFFFFF"/>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2"/>
        <w:rPr>
          <w:rFonts w:ascii="Swis721 Lt BT" w:hAnsi="Swis721 Lt BT" w:cs="Swis721 Lt BT" w:eastAsia="Swis721 Lt BT"/>
          <w:sz w:val="16"/>
          <w:szCs w:val="16"/>
        </w:rPr>
      </w:pPr>
    </w:p>
    <w:p>
      <w:pPr>
        <w:spacing w:after="0" w:line="240" w:lineRule="auto"/>
        <w:rPr>
          <w:rFonts w:ascii="Swis721 Lt BT" w:hAnsi="Swis721 Lt BT" w:cs="Swis721 Lt BT" w:eastAsia="Swis721 Lt BT"/>
          <w:sz w:val="16"/>
          <w:szCs w:val="16"/>
        </w:rPr>
        <w:sectPr>
          <w:pgSz w:w="9980" w:h="14180"/>
          <w:pgMar w:header="0" w:footer="452" w:top="0" w:bottom="640" w:left="0" w:right="0"/>
        </w:sectPr>
      </w:pPr>
    </w:p>
    <w:p>
      <w:pPr>
        <w:pStyle w:val="BodyText"/>
        <w:spacing w:line="240" w:lineRule="auto" w:before="69"/>
        <w:ind w:left="1133" w:right="0"/>
        <w:jc w:val="left"/>
      </w:pPr>
      <w:r>
        <w:rPr>
          <w:color w:val="231F20"/>
        </w:rPr>
        <w:t>This statement, which was approved by the Board on 27 August 2019, outlines the most significant</w:t>
      </w:r>
      <w:r>
        <w:rPr>
          <w:color w:val="231F20"/>
          <w:spacing w:val="-3"/>
        </w:rPr>
        <w:t> </w:t>
      </w:r>
      <w:r>
        <w:rPr>
          <w:color w:val="231F20"/>
        </w:rPr>
        <w:t>aspects</w:t>
      </w:r>
      <w:r>
        <w:rPr>
          <w:color w:val="231F20"/>
          <w:spacing w:val="-2"/>
        </w:rPr>
        <w:t> </w:t>
      </w:r>
      <w:r>
        <w:rPr>
          <w:color w:val="231F20"/>
        </w:rPr>
        <w:t>of</w:t>
      </w:r>
      <w:r>
        <w:rPr>
          <w:color w:val="231F20"/>
          <w:spacing w:val="-2"/>
        </w:rPr>
        <w:t> </w:t>
      </w:r>
      <w:r>
        <w:rPr>
          <w:color w:val="231F20"/>
        </w:rPr>
        <w:t>AITSL’s</w:t>
      </w:r>
      <w:r>
        <w:rPr>
          <w:color w:val="231F20"/>
          <w:spacing w:val="-2"/>
        </w:rPr>
        <w:t> </w:t>
      </w:r>
      <w:r>
        <w:rPr>
          <w:color w:val="231F20"/>
        </w:rPr>
        <w:t>corporate</w:t>
      </w:r>
      <w:r>
        <w:rPr>
          <w:color w:val="231F20"/>
        </w:rPr>
        <w:t> governance framework.</w:t>
      </w:r>
      <w:r>
        <w:rPr/>
      </w:r>
    </w:p>
    <w:p>
      <w:pPr>
        <w:pStyle w:val="BodyText"/>
        <w:spacing w:line="240" w:lineRule="auto"/>
        <w:ind w:left="1360" w:right="0" w:hanging="227"/>
        <w:jc w:val="left"/>
      </w:pPr>
      <w:r>
        <w:rPr>
          <w:rFonts w:ascii="Arial" w:hAnsi="Arial"/>
          <w:color w:val="00757A"/>
        </w:rPr>
        <w:t>ϐ </w:t>
      </w:r>
      <w:r>
        <w:rPr>
          <w:rFonts w:ascii="Arial" w:hAnsi="Arial"/>
          <w:color w:val="00757A"/>
          <w:spacing w:val="8"/>
        </w:rPr>
        <w:t> </w:t>
      </w:r>
      <w:r>
        <w:rPr>
          <w:color w:val="231F20"/>
        </w:rPr>
        <w:t>As AITSL</w:t>
      </w:r>
      <w:r>
        <w:rPr>
          <w:color w:val="231F20"/>
          <w:spacing w:val="1"/>
        </w:rPr>
        <w:t> </w:t>
      </w:r>
      <w:r>
        <w:rPr>
          <w:color w:val="231F20"/>
        </w:rPr>
        <w:t>is wholly</w:t>
      </w:r>
      <w:r>
        <w:rPr>
          <w:color w:val="231F20"/>
          <w:spacing w:val="1"/>
        </w:rPr>
        <w:t> </w:t>
      </w:r>
      <w:r>
        <w:rPr>
          <w:color w:val="231F20"/>
        </w:rPr>
        <w:t>owned by</w:t>
      </w:r>
      <w:r>
        <w:rPr>
          <w:color w:val="231F20"/>
          <w:spacing w:val="1"/>
        </w:rPr>
        <w:t> </w:t>
      </w:r>
      <w:r>
        <w:rPr>
          <w:color w:val="231F20"/>
        </w:rPr>
        <w:t>the</w:t>
      </w:r>
      <w:r>
        <w:rPr>
          <w:color w:val="231F20"/>
        </w:rPr>
        <w:t> Commonwealth of Australia, under Section 250 N (4) of the </w:t>
      </w:r>
      <w:r>
        <w:rPr>
          <w:rFonts w:ascii="Swis721 Lt BT" w:hAnsi="Swis721 Lt BT"/>
          <w:i/>
          <w:color w:val="231F20"/>
        </w:rPr>
        <w:t>Corporations Act 2001</w:t>
      </w:r>
      <w:r>
        <w:rPr>
          <w:color w:val="231F20"/>
        </w:rPr>
        <w:t>,</w:t>
      </w:r>
      <w:r>
        <w:rPr/>
      </w:r>
    </w:p>
    <w:p>
      <w:pPr>
        <w:pStyle w:val="BodyText"/>
        <w:spacing w:line="240" w:lineRule="auto" w:before="0"/>
        <w:ind w:left="1360" w:right="0"/>
        <w:jc w:val="left"/>
      </w:pPr>
      <w:r>
        <w:rPr>
          <w:color w:val="231F20"/>
        </w:rPr>
        <w:t>it is not required to hold an annual general meeting.</w:t>
      </w:r>
      <w:r>
        <w:rPr/>
      </w:r>
    </w:p>
    <w:p>
      <w:pPr>
        <w:pStyle w:val="BodyText"/>
        <w:spacing w:line="240" w:lineRule="auto"/>
        <w:ind w:left="1133" w:right="146"/>
        <w:jc w:val="left"/>
      </w:pPr>
      <w:r>
        <w:rPr>
          <w:color w:val="231F20"/>
        </w:rPr>
        <w:t>AITSL regularly reports to the Minister for Education and the Minister for Finance based on the reporting timetable detailed in AITSL’s Grant Agreement and other requests from the ministers. AITSL is also subject to parliamentary scrutiny through the Senate Estimates process.</w:t>
      </w:r>
      <w:r>
        <w:rPr/>
      </w:r>
    </w:p>
    <w:p>
      <w:pPr>
        <w:pStyle w:val="BodyText"/>
        <w:spacing w:line="240" w:lineRule="auto"/>
        <w:ind w:left="1133" w:right="0"/>
        <w:jc w:val="left"/>
      </w:pPr>
      <w:r>
        <w:rPr>
          <w:color w:val="231F20"/>
        </w:rPr>
        <w:t>The Commonwealth of Australia is the sole owner of AITSL, and the Minister for Education</w:t>
      </w:r>
      <w:r>
        <w:rPr>
          <w:color w:val="231F20"/>
          <w:spacing w:val="25"/>
        </w:rPr>
        <w:t> </w:t>
      </w:r>
      <w:r>
        <w:rPr>
          <w:color w:val="231F20"/>
        </w:rPr>
        <w:t>is its representative. During 2018–19, the</w:t>
      </w:r>
      <w:r>
        <w:rPr>
          <w:color w:val="231F20"/>
        </w:rPr>
        <w:t> Minister responsible for this portfolio was:</w:t>
      </w:r>
      <w:r>
        <w:rPr/>
      </w:r>
    </w:p>
    <w:p>
      <w:pPr>
        <w:pStyle w:val="BodyText"/>
        <w:spacing w:line="240" w:lineRule="auto"/>
        <w:ind w:left="1360" w:right="415" w:hanging="227"/>
        <w:jc w:val="left"/>
      </w:pPr>
      <w:r>
        <w:rPr>
          <w:rFonts w:ascii="Arial" w:hAnsi="Arial" w:cs="Arial" w:eastAsia="Arial"/>
          <w:color w:val="00757A"/>
        </w:rPr>
        <w:t>ϐ </w:t>
      </w:r>
      <w:r>
        <w:rPr>
          <w:rFonts w:ascii="Arial" w:hAnsi="Arial" w:cs="Arial" w:eastAsia="Arial"/>
          <w:color w:val="00757A"/>
          <w:spacing w:val="8"/>
        </w:rPr>
        <w:t> </w:t>
      </w:r>
      <w:r>
        <w:rPr>
          <w:color w:val="231F20"/>
        </w:rPr>
        <w:t>Senator the</w:t>
      </w:r>
      <w:r>
        <w:rPr>
          <w:color w:val="231F20"/>
          <w:spacing w:val="1"/>
        </w:rPr>
        <w:t> </w:t>
      </w:r>
      <w:r>
        <w:rPr>
          <w:color w:val="231F20"/>
        </w:rPr>
        <w:t>Hon</w:t>
      </w:r>
      <w:r>
        <w:rPr>
          <w:color w:val="231F20"/>
          <w:spacing w:val="1"/>
        </w:rPr>
        <w:t> </w:t>
      </w:r>
      <w:r>
        <w:rPr>
          <w:color w:val="231F20"/>
        </w:rPr>
        <w:t>Simon Birmingham</w:t>
      </w:r>
      <w:r>
        <w:rPr>
          <w:color w:val="231F20"/>
          <w:spacing w:val="1"/>
        </w:rPr>
        <w:t> </w:t>
      </w:r>
      <w:r>
        <w:rPr>
          <w:color w:val="231F20"/>
        </w:rPr>
        <w:t>–</w:t>
      </w:r>
      <w:r>
        <w:rPr>
          <w:color w:val="231F20"/>
        </w:rPr>
        <w:t> 1 July 2018 to 28 August 2018</w:t>
      </w:r>
      <w:r>
        <w:rPr/>
      </w:r>
    </w:p>
    <w:p>
      <w:pPr>
        <w:pStyle w:val="BodyText"/>
        <w:spacing w:line="240" w:lineRule="auto"/>
        <w:ind w:left="1360" w:right="0" w:hanging="227"/>
        <w:jc w:val="left"/>
      </w:pPr>
      <w:r>
        <w:rPr>
          <w:rFonts w:ascii="Arial" w:hAnsi="Arial" w:cs="Arial" w:eastAsia="Arial"/>
          <w:color w:val="00757A"/>
        </w:rPr>
        <w:t>ϐ </w:t>
      </w:r>
      <w:r>
        <w:rPr>
          <w:rFonts w:ascii="Arial" w:hAnsi="Arial" w:cs="Arial" w:eastAsia="Arial"/>
          <w:color w:val="00757A"/>
          <w:spacing w:val="8"/>
        </w:rPr>
        <w:t> </w:t>
      </w:r>
      <w:r>
        <w:rPr>
          <w:color w:val="231F20"/>
        </w:rPr>
        <w:t>the Hon</w:t>
      </w:r>
      <w:r>
        <w:rPr>
          <w:color w:val="231F20"/>
          <w:spacing w:val="1"/>
        </w:rPr>
        <w:t> </w:t>
      </w:r>
      <w:r>
        <w:rPr>
          <w:color w:val="231F20"/>
        </w:rPr>
        <w:t>Dan </w:t>
      </w:r>
      <w:r>
        <w:rPr>
          <w:color w:val="231F20"/>
          <w:spacing w:val="-26"/>
        </w:rPr>
        <w:t>T</w:t>
      </w:r>
      <w:r>
        <w:rPr>
          <w:color w:val="231F20"/>
        </w:rPr>
        <w:t>ehan</w:t>
      </w:r>
      <w:r>
        <w:rPr>
          <w:color w:val="231F20"/>
          <w:spacing w:val="1"/>
        </w:rPr>
        <w:t> </w:t>
      </w:r>
      <w:r>
        <w:rPr>
          <w:color w:val="231F20"/>
        </w:rPr>
        <w:t>M</w:t>
      </w:r>
      <w:r>
        <w:rPr>
          <w:color w:val="231F20"/>
          <w:spacing w:val="-46"/>
        </w:rPr>
        <w:t>P</w:t>
      </w:r>
      <w:r>
        <w:rPr>
          <w:color w:val="231F20"/>
        </w:rPr>
        <w:t>, Minister</w:t>
      </w:r>
      <w:r>
        <w:rPr>
          <w:color w:val="231F20"/>
          <w:spacing w:val="1"/>
        </w:rPr>
        <w:t> </w:t>
      </w:r>
      <w:r>
        <w:rPr>
          <w:color w:val="231F20"/>
        </w:rPr>
        <w:t>for</w:t>
      </w:r>
      <w:r>
        <w:rPr>
          <w:color w:val="231F20"/>
        </w:rPr>
        <w:t> </w:t>
      </w:r>
      <w:r>
        <w:rPr>
          <w:color w:val="231F20"/>
          <w:spacing w:val="-2"/>
        </w:rPr>
        <w:t>Education</w:t>
      </w:r>
      <w:r>
        <w:rPr>
          <w:color w:val="231F20"/>
          <w:spacing w:val="-4"/>
        </w:rPr>
        <w:t> </w:t>
      </w:r>
      <w:r>
        <w:rPr>
          <w:color w:val="231F20"/>
        </w:rPr>
        <w:t>–</w:t>
      </w:r>
      <w:r>
        <w:rPr>
          <w:color w:val="231F20"/>
          <w:spacing w:val="-4"/>
        </w:rPr>
        <w:t> </w:t>
      </w:r>
      <w:r>
        <w:rPr>
          <w:color w:val="231F20"/>
          <w:spacing w:val="-1"/>
        </w:rPr>
        <w:t>28</w:t>
      </w:r>
      <w:r>
        <w:rPr>
          <w:color w:val="231F20"/>
          <w:spacing w:val="-4"/>
        </w:rPr>
        <w:t> </w:t>
      </w:r>
      <w:r>
        <w:rPr>
          <w:color w:val="231F20"/>
          <w:spacing w:val="-2"/>
        </w:rPr>
        <w:t>August</w:t>
      </w:r>
      <w:r>
        <w:rPr>
          <w:color w:val="231F20"/>
          <w:spacing w:val="-4"/>
        </w:rPr>
        <w:t> </w:t>
      </w:r>
      <w:r>
        <w:rPr>
          <w:color w:val="231F20"/>
          <w:spacing w:val="-2"/>
        </w:rPr>
        <w:t>2018</w:t>
      </w:r>
      <w:r>
        <w:rPr>
          <w:color w:val="231F20"/>
          <w:spacing w:val="-4"/>
        </w:rPr>
        <w:t> </w:t>
      </w:r>
      <w:r>
        <w:rPr>
          <w:color w:val="231F20"/>
          <w:spacing w:val="-1"/>
        </w:rPr>
        <w:t>to</w:t>
      </w:r>
      <w:r>
        <w:rPr>
          <w:color w:val="231F20"/>
          <w:spacing w:val="-4"/>
        </w:rPr>
        <w:t> </w:t>
      </w:r>
      <w:r>
        <w:rPr>
          <w:color w:val="231F20"/>
          <w:spacing w:val="-1"/>
        </w:rPr>
        <w:t>30</w:t>
      </w:r>
      <w:r>
        <w:rPr>
          <w:color w:val="231F20"/>
          <w:spacing w:val="-4"/>
        </w:rPr>
        <w:t> </w:t>
      </w:r>
      <w:r>
        <w:rPr>
          <w:color w:val="231F20"/>
          <w:spacing w:val="-2"/>
        </w:rPr>
        <w:t>June</w:t>
      </w:r>
      <w:r>
        <w:rPr>
          <w:color w:val="231F20"/>
          <w:spacing w:val="-4"/>
        </w:rPr>
        <w:t> </w:t>
      </w:r>
      <w:r>
        <w:rPr>
          <w:color w:val="231F20"/>
          <w:spacing w:val="-2"/>
        </w:rPr>
        <w:t>2019</w:t>
      </w:r>
      <w:r>
        <w:rPr/>
      </w:r>
    </w:p>
    <w:p>
      <w:pPr>
        <w:pStyle w:val="BodyText"/>
        <w:spacing w:line="240" w:lineRule="auto" w:before="70"/>
        <w:ind w:left="308" w:right="931"/>
        <w:jc w:val="left"/>
      </w:pPr>
      <w:r>
        <w:rPr/>
        <w:br w:type="column"/>
      </w:r>
      <w:r>
        <w:rPr>
          <w:color w:val="231F20"/>
        </w:rPr>
        <w:t>The Minister for Education provided AITSL</w:t>
      </w:r>
      <w:r>
        <w:rPr>
          <w:color w:val="231F20"/>
        </w:rPr>
        <w:t> with a letter of Instruction in </w:t>
      </w:r>
      <w:r>
        <w:rPr>
          <w:color w:val="231F20"/>
          <w:spacing w:val="-1"/>
        </w:rPr>
        <w:t>February</w:t>
      </w:r>
      <w:r>
        <w:rPr>
          <w:color w:val="231F20"/>
        </w:rPr>
        <w:t> 2019,</w:t>
      </w:r>
      <w:r>
        <w:rPr>
          <w:color w:val="231F20"/>
          <w:spacing w:val="23"/>
        </w:rPr>
        <w:t> </w:t>
      </w:r>
      <w:r>
        <w:rPr>
          <w:color w:val="231F20"/>
        </w:rPr>
        <w:t>expanding its agenda over the forward years</w:t>
      </w:r>
      <w:r>
        <w:rPr>
          <w:color w:val="231F20"/>
        </w:rPr>
        <w:t> to include:</w:t>
      </w:r>
      <w:r>
        <w:rPr/>
      </w:r>
    </w:p>
    <w:p>
      <w:pPr>
        <w:pStyle w:val="BodyText"/>
        <w:spacing w:line="240" w:lineRule="auto"/>
        <w:ind w:left="535" w:right="60" w:hanging="227"/>
        <w:jc w:val="left"/>
      </w:pPr>
      <w:r>
        <w:rPr>
          <w:rFonts w:ascii="Arial" w:hAnsi="Arial"/>
          <w:color w:val="00757A"/>
        </w:rPr>
        <w:t>ϐ </w:t>
      </w:r>
      <w:r>
        <w:rPr>
          <w:rFonts w:ascii="Arial" w:hAnsi="Arial"/>
          <w:color w:val="00757A"/>
          <w:spacing w:val="8"/>
        </w:rPr>
        <w:t> </w:t>
      </w:r>
      <w:r>
        <w:rPr>
          <w:color w:val="231F20"/>
        </w:rPr>
        <w:t>strengthening</w:t>
      </w:r>
      <w:r>
        <w:rPr>
          <w:color w:val="231F20"/>
          <w:spacing w:val="-1"/>
        </w:rPr>
        <w:t> </w:t>
      </w:r>
      <w:r>
        <w:rPr>
          <w:color w:val="231F20"/>
        </w:rPr>
        <w:t>the</w:t>
      </w:r>
      <w:r>
        <w:rPr>
          <w:color w:val="231F20"/>
          <w:spacing w:val="-2"/>
        </w:rPr>
        <w:t> </w:t>
      </w:r>
      <w:r>
        <w:rPr>
          <w:color w:val="231F20"/>
        </w:rPr>
        <w:t>approach</w:t>
      </w:r>
      <w:r>
        <w:rPr>
          <w:color w:val="231F20"/>
          <w:spacing w:val="-1"/>
        </w:rPr>
        <w:t> </w:t>
      </w:r>
      <w:r>
        <w:rPr>
          <w:color w:val="231F20"/>
        </w:rPr>
        <w:t>to</w:t>
      </w:r>
      <w:r>
        <w:rPr>
          <w:color w:val="231F20"/>
          <w:spacing w:val="-2"/>
        </w:rPr>
        <w:t> </w:t>
      </w:r>
      <w:r>
        <w:rPr>
          <w:color w:val="231F20"/>
        </w:rPr>
        <w:t>initial</w:t>
      </w:r>
      <w:r>
        <w:rPr>
          <w:color w:val="231F20"/>
          <w:spacing w:val="-1"/>
        </w:rPr>
        <w:t> </w:t>
      </w:r>
      <w:r>
        <w:rPr>
          <w:color w:val="231F20"/>
        </w:rPr>
        <w:t>teacher</w:t>
      </w:r>
      <w:r>
        <w:rPr>
          <w:color w:val="231F20"/>
        </w:rPr>
        <w:t> education accreditation</w:t>
      </w:r>
      <w:r>
        <w:rPr/>
      </w:r>
    </w:p>
    <w:p>
      <w:pPr>
        <w:pStyle w:val="BodyText"/>
        <w:spacing w:line="240" w:lineRule="auto"/>
        <w:ind w:left="535" w:right="931" w:hanging="227"/>
        <w:jc w:val="left"/>
      </w:pPr>
      <w:r>
        <w:rPr>
          <w:rFonts w:ascii="Arial" w:hAnsi="Arial"/>
          <w:color w:val="00757A"/>
        </w:rPr>
        <w:t>ϐ </w:t>
      </w:r>
      <w:r>
        <w:rPr>
          <w:rFonts w:ascii="Arial" w:hAnsi="Arial"/>
          <w:color w:val="00757A"/>
          <w:spacing w:val="8"/>
        </w:rPr>
        <w:t> </w:t>
      </w:r>
      <w:r>
        <w:rPr>
          <w:color w:val="231F20"/>
        </w:rPr>
        <w:t>supporting</w:t>
      </w:r>
      <w:r>
        <w:rPr>
          <w:color w:val="231F20"/>
          <w:spacing w:val="1"/>
        </w:rPr>
        <w:t> </w:t>
      </w:r>
      <w:r>
        <w:rPr>
          <w:color w:val="231F20"/>
        </w:rPr>
        <w:t>improved</w:t>
      </w:r>
      <w:r>
        <w:rPr>
          <w:color w:val="231F20"/>
          <w:spacing w:val="1"/>
        </w:rPr>
        <w:t> </w:t>
      </w:r>
      <w:r>
        <w:rPr>
          <w:color w:val="231F20"/>
        </w:rPr>
        <w:t>cultural</w:t>
      </w:r>
      <w:r>
        <w:rPr>
          <w:color w:val="231F20"/>
          <w:spacing w:val="1"/>
        </w:rPr>
        <w:t> </w:t>
      </w:r>
      <w:r>
        <w:rPr>
          <w:color w:val="231F20"/>
        </w:rPr>
        <w:t>competency</w:t>
      </w:r>
      <w:r>
        <w:rPr>
          <w:color w:val="231F20"/>
        </w:rPr>
        <w:t> of teachers</w:t>
      </w:r>
      <w:r>
        <w:rPr/>
      </w:r>
    </w:p>
    <w:p>
      <w:pPr>
        <w:pStyle w:val="BodyText"/>
        <w:spacing w:line="240" w:lineRule="auto"/>
        <w:ind w:left="535" w:right="931" w:hanging="227"/>
        <w:jc w:val="left"/>
      </w:pPr>
      <w:r>
        <w:rPr>
          <w:rFonts w:ascii="Arial" w:hAnsi="Arial"/>
          <w:color w:val="00757A"/>
        </w:rPr>
        <w:t>ϐ </w:t>
      </w:r>
      <w:r>
        <w:rPr>
          <w:rFonts w:ascii="Arial" w:hAnsi="Arial"/>
          <w:color w:val="00757A"/>
          <w:spacing w:val="8"/>
        </w:rPr>
        <w:t> </w:t>
      </w:r>
      <w:r>
        <w:rPr>
          <w:color w:val="231F20"/>
        </w:rPr>
        <w:t>developing</w:t>
      </w:r>
      <w:r>
        <w:rPr>
          <w:color w:val="231F20"/>
          <w:spacing w:val="1"/>
        </w:rPr>
        <w:t> </w:t>
      </w:r>
      <w:r>
        <w:rPr>
          <w:color w:val="231F20"/>
        </w:rPr>
        <w:t>resources to</w:t>
      </w:r>
      <w:r>
        <w:rPr>
          <w:color w:val="231F20"/>
          <w:spacing w:val="1"/>
        </w:rPr>
        <w:t> </w:t>
      </w:r>
      <w:r>
        <w:rPr>
          <w:color w:val="231F20"/>
        </w:rPr>
        <w:t>support</w:t>
      </w:r>
      <w:r>
        <w:rPr>
          <w:color w:val="231F20"/>
          <w:spacing w:val="1"/>
        </w:rPr>
        <w:t> </w:t>
      </w:r>
      <w:r>
        <w:rPr>
          <w:color w:val="231F20"/>
        </w:rPr>
        <w:t>high</w:t>
      </w:r>
      <w:r>
        <w:rPr>
          <w:color w:val="231F20"/>
        </w:rPr>
        <w:t> quality professional learning for teacher impact</w:t>
      </w:r>
      <w:r>
        <w:rPr/>
      </w:r>
    </w:p>
    <w:p>
      <w:pPr>
        <w:spacing w:before="113"/>
        <w:ind w:left="535" w:right="1197" w:hanging="227"/>
        <w:jc w:val="both"/>
        <w:rPr>
          <w:rFonts w:ascii="Swis721 Lt BT" w:hAnsi="Swis721 Lt BT" w:cs="Swis721 Lt BT" w:eastAsia="Swis721 Lt BT"/>
          <w:sz w:val="19"/>
          <w:szCs w:val="19"/>
        </w:rPr>
      </w:pPr>
      <w:r>
        <w:rPr>
          <w:rFonts w:ascii="Arial" w:hAnsi="Arial"/>
          <w:color w:val="00757A"/>
          <w:sz w:val="19"/>
        </w:rPr>
        <w:t>ϐ</w:t>
      </w:r>
      <w:r>
        <w:rPr>
          <w:rFonts w:ascii="Arial" w:hAnsi="Arial"/>
          <w:color w:val="00757A"/>
          <w:spacing w:val="8"/>
          <w:sz w:val="19"/>
        </w:rPr>
        <w:t> </w:t>
      </w:r>
      <w:r>
        <w:rPr>
          <w:rFonts w:ascii="Swis721 Lt BT" w:hAnsi="Swis721 Lt BT"/>
          <w:color w:val="231F20"/>
          <w:sz w:val="19"/>
        </w:rPr>
        <w:t>assessing</w:t>
      </w:r>
      <w:r>
        <w:rPr>
          <w:rFonts w:ascii="Swis721 Lt BT" w:hAnsi="Swis721 Lt BT"/>
          <w:color w:val="231F20"/>
          <w:spacing w:val="1"/>
          <w:sz w:val="19"/>
        </w:rPr>
        <w:t> </w:t>
      </w:r>
      <w:r>
        <w:rPr>
          <w:rFonts w:ascii="Swis721 Lt BT" w:hAnsi="Swis721 Lt BT"/>
          <w:color w:val="231F20"/>
          <w:sz w:val="19"/>
        </w:rPr>
        <w:t>and evaluating</w:t>
      </w:r>
      <w:r>
        <w:rPr>
          <w:rFonts w:ascii="Swis721 Lt BT" w:hAnsi="Swis721 Lt BT"/>
          <w:color w:val="231F20"/>
          <w:spacing w:val="1"/>
          <w:sz w:val="19"/>
        </w:rPr>
        <w:t> </w:t>
      </w:r>
      <w:r>
        <w:rPr>
          <w:rFonts w:ascii="Swis721 Lt BT" w:hAnsi="Swis721 Lt BT"/>
          <w:color w:val="231F20"/>
          <w:sz w:val="19"/>
        </w:rPr>
        <w:t>links</w:t>
      </w:r>
      <w:r>
        <w:rPr>
          <w:rFonts w:ascii="Swis721 Lt BT" w:hAnsi="Swis721 Lt BT"/>
          <w:color w:val="231F20"/>
          <w:spacing w:val="1"/>
          <w:sz w:val="19"/>
        </w:rPr>
        <w:t> </w:t>
      </w:r>
      <w:r>
        <w:rPr>
          <w:rFonts w:ascii="Swis721 Lt BT" w:hAnsi="Swis721 Lt BT"/>
          <w:color w:val="231F20"/>
          <w:sz w:val="19"/>
        </w:rPr>
        <w:t>between</w:t>
      </w:r>
      <w:r>
        <w:rPr>
          <w:rFonts w:ascii="Swis721 Lt BT" w:hAnsi="Swis721 Lt BT"/>
          <w:color w:val="231F20"/>
          <w:sz w:val="19"/>
        </w:rPr>
        <w:t> the </w:t>
      </w:r>
      <w:r>
        <w:rPr>
          <w:rFonts w:ascii="Swis721 Lt BT" w:hAnsi="Swis721 Lt BT"/>
          <w:i/>
          <w:color w:val="231F20"/>
          <w:sz w:val="19"/>
        </w:rPr>
        <w:t>Australian Professional Standards for</w:t>
      </w:r>
      <w:r>
        <w:rPr>
          <w:rFonts w:ascii="Swis721 Lt BT" w:hAnsi="Swis721 Lt BT"/>
          <w:i/>
          <w:color w:val="231F20"/>
          <w:sz w:val="19"/>
        </w:rPr>
        <w:t> </w:t>
      </w:r>
      <w:r>
        <w:rPr>
          <w:rFonts w:ascii="Swis721 Lt BT" w:hAnsi="Swis721 Lt BT"/>
          <w:i/>
          <w:color w:val="231F20"/>
          <w:spacing w:val="-3"/>
          <w:sz w:val="19"/>
        </w:rPr>
        <w:t>Teachers</w:t>
      </w:r>
      <w:r>
        <w:rPr>
          <w:rFonts w:ascii="Swis721 Lt BT" w:hAnsi="Swis721 Lt BT"/>
          <w:i/>
          <w:color w:val="231F20"/>
          <w:sz w:val="19"/>
        </w:rPr>
        <w:t> </w:t>
      </w:r>
      <w:r>
        <w:rPr>
          <w:rFonts w:ascii="Swis721 Lt BT" w:hAnsi="Swis721 Lt BT"/>
          <w:color w:val="231F20"/>
          <w:sz w:val="19"/>
        </w:rPr>
        <w:t>and teacher effectiveness</w:t>
      </w:r>
      <w:r>
        <w:rPr>
          <w:rFonts w:ascii="Swis721 Lt BT" w:hAnsi="Swis721 Lt BT"/>
          <w:sz w:val="19"/>
        </w:rPr>
      </w:r>
    </w:p>
    <w:p>
      <w:pPr>
        <w:pStyle w:val="BodyText"/>
        <w:spacing w:line="240" w:lineRule="auto"/>
        <w:ind w:left="536" w:right="898" w:hanging="227"/>
        <w:jc w:val="left"/>
      </w:pPr>
      <w:r>
        <w:rPr>
          <w:rFonts w:ascii="Arial" w:hAnsi="Arial"/>
          <w:color w:val="00757A"/>
        </w:rPr>
        <w:t>ϐ </w:t>
      </w:r>
      <w:r>
        <w:rPr>
          <w:rFonts w:ascii="Arial" w:hAnsi="Arial"/>
          <w:color w:val="00757A"/>
          <w:spacing w:val="8"/>
        </w:rPr>
        <w:t> </w:t>
      </w:r>
      <w:r>
        <w:rPr>
          <w:color w:val="231F20"/>
        </w:rPr>
        <w:t>strengthening</w:t>
      </w:r>
      <w:r>
        <w:rPr>
          <w:color w:val="231F20"/>
          <w:spacing w:val="1"/>
        </w:rPr>
        <w:t> </w:t>
      </w:r>
      <w:r>
        <w:rPr>
          <w:color w:val="231F20"/>
        </w:rPr>
        <w:t>the preparation</w:t>
      </w:r>
      <w:r>
        <w:rPr>
          <w:color w:val="231F20"/>
          <w:spacing w:val="1"/>
        </w:rPr>
        <w:t> </w:t>
      </w:r>
      <w:r>
        <w:rPr>
          <w:color w:val="231F20"/>
        </w:rPr>
        <w:t>and</w:t>
      </w:r>
      <w:r>
        <w:rPr>
          <w:color w:val="231F20"/>
          <w:spacing w:val="1"/>
        </w:rPr>
        <w:t> </w:t>
      </w:r>
      <w:r>
        <w:rPr>
          <w:color w:val="231F20"/>
        </w:rPr>
        <w:t>ongoing</w:t>
      </w:r>
      <w:r>
        <w:rPr>
          <w:color w:val="231F20"/>
        </w:rPr>
        <w:t> support of school leaders and principals.</w:t>
      </w:r>
      <w:r>
        <w:rPr/>
      </w:r>
    </w:p>
    <w:p>
      <w:pPr>
        <w:spacing w:line="240" w:lineRule="auto" w:before="0"/>
        <w:rPr>
          <w:rFonts w:ascii="Swis721 Lt BT" w:hAnsi="Swis721 Lt BT" w:cs="Swis721 Lt BT" w:eastAsia="Swis721 Lt BT"/>
          <w:sz w:val="18"/>
          <w:szCs w:val="18"/>
        </w:rPr>
      </w:pPr>
    </w:p>
    <w:p>
      <w:pPr>
        <w:spacing w:line="240" w:lineRule="auto" w:before="8"/>
        <w:rPr>
          <w:rFonts w:ascii="Swis721 Lt BT" w:hAnsi="Swis721 Lt BT" w:cs="Swis721 Lt BT" w:eastAsia="Swis721 Lt BT"/>
          <w:sz w:val="25"/>
          <w:szCs w:val="25"/>
        </w:rPr>
      </w:pPr>
    </w:p>
    <w:p>
      <w:pPr>
        <w:pStyle w:val="Heading5"/>
        <w:spacing w:line="240" w:lineRule="auto"/>
        <w:ind w:left="308" w:right="0"/>
        <w:jc w:val="left"/>
        <w:rPr>
          <w:b w:val="0"/>
          <w:bCs w:val="0"/>
        </w:rPr>
      </w:pPr>
      <w:r>
        <w:rPr>
          <w:color w:val="005E63"/>
        </w:rPr>
        <w:t>THE BOARD AND COMMITTEES</w:t>
      </w:r>
      <w:r>
        <w:rPr>
          <w:b w:val="0"/>
        </w:rPr>
      </w:r>
    </w:p>
    <w:p>
      <w:pPr>
        <w:spacing w:line="240" w:lineRule="auto" w:before="3"/>
        <w:rPr>
          <w:rFonts w:ascii="Swis721 BT" w:hAnsi="Swis721 BT" w:cs="Swis721 BT" w:eastAsia="Swis721 BT"/>
          <w:b/>
          <w:bCs/>
          <w:sz w:val="18"/>
          <w:szCs w:val="18"/>
        </w:rPr>
      </w:pPr>
    </w:p>
    <w:p>
      <w:pPr>
        <w:pStyle w:val="Heading8"/>
        <w:spacing w:line="240" w:lineRule="auto" w:before="0"/>
        <w:ind w:left="308" w:right="0"/>
        <w:jc w:val="left"/>
      </w:pPr>
      <w:r>
        <w:rPr>
          <w:color w:val="00757A"/>
        </w:rPr>
        <w:t>The Board</w:t>
      </w:r>
      <w:r>
        <w:rPr/>
      </w:r>
    </w:p>
    <w:p>
      <w:pPr>
        <w:pStyle w:val="BodyText"/>
        <w:spacing w:line="240" w:lineRule="auto" w:before="106"/>
        <w:ind w:left="308" w:right="1134"/>
        <w:jc w:val="left"/>
      </w:pPr>
      <w:r>
        <w:rPr>
          <w:color w:val="231F20"/>
        </w:rPr>
        <w:t>AITSL’s</w:t>
      </w:r>
      <w:r>
        <w:rPr>
          <w:color w:val="231F20"/>
          <w:spacing w:val="-2"/>
        </w:rPr>
        <w:t> </w:t>
      </w:r>
      <w:r>
        <w:rPr>
          <w:color w:val="231F20"/>
        </w:rPr>
        <w:t>constitution</w:t>
      </w:r>
      <w:r>
        <w:rPr>
          <w:color w:val="231F20"/>
          <w:spacing w:val="-1"/>
        </w:rPr>
        <w:t> </w:t>
      </w:r>
      <w:r>
        <w:rPr>
          <w:color w:val="231F20"/>
        </w:rPr>
        <w:t>defines</w:t>
      </w:r>
      <w:r>
        <w:rPr>
          <w:color w:val="231F20"/>
          <w:spacing w:val="-2"/>
        </w:rPr>
        <w:t> </w:t>
      </w:r>
      <w:r>
        <w:rPr>
          <w:color w:val="231F20"/>
        </w:rPr>
        <w:t>the</w:t>
      </w:r>
      <w:r>
        <w:rPr>
          <w:color w:val="231F20"/>
          <w:spacing w:val="-1"/>
        </w:rPr>
        <w:t> </w:t>
      </w:r>
      <w:r>
        <w:rPr>
          <w:color w:val="231F20"/>
        </w:rPr>
        <w:t>corporate</w:t>
      </w:r>
      <w:r>
        <w:rPr>
          <w:color w:val="231F20"/>
        </w:rPr>
        <w:t> powers of AITSL, which are exercised by</w:t>
      </w:r>
      <w:r>
        <w:rPr>
          <w:color w:val="231F20"/>
          <w:spacing w:val="25"/>
        </w:rPr>
        <w:t> </w:t>
      </w:r>
      <w:r>
        <w:rPr>
          <w:color w:val="231F20"/>
        </w:rPr>
        <w:t>the Board.</w:t>
      </w:r>
      <w:r>
        <w:rPr/>
      </w:r>
    </w:p>
    <w:p>
      <w:pPr>
        <w:pStyle w:val="BodyText"/>
        <w:spacing w:line="240" w:lineRule="auto"/>
        <w:ind w:left="308" w:right="1134"/>
        <w:jc w:val="left"/>
      </w:pPr>
      <w:r>
        <w:rPr>
          <w:color w:val="231F20"/>
        </w:rPr>
        <w:t>The Board has also adopted a Board charter that sets out the Board’s role and</w:t>
      </w:r>
      <w:r>
        <w:rPr/>
      </w:r>
    </w:p>
    <w:p>
      <w:pPr>
        <w:pStyle w:val="BodyText"/>
        <w:spacing w:line="240" w:lineRule="auto" w:before="0"/>
        <w:ind w:left="308" w:right="898"/>
        <w:jc w:val="left"/>
      </w:pPr>
      <w:r>
        <w:rPr>
          <w:color w:val="231F20"/>
        </w:rPr>
        <w:t>responsibilities and the role and responsibility of</w:t>
      </w:r>
      <w:r>
        <w:rPr>
          <w:color w:val="231F20"/>
          <w:spacing w:val="-2"/>
        </w:rPr>
        <w:t> </w:t>
      </w:r>
      <w:r>
        <w:rPr>
          <w:color w:val="231F20"/>
        </w:rPr>
        <w:t>the</w:t>
      </w:r>
      <w:r>
        <w:rPr>
          <w:color w:val="231F20"/>
          <w:spacing w:val="-1"/>
        </w:rPr>
        <w:t> </w:t>
      </w:r>
      <w:r>
        <w:rPr>
          <w:color w:val="231F20"/>
        </w:rPr>
        <w:t>Chief</w:t>
      </w:r>
      <w:r>
        <w:rPr>
          <w:color w:val="231F20"/>
          <w:spacing w:val="-2"/>
        </w:rPr>
        <w:t> </w:t>
      </w:r>
      <w:r>
        <w:rPr>
          <w:color w:val="231F20"/>
        </w:rPr>
        <w:t>Executive</w:t>
      </w:r>
      <w:r>
        <w:rPr>
          <w:color w:val="231F20"/>
          <w:spacing w:val="-1"/>
        </w:rPr>
        <w:t> </w:t>
      </w:r>
      <w:r>
        <w:rPr>
          <w:color w:val="231F20"/>
          <w:spacing w:val="-3"/>
        </w:rPr>
        <w:t>Officer.</w:t>
      </w:r>
      <w:r>
        <w:rPr/>
      </w:r>
    </w:p>
    <w:p>
      <w:pPr>
        <w:spacing w:after="0" w:line="240" w:lineRule="auto"/>
        <w:jc w:val="left"/>
        <w:sectPr>
          <w:type w:val="continuous"/>
          <w:pgSz w:w="9980" w:h="14180"/>
          <w:pgMar w:top="0" w:bottom="280" w:left="0" w:right="0"/>
          <w:cols w:num="2" w:equalWidth="0">
            <w:col w:w="4953" w:space="40"/>
            <w:col w:w="4987"/>
          </w:cols>
        </w:sectPr>
      </w:pPr>
    </w:p>
    <w:p>
      <w:pPr>
        <w:spacing w:before="48"/>
        <w:ind w:left="110" w:right="0" w:firstLine="0"/>
        <w:jc w:val="left"/>
        <w:rPr>
          <w:rFonts w:ascii="Swis721 Lt BT" w:hAnsi="Swis721 Lt BT" w:cs="Swis721 Lt BT" w:eastAsia="Swis721 Lt BT"/>
          <w:sz w:val="16"/>
          <w:szCs w:val="16"/>
        </w:rPr>
      </w:pPr>
      <w:r>
        <w:rPr>
          <w:rFonts w:ascii="Swis721 BT"/>
          <w:b/>
          <w:color w:val="00757A"/>
          <w:spacing w:val="-1"/>
          <w:sz w:val="16"/>
        </w:rPr>
        <w:t>CORPORATE</w:t>
      </w:r>
      <w:r>
        <w:rPr>
          <w:rFonts w:ascii="Swis721 BT"/>
          <w:b/>
          <w:color w:val="00757A"/>
          <w:sz w:val="16"/>
        </w:rPr>
        <w:t> </w:t>
      </w:r>
      <w:r>
        <w:rPr>
          <w:rFonts w:ascii="Swis721 BT"/>
          <w:b/>
          <w:color w:val="00757A"/>
          <w:spacing w:val="-1"/>
          <w:sz w:val="16"/>
        </w:rPr>
        <w:t>GOVERNANCE</w:t>
      </w:r>
      <w:r>
        <w:rPr>
          <w:rFonts w:ascii="Swis721 BT"/>
          <w:b/>
          <w:color w:val="00757A"/>
          <w:sz w:val="16"/>
        </w:rPr>
        <w:t> </w:t>
      </w:r>
      <w:r>
        <w:rPr>
          <w:rFonts w:ascii="Swis721 BT"/>
          <w:b/>
          <w:color w:val="00757A"/>
          <w:spacing w:val="-2"/>
          <w:sz w:val="16"/>
        </w:rPr>
        <w:t>STATEMENT</w:t>
      </w:r>
      <w:r>
        <w:rPr>
          <w:rFonts w:ascii="Swis721 BT"/>
          <w:b/>
          <w:color w:val="00757A"/>
          <w:sz w:val="16"/>
        </w:rPr>
        <w:t> </w:t>
      </w:r>
      <w:r>
        <w:rPr>
          <w:rFonts w:ascii="Swis721 Lt BT"/>
          <w:color w:val="00757A"/>
          <w:sz w:val="16"/>
        </w:rPr>
        <w:t>CONTINUED</w:t>
      </w:r>
      <w:r>
        <w:rPr>
          <w:rFonts w:ascii="Swis721 Lt BT"/>
          <w:sz w:val="16"/>
        </w:rPr>
      </w:r>
    </w:p>
    <w:p>
      <w:pPr>
        <w:spacing w:line="240" w:lineRule="auto" w:before="0"/>
        <w:rPr>
          <w:rFonts w:ascii="Swis721 Lt BT" w:hAnsi="Swis721 Lt BT" w:cs="Swis721 Lt BT" w:eastAsia="Swis721 Lt BT"/>
          <w:sz w:val="20"/>
          <w:szCs w:val="20"/>
        </w:rPr>
      </w:pPr>
    </w:p>
    <w:p>
      <w:pPr>
        <w:spacing w:line="240" w:lineRule="auto" w:before="8"/>
        <w:rPr>
          <w:rFonts w:ascii="Swis721 Lt BT" w:hAnsi="Swis721 Lt BT" w:cs="Swis721 Lt BT" w:eastAsia="Swis721 Lt BT"/>
          <w:sz w:val="25"/>
          <w:szCs w:val="25"/>
        </w:rPr>
      </w:pPr>
    </w:p>
    <w:p>
      <w:pPr>
        <w:spacing w:after="0" w:line="240" w:lineRule="auto"/>
        <w:rPr>
          <w:rFonts w:ascii="Swis721 Lt BT" w:hAnsi="Swis721 Lt BT" w:cs="Swis721 Lt BT" w:eastAsia="Swis721 Lt BT"/>
          <w:sz w:val="25"/>
          <w:szCs w:val="25"/>
        </w:rPr>
        <w:sectPr>
          <w:pgSz w:w="9980" w:h="14180"/>
          <w:pgMar w:header="0" w:footer="452" w:top="800" w:bottom="640" w:left="740" w:right="1060"/>
        </w:sectPr>
      </w:pPr>
    </w:p>
    <w:p>
      <w:pPr>
        <w:pStyle w:val="BodyText"/>
        <w:spacing w:line="240" w:lineRule="auto" w:before="69"/>
        <w:ind w:right="51"/>
        <w:jc w:val="left"/>
      </w:pPr>
      <w:r>
        <w:rPr>
          <w:color w:val="231F20"/>
        </w:rPr>
        <w:t>The Board is responsible for setting AITSL’s overall strategic direction and goals; overseeing and monitoring organisational performance and the achievement of strategic goals</w:t>
      </w:r>
      <w:r>
        <w:rPr>
          <w:color w:val="231F20"/>
          <w:spacing w:val="-2"/>
        </w:rPr>
        <w:t> </w:t>
      </w:r>
      <w:r>
        <w:rPr>
          <w:color w:val="231F20"/>
        </w:rPr>
        <w:t>and</w:t>
      </w:r>
      <w:r>
        <w:rPr>
          <w:color w:val="231F20"/>
          <w:spacing w:val="-2"/>
        </w:rPr>
        <w:t> </w:t>
      </w:r>
      <w:r>
        <w:rPr>
          <w:color w:val="231F20"/>
        </w:rPr>
        <w:t>objectives;</w:t>
      </w:r>
      <w:r>
        <w:rPr>
          <w:color w:val="231F20"/>
          <w:spacing w:val="-2"/>
        </w:rPr>
        <w:t> </w:t>
      </w:r>
      <w:r>
        <w:rPr>
          <w:color w:val="231F20"/>
        </w:rPr>
        <w:t>monitoring</w:t>
      </w:r>
      <w:r>
        <w:rPr>
          <w:color w:val="231F20"/>
          <w:spacing w:val="-1"/>
        </w:rPr>
        <w:t> </w:t>
      </w:r>
      <w:r>
        <w:rPr>
          <w:color w:val="231F20"/>
        </w:rPr>
        <w:t>financial</w:t>
      </w:r>
      <w:r>
        <w:rPr>
          <w:color w:val="231F20"/>
          <w:w w:val="99"/>
        </w:rPr>
        <w:t> </w:t>
      </w:r>
      <w:r>
        <w:rPr>
          <w:color w:val="231F20"/>
        </w:rPr>
        <w:t>performance and accountability; setting</w:t>
      </w:r>
      <w:r>
        <w:rPr>
          <w:color w:val="231F20"/>
        </w:rPr>
        <w:t> specific</w:t>
      </w:r>
      <w:r>
        <w:rPr>
          <w:color w:val="231F20"/>
          <w:spacing w:val="-2"/>
        </w:rPr>
        <w:t> </w:t>
      </w:r>
      <w:r>
        <w:rPr>
          <w:color w:val="231F20"/>
        </w:rPr>
        <w:t>limits</w:t>
      </w:r>
      <w:r>
        <w:rPr>
          <w:color w:val="231F20"/>
          <w:spacing w:val="-1"/>
        </w:rPr>
        <w:t> </w:t>
      </w:r>
      <w:r>
        <w:rPr>
          <w:color w:val="231F20"/>
        </w:rPr>
        <w:t>of</w:t>
      </w:r>
      <w:r>
        <w:rPr>
          <w:color w:val="231F20"/>
          <w:spacing w:val="-1"/>
        </w:rPr>
        <w:t> </w:t>
      </w:r>
      <w:r>
        <w:rPr>
          <w:color w:val="231F20"/>
        </w:rPr>
        <w:t>authority</w:t>
      </w:r>
      <w:r>
        <w:rPr>
          <w:color w:val="231F20"/>
          <w:spacing w:val="-2"/>
        </w:rPr>
        <w:t> </w:t>
      </w:r>
      <w:r>
        <w:rPr>
          <w:color w:val="231F20"/>
        </w:rPr>
        <w:t>for</w:t>
      </w:r>
      <w:r>
        <w:rPr>
          <w:color w:val="231F20"/>
          <w:spacing w:val="-1"/>
        </w:rPr>
        <w:t> </w:t>
      </w:r>
      <w:r>
        <w:rPr>
          <w:color w:val="231F20"/>
        </w:rPr>
        <w:t>management;</w:t>
      </w:r>
      <w:r>
        <w:rPr>
          <w:color w:val="231F20"/>
        </w:rPr>
        <w:t> reviewing and monitoring AITSL’s risk management and compliance systems; setting appropriate standards of corporate governance and codes of conduct; and protecting and enhancing AITSL’s reputation.</w:t>
      </w:r>
      <w:r>
        <w:rPr/>
      </w:r>
    </w:p>
    <w:p>
      <w:pPr>
        <w:pStyle w:val="BodyText"/>
        <w:spacing w:line="240" w:lineRule="auto"/>
        <w:ind w:right="48"/>
        <w:jc w:val="left"/>
      </w:pPr>
      <w:r>
        <w:rPr>
          <w:color w:val="231F20"/>
        </w:rPr>
        <w:t>The Board has also adopted a code of conduct that sets out the legal requirements and ethical standards that each Director is expected to adhere to.</w:t>
      </w:r>
      <w:r>
        <w:rPr/>
      </w:r>
    </w:p>
    <w:p>
      <w:pPr>
        <w:spacing w:line="240" w:lineRule="auto" w:before="0"/>
        <w:rPr>
          <w:rFonts w:ascii="Swis721 Lt BT" w:hAnsi="Swis721 Lt BT" w:cs="Swis721 Lt BT" w:eastAsia="Swis721 Lt BT"/>
          <w:sz w:val="18"/>
          <w:szCs w:val="18"/>
        </w:rPr>
      </w:pPr>
    </w:p>
    <w:p>
      <w:pPr>
        <w:pStyle w:val="Heading8"/>
        <w:spacing w:line="240" w:lineRule="auto"/>
        <w:ind w:right="0"/>
        <w:jc w:val="left"/>
      </w:pPr>
      <w:r>
        <w:rPr>
          <w:color w:val="00757A"/>
        </w:rPr>
        <w:t>Appointments</w:t>
      </w:r>
      <w:r>
        <w:rPr/>
      </w:r>
    </w:p>
    <w:p>
      <w:pPr>
        <w:pStyle w:val="BodyText"/>
        <w:spacing w:line="240" w:lineRule="auto" w:before="106"/>
        <w:ind w:right="51"/>
        <w:jc w:val="left"/>
      </w:pPr>
      <w:r>
        <w:rPr>
          <w:color w:val="231F20"/>
        </w:rPr>
        <w:t>In accordance with AITSL’s constitution, the Board is to comprise a minimum of three and a maximum of eleven directors.</w:t>
      </w:r>
      <w:r>
        <w:rPr/>
      </w:r>
    </w:p>
    <w:p>
      <w:pPr>
        <w:pStyle w:val="BodyText"/>
        <w:spacing w:line="240" w:lineRule="auto"/>
        <w:ind w:right="345"/>
        <w:jc w:val="both"/>
      </w:pPr>
      <w:r>
        <w:rPr>
          <w:color w:val="231F20"/>
        </w:rPr>
        <w:t>Directors are appointed by the Minister for Education in a formal letter of appointment setting out the key terms and conditions</w:t>
      </w:r>
      <w:r>
        <w:rPr/>
      </w:r>
    </w:p>
    <w:p>
      <w:pPr>
        <w:pStyle w:val="BodyText"/>
        <w:spacing w:line="240" w:lineRule="auto" w:before="0"/>
        <w:ind w:right="167"/>
        <w:jc w:val="left"/>
      </w:pPr>
      <w:r>
        <w:rPr>
          <w:color w:val="231F20"/>
        </w:rPr>
        <w:t>of the appointment. The maximum term of office</w:t>
      </w:r>
      <w:r>
        <w:rPr>
          <w:color w:val="231F20"/>
          <w:spacing w:val="-1"/>
        </w:rPr>
        <w:t> </w:t>
      </w:r>
      <w:r>
        <w:rPr>
          <w:color w:val="231F20"/>
        </w:rPr>
        <w:t>for a</w:t>
      </w:r>
      <w:r>
        <w:rPr>
          <w:color w:val="231F20"/>
          <w:spacing w:val="-1"/>
        </w:rPr>
        <w:t> </w:t>
      </w:r>
      <w:r>
        <w:rPr>
          <w:color w:val="231F20"/>
        </w:rPr>
        <w:t>Director is</w:t>
      </w:r>
      <w:r>
        <w:rPr>
          <w:color w:val="231F20"/>
          <w:spacing w:val="-1"/>
        </w:rPr>
        <w:t> </w:t>
      </w:r>
      <w:r>
        <w:rPr>
          <w:color w:val="231F20"/>
        </w:rPr>
        <w:t>for a</w:t>
      </w:r>
      <w:r>
        <w:rPr>
          <w:color w:val="231F20"/>
          <w:spacing w:val="-1"/>
        </w:rPr>
        <w:t> </w:t>
      </w:r>
      <w:r>
        <w:rPr>
          <w:color w:val="231F20"/>
        </w:rPr>
        <w:t>period of up</w:t>
      </w:r>
      <w:r>
        <w:rPr>
          <w:color w:val="231F20"/>
          <w:spacing w:val="-1"/>
        </w:rPr>
        <w:t> </w:t>
      </w:r>
      <w:r>
        <w:rPr>
          <w:color w:val="231F20"/>
        </w:rPr>
        <w:t>to</w:t>
      </w:r>
      <w:r>
        <w:rPr>
          <w:color w:val="231F20"/>
        </w:rPr>
        <w:t> three years, with serving Directors eligible for re-appointment on the expiry of their term of office.</w:t>
      </w:r>
      <w:r>
        <w:rPr/>
      </w:r>
    </w:p>
    <w:p>
      <w:pPr>
        <w:pStyle w:val="BodyText"/>
        <w:spacing w:line="240" w:lineRule="auto"/>
        <w:ind w:right="51"/>
        <w:jc w:val="left"/>
      </w:pPr>
      <w:r>
        <w:rPr>
          <w:color w:val="231F20"/>
          <w:spacing w:val="-2"/>
        </w:rPr>
        <w:t>Full</w:t>
      </w:r>
      <w:r>
        <w:rPr>
          <w:color w:val="231F20"/>
        </w:rPr>
        <w:t> details of current Directors including</w:t>
      </w:r>
      <w:r>
        <w:rPr>
          <w:color w:val="231F20"/>
          <w:spacing w:val="23"/>
        </w:rPr>
        <w:t> </w:t>
      </w:r>
      <w:r>
        <w:rPr>
          <w:color w:val="231F20"/>
        </w:rPr>
        <w:t>names,</w:t>
      </w:r>
      <w:r>
        <w:rPr>
          <w:color w:val="231F20"/>
          <w:spacing w:val="-3"/>
        </w:rPr>
        <w:t> </w:t>
      </w:r>
      <w:r>
        <w:rPr>
          <w:color w:val="231F20"/>
        </w:rPr>
        <w:t>appointment</w:t>
      </w:r>
      <w:r>
        <w:rPr>
          <w:color w:val="231F20"/>
          <w:spacing w:val="-3"/>
        </w:rPr>
        <w:t> </w:t>
      </w:r>
      <w:r>
        <w:rPr>
          <w:color w:val="231F20"/>
        </w:rPr>
        <w:t>dates</w:t>
      </w:r>
      <w:r>
        <w:rPr>
          <w:color w:val="231F20"/>
          <w:spacing w:val="-3"/>
        </w:rPr>
        <w:t> </w:t>
      </w:r>
      <w:r>
        <w:rPr>
          <w:color w:val="231F20"/>
        </w:rPr>
        <w:t>and</w:t>
      </w:r>
      <w:r>
        <w:rPr>
          <w:color w:val="231F20"/>
          <w:spacing w:val="-2"/>
        </w:rPr>
        <w:t> </w:t>
      </w:r>
      <w:r>
        <w:rPr>
          <w:color w:val="231F20"/>
        </w:rPr>
        <w:t>qualifications</w:t>
      </w:r>
      <w:r>
        <w:rPr>
          <w:color w:val="231F20"/>
          <w:w w:val="99"/>
        </w:rPr>
        <w:t> </w:t>
      </w:r>
      <w:r>
        <w:rPr>
          <w:color w:val="231F20"/>
        </w:rPr>
        <w:t>are included in the Directors’ Report on</w:t>
      </w:r>
      <w:r>
        <w:rPr/>
      </w:r>
    </w:p>
    <w:p>
      <w:pPr>
        <w:pStyle w:val="BodyText"/>
        <w:spacing w:line="240" w:lineRule="auto" w:before="0"/>
        <w:ind w:right="0"/>
        <w:jc w:val="left"/>
      </w:pPr>
      <w:r>
        <w:rPr>
          <w:color w:val="231F20"/>
        </w:rPr>
        <w:t>page 37.</w:t>
      </w:r>
      <w:r>
        <w:rPr/>
      </w:r>
    </w:p>
    <w:p>
      <w:pPr>
        <w:spacing w:line="240" w:lineRule="auto" w:before="0"/>
        <w:rPr>
          <w:rFonts w:ascii="Swis721 Lt BT" w:hAnsi="Swis721 Lt BT" w:cs="Swis721 Lt BT" w:eastAsia="Swis721 Lt BT"/>
          <w:sz w:val="18"/>
          <w:szCs w:val="18"/>
        </w:rPr>
      </w:pPr>
    </w:p>
    <w:p>
      <w:pPr>
        <w:pStyle w:val="Heading8"/>
        <w:spacing w:line="240" w:lineRule="auto"/>
        <w:ind w:right="0"/>
        <w:jc w:val="left"/>
      </w:pPr>
      <w:r>
        <w:rPr>
          <w:color w:val="00757A"/>
        </w:rPr>
        <w:t>Expert Board of Directors</w:t>
      </w:r>
      <w:r>
        <w:rPr/>
      </w:r>
    </w:p>
    <w:p>
      <w:pPr>
        <w:pStyle w:val="BodyText"/>
        <w:spacing w:line="240" w:lineRule="auto" w:before="106"/>
        <w:ind w:right="0"/>
        <w:jc w:val="left"/>
      </w:pPr>
      <w:r>
        <w:rPr>
          <w:color w:val="231F20"/>
        </w:rPr>
        <w:t>AITSL operates under an expert Board, and, when appointing Directors, the Minister for Education has regard for their skills and expertise</w:t>
      </w:r>
      <w:r>
        <w:rPr>
          <w:color w:val="231F20"/>
          <w:spacing w:val="-2"/>
        </w:rPr>
        <w:t> </w:t>
      </w:r>
      <w:r>
        <w:rPr>
          <w:color w:val="231F20"/>
        </w:rPr>
        <w:t>in</w:t>
      </w:r>
      <w:r>
        <w:rPr>
          <w:color w:val="231F20"/>
          <w:spacing w:val="-2"/>
        </w:rPr>
        <w:t> </w:t>
      </w:r>
      <w:r>
        <w:rPr>
          <w:color w:val="231F20"/>
        </w:rPr>
        <w:t>a</w:t>
      </w:r>
      <w:r>
        <w:rPr>
          <w:color w:val="231F20"/>
          <w:spacing w:val="-2"/>
        </w:rPr>
        <w:t> </w:t>
      </w:r>
      <w:r>
        <w:rPr>
          <w:color w:val="231F20"/>
        </w:rPr>
        <w:t>number</w:t>
      </w:r>
      <w:r>
        <w:rPr>
          <w:color w:val="231F20"/>
          <w:spacing w:val="-2"/>
        </w:rPr>
        <w:t> </w:t>
      </w:r>
      <w:r>
        <w:rPr>
          <w:color w:val="231F20"/>
        </w:rPr>
        <w:t>areas,</w:t>
      </w:r>
      <w:r>
        <w:rPr>
          <w:color w:val="231F20"/>
          <w:spacing w:val="-2"/>
        </w:rPr>
        <w:t> </w:t>
      </w:r>
      <w:r>
        <w:rPr>
          <w:color w:val="231F20"/>
        </w:rPr>
        <w:t>including:</w:t>
      </w:r>
      <w:r>
        <w:rPr>
          <w:color w:val="231F20"/>
          <w:spacing w:val="-2"/>
        </w:rPr>
        <w:t> </w:t>
      </w:r>
      <w:r>
        <w:rPr>
          <w:color w:val="231F20"/>
        </w:rPr>
        <w:t>teacher</w:t>
      </w:r>
      <w:r>
        <w:rPr>
          <w:color w:val="231F20"/>
        </w:rPr>
        <w:t> education; regulation and accreditation of initial teacher education courses; school leadership; teacher practitioner expertise; public policy; governance, including audit, risk and</w:t>
      </w:r>
      <w:r>
        <w:rPr>
          <w:color w:val="231F20"/>
          <w:spacing w:val="-2"/>
        </w:rPr>
        <w:t> </w:t>
      </w:r>
      <w:r>
        <w:rPr>
          <w:color w:val="231F20"/>
        </w:rPr>
        <w:t>finance;</w:t>
      </w:r>
      <w:r>
        <w:rPr>
          <w:color w:val="231F20"/>
          <w:spacing w:val="-2"/>
        </w:rPr>
        <w:t> </w:t>
      </w:r>
      <w:r>
        <w:rPr>
          <w:color w:val="231F20"/>
        </w:rPr>
        <w:t>and</w:t>
      </w:r>
      <w:r>
        <w:rPr>
          <w:color w:val="231F20"/>
          <w:spacing w:val="-1"/>
        </w:rPr>
        <w:t> </w:t>
      </w:r>
      <w:r>
        <w:rPr>
          <w:color w:val="231F20"/>
        </w:rPr>
        <w:t>government</w:t>
      </w:r>
      <w:r>
        <w:rPr>
          <w:color w:val="231F20"/>
          <w:spacing w:val="-2"/>
        </w:rPr>
        <w:t> </w:t>
      </w:r>
      <w:r>
        <w:rPr>
          <w:color w:val="231F20"/>
        </w:rPr>
        <w:t>liaison.</w:t>
      </w:r>
      <w:r>
        <w:rPr/>
      </w:r>
    </w:p>
    <w:p>
      <w:pPr>
        <w:pStyle w:val="BodyText"/>
        <w:spacing w:line="240" w:lineRule="auto" w:before="69"/>
        <w:ind w:right="77"/>
        <w:jc w:val="left"/>
      </w:pPr>
      <w:r>
        <w:rPr/>
        <w:br w:type="column"/>
      </w:r>
      <w:r>
        <w:rPr>
          <w:color w:val="231F20"/>
        </w:rPr>
        <w:t>Upon appointment each Director is requested</w:t>
      </w:r>
      <w:r>
        <w:rPr>
          <w:color w:val="231F20"/>
        </w:rPr>
        <w:t> to complete a declaration of personal interests and have an ongoing obligation to keep the Board informed of any arising interests that could</w:t>
      </w:r>
      <w:r>
        <w:rPr>
          <w:color w:val="231F20"/>
          <w:spacing w:val="-2"/>
        </w:rPr>
        <w:t> </w:t>
      </w:r>
      <w:r>
        <w:rPr>
          <w:color w:val="231F20"/>
        </w:rPr>
        <w:t>potentially</w:t>
      </w:r>
      <w:r>
        <w:rPr>
          <w:color w:val="231F20"/>
          <w:spacing w:val="-1"/>
        </w:rPr>
        <w:t> </w:t>
      </w:r>
      <w:r>
        <w:rPr>
          <w:color w:val="231F20"/>
        </w:rPr>
        <w:t>conflict</w:t>
      </w:r>
      <w:r>
        <w:rPr>
          <w:color w:val="231F20"/>
          <w:spacing w:val="-1"/>
        </w:rPr>
        <w:t> </w:t>
      </w:r>
      <w:r>
        <w:rPr>
          <w:color w:val="231F20"/>
        </w:rPr>
        <w:t>with</w:t>
      </w:r>
      <w:r>
        <w:rPr>
          <w:color w:val="231F20"/>
          <w:spacing w:val="-1"/>
        </w:rPr>
        <w:t> </w:t>
      </w:r>
      <w:r>
        <w:rPr>
          <w:color w:val="231F20"/>
        </w:rPr>
        <w:t>the</w:t>
      </w:r>
      <w:r>
        <w:rPr>
          <w:color w:val="231F20"/>
          <w:spacing w:val="-1"/>
        </w:rPr>
        <w:t> </w:t>
      </w:r>
      <w:r>
        <w:rPr>
          <w:color w:val="231F20"/>
        </w:rPr>
        <w:t>interests</w:t>
      </w:r>
      <w:r>
        <w:rPr/>
      </w:r>
    </w:p>
    <w:p>
      <w:pPr>
        <w:pStyle w:val="BodyText"/>
        <w:spacing w:line="240" w:lineRule="auto" w:before="0"/>
        <w:ind w:right="235"/>
        <w:jc w:val="left"/>
      </w:pPr>
      <w:r>
        <w:rPr>
          <w:color w:val="231F20"/>
        </w:rPr>
        <w:t>of</w:t>
      </w:r>
      <w:r>
        <w:rPr>
          <w:color w:val="231F20"/>
          <w:spacing w:val="-2"/>
        </w:rPr>
        <w:t> </w:t>
      </w:r>
      <w:r>
        <w:rPr>
          <w:color w:val="231F20"/>
        </w:rPr>
        <w:t>AITSL.</w:t>
      </w:r>
      <w:r>
        <w:rPr>
          <w:color w:val="231F20"/>
          <w:spacing w:val="-1"/>
        </w:rPr>
        <w:t> </w:t>
      </w:r>
      <w:r>
        <w:rPr>
          <w:color w:val="231F20"/>
        </w:rPr>
        <w:t>Any</w:t>
      </w:r>
      <w:r>
        <w:rPr>
          <w:color w:val="231F20"/>
          <w:spacing w:val="-1"/>
        </w:rPr>
        <w:t> </w:t>
      </w:r>
      <w:r>
        <w:rPr>
          <w:color w:val="231F20"/>
        </w:rPr>
        <w:t>conflicts</w:t>
      </w:r>
      <w:r>
        <w:rPr>
          <w:color w:val="231F20"/>
          <w:spacing w:val="-1"/>
        </w:rPr>
        <w:t> </w:t>
      </w:r>
      <w:r>
        <w:rPr>
          <w:color w:val="231F20"/>
        </w:rPr>
        <w:t>and</w:t>
      </w:r>
      <w:r>
        <w:rPr>
          <w:color w:val="231F20"/>
          <w:spacing w:val="-1"/>
        </w:rPr>
        <w:t> </w:t>
      </w:r>
      <w:r>
        <w:rPr>
          <w:color w:val="231F20"/>
        </w:rPr>
        <w:t>related</w:t>
      </w:r>
      <w:r>
        <w:rPr>
          <w:color w:val="231F20"/>
          <w:spacing w:val="-1"/>
        </w:rPr>
        <w:t> </w:t>
      </w:r>
      <w:r>
        <w:rPr>
          <w:color w:val="231F20"/>
        </w:rPr>
        <w:t>party</w:t>
      </w:r>
      <w:r>
        <w:rPr>
          <w:color w:val="231F20"/>
          <w:spacing w:val="25"/>
        </w:rPr>
        <w:t> </w:t>
      </w:r>
      <w:r>
        <w:rPr>
          <w:color w:val="231F20"/>
        </w:rPr>
        <w:t>transactions are dealt with in accordance</w:t>
      </w:r>
      <w:r>
        <w:rPr>
          <w:color w:val="231F20"/>
        </w:rPr>
        <w:t> with the Board </w:t>
      </w:r>
      <w:r>
        <w:rPr>
          <w:color w:val="231F20"/>
          <w:spacing w:val="-3"/>
        </w:rPr>
        <w:t>Charter,</w:t>
      </w:r>
      <w:r>
        <w:rPr>
          <w:color w:val="231F20"/>
        </w:rPr>
        <w:t> AITSL’s Procurement</w:t>
      </w:r>
      <w:r>
        <w:rPr>
          <w:color w:val="231F20"/>
          <w:spacing w:val="26"/>
        </w:rPr>
        <w:t> </w:t>
      </w:r>
      <w:r>
        <w:rPr>
          <w:color w:val="231F20"/>
          <w:spacing w:val="-1"/>
        </w:rPr>
        <w:t>Policy</w:t>
      </w:r>
      <w:r>
        <w:rPr>
          <w:color w:val="231F20"/>
          <w:spacing w:val="-2"/>
        </w:rPr>
        <w:t> </w:t>
      </w:r>
      <w:r>
        <w:rPr>
          <w:color w:val="231F20"/>
        </w:rPr>
        <w:t>and</w:t>
      </w:r>
      <w:r>
        <w:rPr>
          <w:color w:val="231F20"/>
          <w:spacing w:val="-1"/>
        </w:rPr>
        <w:t> </w:t>
      </w:r>
      <w:r>
        <w:rPr>
          <w:color w:val="231F20"/>
        </w:rPr>
        <w:t>Conflict</w:t>
      </w:r>
      <w:r>
        <w:rPr>
          <w:color w:val="231F20"/>
          <w:spacing w:val="-1"/>
        </w:rPr>
        <w:t> </w:t>
      </w:r>
      <w:r>
        <w:rPr>
          <w:color w:val="231F20"/>
        </w:rPr>
        <w:t>of</w:t>
      </w:r>
      <w:r>
        <w:rPr>
          <w:color w:val="231F20"/>
          <w:spacing w:val="-1"/>
        </w:rPr>
        <w:t> </w:t>
      </w:r>
      <w:r>
        <w:rPr>
          <w:color w:val="231F20"/>
        </w:rPr>
        <w:t>Interest</w:t>
      </w:r>
      <w:r>
        <w:rPr>
          <w:color w:val="231F20"/>
          <w:spacing w:val="-1"/>
        </w:rPr>
        <w:t> </w:t>
      </w:r>
      <w:r>
        <w:rPr>
          <w:color w:val="231F20"/>
          <w:spacing w:val="-3"/>
        </w:rPr>
        <w:t>Policy.</w:t>
      </w:r>
      <w:r>
        <w:rPr>
          <w:color w:val="231F20"/>
          <w:spacing w:val="-1"/>
        </w:rPr>
        <w:t> </w:t>
      </w:r>
      <w:r>
        <w:rPr>
          <w:color w:val="231F20"/>
        </w:rPr>
        <w:t>During</w:t>
      </w:r>
      <w:r>
        <w:rPr>
          <w:color w:val="231F20"/>
          <w:spacing w:val="20"/>
        </w:rPr>
        <w:t> </w:t>
      </w:r>
      <w:r>
        <w:rPr>
          <w:color w:val="231F20"/>
        </w:rPr>
        <w:t>2018–19 there were nine transactions with</w:t>
      </w:r>
      <w:r>
        <w:rPr>
          <w:color w:val="231F20"/>
        </w:rPr>
        <w:t> related entities with an aggregate value of</w:t>
      </w:r>
      <w:r>
        <w:rPr/>
      </w:r>
    </w:p>
    <w:p>
      <w:pPr>
        <w:pStyle w:val="BodyText"/>
        <w:spacing w:line="240" w:lineRule="auto" w:before="0"/>
        <w:ind w:right="143"/>
        <w:jc w:val="both"/>
      </w:pPr>
      <w:r>
        <w:rPr>
          <w:color w:val="231F20"/>
        </w:rPr>
        <w:t>$110,209. </w:t>
      </w:r>
      <w:r>
        <w:rPr>
          <w:color w:val="231F20"/>
          <w:spacing w:val="-1"/>
        </w:rPr>
        <w:t>Further</w:t>
      </w:r>
      <w:r>
        <w:rPr>
          <w:color w:val="231F20"/>
        </w:rPr>
        <w:t> information on related party</w:t>
      </w:r>
      <w:r>
        <w:rPr>
          <w:color w:val="231F20"/>
          <w:spacing w:val="22"/>
        </w:rPr>
        <w:t> </w:t>
      </w:r>
      <w:r>
        <w:rPr>
          <w:color w:val="231F20"/>
        </w:rPr>
        <w:t>transactions for 2018–19 can be found in note</w:t>
      </w:r>
      <w:r>
        <w:rPr>
          <w:color w:val="231F20"/>
        </w:rPr>
        <w:t> 9 of the Financial Report on page 65.</w:t>
      </w:r>
      <w:r>
        <w:rPr/>
      </w:r>
    </w:p>
    <w:p>
      <w:pPr>
        <w:spacing w:line="240" w:lineRule="auto" w:before="0"/>
        <w:rPr>
          <w:rFonts w:ascii="Swis721 Lt BT" w:hAnsi="Swis721 Lt BT" w:cs="Swis721 Lt BT" w:eastAsia="Swis721 Lt BT"/>
          <w:sz w:val="18"/>
          <w:szCs w:val="18"/>
        </w:rPr>
      </w:pPr>
    </w:p>
    <w:p>
      <w:pPr>
        <w:pStyle w:val="Heading8"/>
        <w:spacing w:line="240" w:lineRule="auto"/>
        <w:ind w:right="0"/>
        <w:jc w:val="left"/>
      </w:pPr>
      <w:r>
        <w:rPr>
          <w:color w:val="00757A"/>
        </w:rPr>
        <w:t>Independent advisors</w:t>
      </w:r>
      <w:r>
        <w:rPr/>
      </w:r>
    </w:p>
    <w:p>
      <w:pPr>
        <w:pStyle w:val="BodyText"/>
        <w:spacing w:line="240" w:lineRule="auto" w:before="106"/>
        <w:ind w:right="102"/>
        <w:jc w:val="left"/>
      </w:pPr>
      <w:r>
        <w:rPr>
          <w:color w:val="231F20"/>
        </w:rPr>
        <w:t>In</w:t>
      </w:r>
      <w:r>
        <w:rPr>
          <w:color w:val="231F20"/>
          <w:spacing w:val="-1"/>
        </w:rPr>
        <w:t> </w:t>
      </w:r>
      <w:r>
        <w:rPr>
          <w:color w:val="231F20"/>
        </w:rPr>
        <w:t>order to</w:t>
      </w:r>
      <w:r>
        <w:rPr>
          <w:color w:val="231F20"/>
          <w:spacing w:val="-1"/>
        </w:rPr>
        <w:t> </w:t>
      </w:r>
      <w:r>
        <w:rPr>
          <w:color w:val="231F20"/>
        </w:rPr>
        <w:t>allow Directors</w:t>
      </w:r>
      <w:r>
        <w:rPr>
          <w:color w:val="231F20"/>
          <w:spacing w:val="-1"/>
        </w:rPr>
        <w:t> </w:t>
      </w:r>
      <w:r>
        <w:rPr>
          <w:color w:val="231F20"/>
        </w:rPr>
        <w:t>to fulfil</w:t>
      </w:r>
      <w:r>
        <w:rPr>
          <w:color w:val="231F20"/>
          <w:spacing w:val="-1"/>
        </w:rPr>
        <w:t> </w:t>
      </w:r>
      <w:r>
        <w:rPr>
          <w:color w:val="231F20"/>
        </w:rPr>
        <w:t>their</w:t>
      </w:r>
      <w:r>
        <w:rPr>
          <w:color w:val="231F20"/>
        </w:rPr>
        <w:t> responsibilities and to exercise independent judgment when making decisions, the Board </w:t>
      </w:r>
      <w:r>
        <w:rPr>
          <w:color w:val="231F20"/>
          <w:spacing w:val="-2"/>
        </w:rPr>
        <w:t>collectively,</w:t>
      </w:r>
      <w:r>
        <w:rPr>
          <w:color w:val="231F20"/>
        </w:rPr>
        <w:t> and each Director </w:t>
      </w:r>
      <w:r>
        <w:rPr>
          <w:color w:val="231F20"/>
          <w:spacing w:val="-2"/>
        </w:rPr>
        <w:t>individually,</w:t>
      </w:r>
      <w:r>
        <w:rPr>
          <w:color w:val="231F20"/>
        </w:rPr>
        <w:t> has</w:t>
      </w:r>
      <w:r>
        <w:rPr>
          <w:color w:val="231F20"/>
          <w:spacing w:val="44"/>
        </w:rPr>
        <w:t> </w:t>
      </w:r>
      <w:r>
        <w:rPr>
          <w:color w:val="231F20"/>
        </w:rPr>
        <w:t>access to any information in the possession of</w:t>
      </w:r>
      <w:r>
        <w:rPr>
          <w:color w:val="231F20"/>
        </w:rPr>
        <w:t> AITSL. The Board also has capacity to invite</w:t>
      </w:r>
      <w:r>
        <w:rPr>
          <w:color w:val="231F20"/>
          <w:spacing w:val="25"/>
        </w:rPr>
        <w:t> </w:t>
      </w:r>
      <w:r>
        <w:rPr>
          <w:color w:val="231F20"/>
        </w:rPr>
        <w:t>up</w:t>
      </w:r>
      <w:r>
        <w:rPr>
          <w:color w:val="231F20"/>
          <w:spacing w:val="-1"/>
        </w:rPr>
        <w:t> </w:t>
      </w:r>
      <w:r>
        <w:rPr>
          <w:color w:val="231F20"/>
        </w:rPr>
        <w:t>to</w:t>
      </w:r>
      <w:r>
        <w:rPr>
          <w:color w:val="231F20"/>
          <w:spacing w:val="-1"/>
        </w:rPr>
        <w:t> </w:t>
      </w:r>
      <w:r>
        <w:rPr>
          <w:color w:val="231F20"/>
        </w:rPr>
        <w:t>two</w:t>
      </w:r>
      <w:r>
        <w:rPr>
          <w:color w:val="231F20"/>
          <w:spacing w:val="-1"/>
        </w:rPr>
        <w:t> </w:t>
      </w:r>
      <w:r>
        <w:rPr>
          <w:color w:val="231F20"/>
        </w:rPr>
        <w:t>persons</w:t>
      </w:r>
      <w:r>
        <w:rPr>
          <w:color w:val="231F20"/>
          <w:spacing w:val="-1"/>
        </w:rPr>
        <w:t> </w:t>
      </w:r>
      <w:r>
        <w:rPr>
          <w:color w:val="231F20"/>
        </w:rPr>
        <w:t>with expertise</w:t>
      </w:r>
      <w:r>
        <w:rPr>
          <w:color w:val="231F20"/>
          <w:spacing w:val="-1"/>
        </w:rPr>
        <w:t> </w:t>
      </w:r>
      <w:r>
        <w:rPr>
          <w:color w:val="231F20"/>
        </w:rPr>
        <w:t>in</w:t>
      </w:r>
      <w:r>
        <w:rPr>
          <w:color w:val="231F20"/>
          <w:spacing w:val="-1"/>
        </w:rPr>
        <w:t> </w:t>
      </w:r>
      <w:r>
        <w:rPr>
          <w:color w:val="231F20"/>
        </w:rPr>
        <w:t>a</w:t>
      </w:r>
      <w:r>
        <w:rPr>
          <w:color w:val="231F20"/>
          <w:spacing w:val="-1"/>
        </w:rPr>
        <w:t> </w:t>
      </w:r>
      <w:r>
        <w:rPr>
          <w:color w:val="231F20"/>
        </w:rPr>
        <w:t>specific</w:t>
      </w:r>
      <w:r>
        <w:rPr>
          <w:color w:val="231F20"/>
          <w:w w:val="99"/>
        </w:rPr>
        <w:t> </w:t>
      </w:r>
      <w:r>
        <w:rPr>
          <w:color w:val="231F20"/>
        </w:rPr>
        <w:t>area to attend a meeting and provide advice</w:t>
      </w:r>
      <w:r>
        <w:rPr>
          <w:color w:val="231F20"/>
        </w:rPr>
        <w:t> to the Board.</w:t>
      </w:r>
      <w:r>
        <w:rPr/>
      </w:r>
    </w:p>
    <w:p>
      <w:pPr>
        <w:spacing w:line="240" w:lineRule="auto" w:before="0"/>
        <w:rPr>
          <w:rFonts w:ascii="Swis721 Lt BT" w:hAnsi="Swis721 Lt BT" w:cs="Swis721 Lt BT" w:eastAsia="Swis721 Lt BT"/>
          <w:sz w:val="18"/>
          <w:szCs w:val="18"/>
        </w:rPr>
      </w:pPr>
    </w:p>
    <w:p>
      <w:pPr>
        <w:pStyle w:val="Heading8"/>
        <w:spacing w:line="240" w:lineRule="auto"/>
        <w:ind w:right="0"/>
        <w:jc w:val="left"/>
      </w:pPr>
      <w:r>
        <w:rPr>
          <w:color w:val="00757A"/>
        </w:rPr>
        <w:t>Induction</w:t>
      </w:r>
      <w:r>
        <w:rPr/>
      </w:r>
    </w:p>
    <w:p>
      <w:pPr>
        <w:pStyle w:val="BodyText"/>
        <w:spacing w:line="240" w:lineRule="auto" w:before="106"/>
        <w:ind w:right="77"/>
        <w:jc w:val="left"/>
      </w:pPr>
      <w:r>
        <w:rPr>
          <w:color w:val="231F20"/>
        </w:rPr>
        <w:t>Upon appointment, each Director receives a letter</w:t>
      </w:r>
      <w:r>
        <w:rPr>
          <w:color w:val="231F20"/>
          <w:spacing w:val="-2"/>
        </w:rPr>
        <w:t> </w:t>
      </w:r>
      <w:r>
        <w:rPr>
          <w:color w:val="231F20"/>
        </w:rPr>
        <w:t>from</w:t>
      </w:r>
      <w:r>
        <w:rPr>
          <w:color w:val="231F20"/>
          <w:spacing w:val="-2"/>
        </w:rPr>
        <w:t> </w:t>
      </w:r>
      <w:r>
        <w:rPr>
          <w:color w:val="231F20"/>
        </w:rPr>
        <w:t>AITSL</w:t>
      </w:r>
      <w:r>
        <w:rPr>
          <w:color w:val="231F20"/>
          <w:spacing w:val="-2"/>
        </w:rPr>
        <w:t> </w:t>
      </w:r>
      <w:r>
        <w:rPr>
          <w:color w:val="231F20"/>
        </w:rPr>
        <w:t>confirming</w:t>
      </w:r>
      <w:r>
        <w:rPr>
          <w:color w:val="231F20"/>
          <w:spacing w:val="-1"/>
        </w:rPr>
        <w:t> </w:t>
      </w:r>
      <w:r>
        <w:rPr>
          <w:color w:val="231F20"/>
        </w:rPr>
        <w:t>their</w:t>
      </w:r>
      <w:r>
        <w:rPr>
          <w:color w:val="231F20"/>
          <w:spacing w:val="-2"/>
        </w:rPr>
        <w:t> </w:t>
      </w:r>
      <w:r>
        <w:rPr>
          <w:color w:val="231F20"/>
        </w:rPr>
        <w:t>appointment</w:t>
      </w:r>
      <w:r>
        <w:rPr>
          <w:color w:val="231F20"/>
        </w:rPr>
        <w:t> along with key documents, policies and contact information relevant to their appointment. Meetings with the AITSL Board Chair and other key staff are arranged, as well as training which covers their obligations as</w:t>
      </w:r>
      <w:r>
        <w:rPr/>
      </w:r>
    </w:p>
    <w:p>
      <w:pPr>
        <w:pStyle w:val="BodyText"/>
        <w:spacing w:line="240" w:lineRule="auto" w:before="0"/>
        <w:ind w:right="0"/>
        <w:jc w:val="left"/>
      </w:pPr>
      <w:r>
        <w:rPr>
          <w:color w:val="231F20"/>
        </w:rPr>
        <w:t>a </w:t>
      </w:r>
      <w:r>
        <w:rPr>
          <w:color w:val="231F20"/>
          <w:spacing w:val="-2"/>
        </w:rPr>
        <w:t>Director.</w:t>
      </w:r>
      <w:r>
        <w:rPr/>
      </w:r>
    </w:p>
    <w:p>
      <w:pPr>
        <w:pStyle w:val="BodyText"/>
        <w:spacing w:line="240" w:lineRule="auto"/>
        <w:ind w:right="533"/>
        <w:jc w:val="left"/>
      </w:pPr>
      <w:r>
        <w:rPr>
          <w:color w:val="231F20"/>
        </w:rPr>
        <w:t>In order to improve both their own and the Board’s performance, Directors are</w:t>
      </w:r>
      <w:r>
        <w:rPr/>
      </w:r>
    </w:p>
    <w:p>
      <w:pPr>
        <w:pStyle w:val="BodyText"/>
        <w:spacing w:line="240" w:lineRule="auto" w:before="0"/>
        <w:ind w:right="77"/>
        <w:jc w:val="left"/>
      </w:pPr>
      <w:r>
        <w:rPr>
          <w:color w:val="231F20"/>
        </w:rPr>
        <w:t>encouraged, where appropriate, to undertake professional development.</w:t>
      </w:r>
      <w:r>
        <w:rPr/>
      </w:r>
    </w:p>
    <w:p>
      <w:pPr>
        <w:spacing w:line="240" w:lineRule="auto" w:before="0"/>
        <w:rPr>
          <w:rFonts w:ascii="Swis721 Lt BT" w:hAnsi="Swis721 Lt BT" w:cs="Swis721 Lt BT" w:eastAsia="Swis721 Lt BT"/>
          <w:sz w:val="18"/>
          <w:szCs w:val="18"/>
        </w:rPr>
      </w:pPr>
    </w:p>
    <w:p>
      <w:pPr>
        <w:pStyle w:val="Heading8"/>
        <w:spacing w:line="240" w:lineRule="auto"/>
        <w:ind w:right="0"/>
        <w:jc w:val="left"/>
      </w:pPr>
      <w:r>
        <w:rPr>
          <w:color w:val="00757A"/>
        </w:rPr>
        <w:t>Meetings</w:t>
      </w:r>
      <w:r>
        <w:rPr/>
      </w:r>
    </w:p>
    <w:p>
      <w:pPr>
        <w:pStyle w:val="BodyText"/>
        <w:spacing w:line="240" w:lineRule="auto" w:before="106"/>
        <w:ind w:right="118"/>
        <w:jc w:val="both"/>
      </w:pPr>
      <w:r>
        <w:rPr>
          <w:color w:val="231F20"/>
        </w:rPr>
        <w:t>Details of the number of Board meetings each Director was eligible to attend and the number of meetings attended during the period from</w:t>
      </w:r>
      <w:r>
        <w:rPr/>
      </w:r>
    </w:p>
    <w:p>
      <w:pPr>
        <w:pStyle w:val="BodyText"/>
        <w:spacing w:line="240" w:lineRule="auto" w:before="0"/>
        <w:ind w:right="190"/>
        <w:jc w:val="left"/>
      </w:pPr>
      <w:r>
        <w:rPr>
          <w:color w:val="231F20"/>
        </w:rPr>
        <w:t>1 July 2018 to 30 June 2019 are set out in the Directors’ Report on page 44.</w:t>
      </w:r>
      <w:r>
        <w:rPr/>
      </w:r>
    </w:p>
    <w:p>
      <w:pPr>
        <w:spacing w:after="0" w:line="240" w:lineRule="auto"/>
        <w:jc w:val="left"/>
        <w:sectPr>
          <w:type w:val="continuous"/>
          <w:pgSz w:w="9980" w:h="14180"/>
          <w:pgMar w:top="0" w:bottom="280" w:left="740" w:right="1060"/>
          <w:cols w:num="2" w:equalWidth="0">
            <w:col w:w="3938" w:space="229"/>
            <w:col w:w="4013"/>
          </w:cols>
        </w:sectPr>
      </w:pPr>
    </w:p>
    <w:p>
      <w:pPr>
        <w:spacing w:before="58"/>
        <w:ind w:left="0" w:right="10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7"/>
        <w:rPr>
          <w:rFonts w:ascii="Swis721 Lt BT" w:hAnsi="Swis721 Lt BT" w:cs="Swis721 Lt BT" w:eastAsia="Swis721 Lt BT"/>
          <w:sz w:val="23"/>
          <w:szCs w:val="23"/>
        </w:rPr>
      </w:pPr>
    </w:p>
    <w:p>
      <w:pPr>
        <w:spacing w:after="0" w:line="240" w:lineRule="auto"/>
        <w:rPr>
          <w:rFonts w:ascii="Swis721 Lt BT" w:hAnsi="Swis721 Lt BT" w:cs="Swis721 Lt BT" w:eastAsia="Swis721 Lt BT"/>
          <w:sz w:val="23"/>
          <w:szCs w:val="23"/>
        </w:rPr>
        <w:sectPr>
          <w:pgSz w:w="9980" w:h="14180"/>
          <w:pgMar w:header="0" w:footer="452" w:top="360" w:bottom="640" w:left="1020" w:right="740"/>
        </w:sectPr>
      </w:pPr>
    </w:p>
    <w:p>
      <w:pPr>
        <w:pStyle w:val="Heading8"/>
        <w:spacing w:line="240" w:lineRule="auto" w:before="65"/>
        <w:ind w:left="113" w:right="0"/>
        <w:jc w:val="left"/>
      </w:pPr>
      <w:r>
        <w:rPr>
          <w:color w:val="00757A"/>
          <w:spacing w:val="-1"/>
        </w:rPr>
        <w:t>Performance</w:t>
      </w:r>
      <w:r>
        <w:rPr/>
      </w:r>
    </w:p>
    <w:p>
      <w:pPr>
        <w:pStyle w:val="BodyText"/>
        <w:spacing w:line="240" w:lineRule="auto" w:before="106"/>
        <w:ind w:left="113" w:right="19"/>
        <w:jc w:val="left"/>
      </w:pPr>
      <w:r>
        <w:rPr>
          <w:color w:val="231F20"/>
        </w:rPr>
        <w:t>The performance of AITSL’s Board is reviewed at least every two years. The method and extent of each review is determined and agreed to by the Board. The Chair will action each </w:t>
      </w:r>
      <w:r>
        <w:rPr>
          <w:color w:val="231F20"/>
          <w:spacing w:val="-2"/>
        </w:rPr>
        <w:t>review,</w:t>
      </w:r>
      <w:r>
        <w:rPr>
          <w:color w:val="231F20"/>
        </w:rPr>
        <w:t> obtain any assistance required</w:t>
      </w:r>
      <w:r>
        <w:rPr>
          <w:color w:val="231F20"/>
          <w:spacing w:val="21"/>
        </w:rPr>
        <w:t> </w:t>
      </w:r>
      <w:r>
        <w:rPr>
          <w:color w:val="231F20"/>
        </w:rPr>
        <w:t>and</w:t>
      </w:r>
      <w:r>
        <w:rPr>
          <w:color w:val="231F20"/>
          <w:spacing w:val="-2"/>
        </w:rPr>
        <w:t> </w:t>
      </w:r>
      <w:r>
        <w:rPr>
          <w:color w:val="231F20"/>
        </w:rPr>
        <w:t>address</w:t>
      </w:r>
      <w:r>
        <w:rPr>
          <w:color w:val="231F20"/>
          <w:spacing w:val="-1"/>
        </w:rPr>
        <w:t> </w:t>
      </w:r>
      <w:r>
        <w:rPr>
          <w:color w:val="231F20"/>
        </w:rPr>
        <w:t>any</w:t>
      </w:r>
      <w:r>
        <w:rPr>
          <w:color w:val="231F20"/>
          <w:spacing w:val="-1"/>
        </w:rPr>
        <w:t> </w:t>
      </w:r>
      <w:r>
        <w:rPr>
          <w:color w:val="231F20"/>
        </w:rPr>
        <w:t>relevant</w:t>
      </w:r>
      <w:r>
        <w:rPr>
          <w:color w:val="231F20"/>
          <w:spacing w:val="-1"/>
        </w:rPr>
        <w:t> </w:t>
      </w:r>
      <w:r>
        <w:rPr>
          <w:color w:val="231F20"/>
        </w:rPr>
        <w:t>findings</w:t>
      </w:r>
      <w:r>
        <w:rPr>
          <w:color w:val="231F20"/>
          <w:spacing w:val="-1"/>
        </w:rPr>
        <w:t> </w:t>
      </w:r>
      <w:r>
        <w:rPr>
          <w:color w:val="231F20"/>
        </w:rPr>
        <w:t>that</w:t>
      </w:r>
      <w:r>
        <w:rPr>
          <w:color w:val="231F20"/>
          <w:spacing w:val="-1"/>
        </w:rPr>
        <w:t> </w:t>
      </w:r>
      <w:r>
        <w:rPr>
          <w:color w:val="231F20"/>
        </w:rPr>
        <w:t>affect</w:t>
      </w:r>
      <w:r>
        <w:rPr>
          <w:color w:val="231F20"/>
        </w:rPr>
        <w:t> the Board’s responsibilities and operations.</w:t>
      </w:r>
      <w:r>
        <w:rPr/>
      </w:r>
    </w:p>
    <w:p>
      <w:pPr>
        <w:spacing w:line="240" w:lineRule="auto" w:before="0"/>
        <w:rPr>
          <w:rFonts w:ascii="Swis721 Lt BT" w:hAnsi="Swis721 Lt BT" w:cs="Swis721 Lt BT" w:eastAsia="Swis721 Lt BT"/>
          <w:sz w:val="18"/>
          <w:szCs w:val="18"/>
        </w:rPr>
      </w:pPr>
    </w:p>
    <w:p>
      <w:pPr>
        <w:pStyle w:val="Heading8"/>
        <w:spacing w:line="240" w:lineRule="auto"/>
        <w:ind w:left="113" w:right="0"/>
        <w:jc w:val="left"/>
      </w:pPr>
      <w:r>
        <w:rPr>
          <w:color w:val="00757A"/>
        </w:rPr>
        <w:t>Remuneration</w:t>
      </w:r>
      <w:r>
        <w:rPr/>
      </w:r>
    </w:p>
    <w:p>
      <w:pPr>
        <w:pStyle w:val="BodyText"/>
        <w:spacing w:line="240" w:lineRule="auto" w:before="106"/>
        <w:ind w:left="113" w:right="422"/>
        <w:jc w:val="left"/>
      </w:pPr>
      <w:r>
        <w:rPr>
          <w:color w:val="231F20"/>
        </w:rPr>
        <w:t>The Remuneration </w:t>
      </w:r>
      <w:r>
        <w:rPr>
          <w:color w:val="231F20"/>
          <w:spacing w:val="-3"/>
        </w:rPr>
        <w:t>Tribunal</w:t>
      </w:r>
      <w:r>
        <w:rPr>
          <w:color w:val="231F20"/>
        </w:rPr>
        <w:t> determines</w:t>
      </w:r>
      <w:r>
        <w:rPr>
          <w:color w:val="231F20"/>
          <w:spacing w:val="25"/>
        </w:rPr>
        <w:t> </w:t>
      </w:r>
      <w:r>
        <w:rPr>
          <w:color w:val="231F20"/>
        </w:rPr>
        <w:t>the remuneration and travel allowances</w:t>
      </w:r>
      <w:r>
        <w:rPr/>
      </w:r>
    </w:p>
    <w:p>
      <w:pPr>
        <w:pStyle w:val="BodyText"/>
        <w:spacing w:line="240" w:lineRule="auto" w:before="0"/>
        <w:ind w:left="113" w:right="0"/>
        <w:jc w:val="left"/>
      </w:pPr>
      <w:r>
        <w:rPr>
          <w:color w:val="231F20"/>
        </w:rPr>
        <w:t>payable to Directors. </w:t>
      </w:r>
      <w:r>
        <w:rPr>
          <w:color w:val="231F20"/>
          <w:spacing w:val="-2"/>
        </w:rPr>
        <w:t>Full</w:t>
      </w:r>
      <w:r>
        <w:rPr>
          <w:color w:val="231F20"/>
        </w:rPr>
        <w:t> details of Directors’</w:t>
      </w:r>
      <w:r>
        <w:rPr>
          <w:color w:val="231F20"/>
          <w:spacing w:val="23"/>
        </w:rPr>
        <w:t> </w:t>
      </w:r>
      <w:r>
        <w:rPr>
          <w:color w:val="231F20"/>
        </w:rPr>
        <w:t>remuneration are included below and</w:t>
      </w:r>
      <w:r>
        <w:rPr/>
      </w:r>
    </w:p>
    <w:p>
      <w:pPr>
        <w:pStyle w:val="BodyText"/>
        <w:spacing w:line="240" w:lineRule="auto" w:before="0"/>
        <w:ind w:left="113" w:right="0"/>
        <w:jc w:val="left"/>
      </w:pPr>
      <w:r>
        <w:rPr>
          <w:color w:val="231F20"/>
        </w:rPr>
        <w:t>on page 34.</w:t>
      </w:r>
      <w:r>
        <w:rPr/>
      </w:r>
    </w:p>
    <w:p>
      <w:pPr>
        <w:spacing w:line="240" w:lineRule="auto" w:before="0"/>
        <w:rPr>
          <w:rFonts w:ascii="Swis721 Lt BT" w:hAnsi="Swis721 Lt BT" w:cs="Swis721 Lt BT" w:eastAsia="Swis721 Lt BT"/>
          <w:sz w:val="18"/>
          <w:szCs w:val="18"/>
        </w:rPr>
      </w:pPr>
    </w:p>
    <w:p>
      <w:pPr>
        <w:pStyle w:val="Heading8"/>
        <w:spacing w:line="240" w:lineRule="auto"/>
        <w:ind w:left="113" w:right="0"/>
        <w:jc w:val="left"/>
      </w:pPr>
      <w:r>
        <w:rPr>
          <w:color w:val="00757A"/>
        </w:rPr>
        <w:t>Board committees</w:t>
      </w:r>
      <w:r>
        <w:rPr/>
      </w:r>
    </w:p>
    <w:p>
      <w:pPr>
        <w:pStyle w:val="BodyText"/>
        <w:spacing w:line="240" w:lineRule="auto" w:before="106"/>
        <w:ind w:left="113" w:right="143"/>
        <w:jc w:val="left"/>
      </w:pPr>
      <w:r>
        <w:rPr>
          <w:color w:val="231F20"/>
          <w:spacing w:val="-13"/>
        </w:rPr>
        <w:t>To</w:t>
      </w:r>
      <w:r>
        <w:rPr>
          <w:color w:val="231F20"/>
        </w:rPr>
        <w:t> assist in the performance of its</w:t>
      </w:r>
      <w:r>
        <w:rPr>
          <w:color w:val="231F20"/>
          <w:spacing w:val="20"/>
        </w:rPr>
        <w:t> </w:t>
      </w:r>
      <w:r>
        <w:rPr>
          <w:color w:val="231F20"/>
        </w:rPr>
        <w:t>responsibilities, the Board currently has</w:t>
      </w:r>
      <w:r>
        <w:rPr>
          <w:color w:val="231F20"/>
        </w:rPr>
        <w:t> three committees, each governed by a formal charter setting out its purpose, role, responsibilities, composition, structure and membership. Each committee charter is reviewed annually by the committee and any proposed changes must be approved by the</w:t>
      </w:r>
      <w:r>
        <w:rPr/>
      </w:r>
    </w:p>
    <w:p>
      <w:pPr>
        <w:pStyle w:val="BodyText"/>
        <w:spacing w:line="240" w:lineRule="auto" w:before="0"/>
        <w:ind w:left="113" w:right="0"/>
        <w:jc w:val="left"/>
      </w:pPr>
      <w:r>
        <w:rPr>
          <w:color w:val="231F20"/>
        </w:rPr>
        <w:t>Board. Each committee is chaired by an AITSL </w:t>
      </w:r>
      <w:r>
        <w:rPr>
          <w:color w:val="231F20"/>
          <w:spacing w:val="-2"/>
        </w:rPr>
        <w:t>Director,</w:t>
      </w:r>
      <w:r>
        <w:rPr>
          <w:color w:val="231F20"/>
        </w:rPr>
        <w:t> who provides an oral or written report</w:t>
      </w:r>
      <w:r>
        <w:rPr>
          <w:color w:val="231F20"/>
          <w:spacing w:val="20"/>
        </w:rPr>
        <w:t> </w:t>
      </w:r>
      <w:r>
        <w:rPr>
          <w:color w:val="231F20"/>
        </w:rPr>
        <w:t>to the Board outlining the matters considered</w:t>
      </w:r>
      <w:r>
        <w:rPr>
          <w:color w:val="231F20"/>
        </w:rPr>
        <w:t> and any actions taken at their committee meeting.</w:t>
      </w:r>
      <w:r>
        <w:rPr/>
      </w:r>
    </w:p>
    <w:p>
      <w:pPr>
        <w:pStyle w:val="BodyText"/>
        <w:spacing w:line="240" w:lineRule="auto"/>
        <w:ind w:left="113" w:right="422"/>
        <w:jc w:val="left"/>
      </w:pPr>
      <w:r>
        <w:rPr>
          <w:color w:val="231F20"/>
        </w:rPr>
        <w:t>The three committees of the Board are the Audit and Risk Committee, Finance</w:t>
      </w:r>
      <w:r>
        <w:rPr/>
      </w:r>
    </w:p>
    <w:p>
      <w:pPr>
        <w:pStyle w:val="BodyText"/>
        <w:spacing w:line="240" w:lineRule="auto" w:before="0"/>
        <w:ind w:left="113" w:right="0"/>
        <w:jc w:val="left"/>
      </w:pPr>
      <w:r>
        <w:rPr>
          <w:color w:val="231F20"/>
        </w:rPr>
        <w:t>Committee and Remuneration Committee.</w:t>
      </w:r>
      <w:r>
        <w:rPr/>
      </w:r>
    </w:p>
    <w:p>
      <w:pPr>
        <w:spacing w:line="240" w:lineRule="auto" w:before="11"/>
        <w:rPr>
          <w:rFonts w:ascii="Swis721 Lt BT" w:hAnsi="Swis721 Lt BT" w:cs="Swis721 Lt BT" w:eastAsia="Swis721 Lt BT"/>
          <w:sz w:val="17"/>
          <w:szCs w:val="17"/>
        </w:rPr>
      </w:pPr>
    </w:p>
    <w:p>
      <w:pPr>
        <w:pStyle w:val="BodyText"/>
        <w:spacing w:line="240" w:lineRule="auto" w:before="0"/>
        <w:ind w:left="113" w:right="0"/>
        <w:jc w:val="left"/>
        <w:rPr>
          <w:rFonts w:ascii="Swis721 Md BT" w:hAnsi="Swis721 Md BT" w:cs="Swis721 Md BT" w:eastAsia="Swis721 Md BT"/>
        </w:rPr>
      </w:pPr>
      <w:r>
        <w:rPr>
          <w:rFonts w:ascii="Swis721 Md BT"/>
          <w:color w:val="303B41"/>
        </w:rPr>
        <w:t>Audit and Risk Committee</w:t>
      </w:r>
      <w:r>
        <w:rPr>
          <w:rFonts w:ascii="Swis721 Md BT"/>
        </w:rPr>
      </w:r>
    </w:p>
    <w:p>
      <w:pPr>
        <w:pStyle w:val="BodyText"/>
        <w:spacing w:line="240" w:lineRule="auto"/>
        <w:ind w:left="113" w:right="245"/>
        <w:jc w:val="left"/>
      </w:pPr>
      <w:r>
        <w:rPr>
          <w:color w:val="231F20"/>
        </w:rPr>
        <w:t>The primary objectives of the Audit and Risk Committee are to provide independent assurance and assistance to the Board</w:t>
      </w:r>
      <w:r>
        <w:rPr/>
      </w:r>
    </w:p>
    <w:p>
      <w:pPr>
        <w:spacing w:before="0"/>
        <w:ind w:left="113" w:right="419"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of Directors on AITSL’s risk control and compliance</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framework</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and to</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fulfil</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the</w:t>
      </w:r>
      <w:r>
        <w:rPr>
          <w:rFonts w:ascii="Swis721 Lt BT" w:hAnsi="Swis721 Lt BT" w:cs="Swis721 Lt BT" w:eastAsia="Swis721 Lt BT"/>
          <w:color w:val="231F20"/>
          <w:sz w:val="19"/>
          <w:szCs w:val="19"/>
        </w:rPr>
        <w:t> functions required under section 92 of the </w:t>
      </w:r>
      <w:r>
        <w:rPr>
          <w:rFonts w:ascii="Swis721 Lt BT" w:hAnsi="Swis721 Lt BT" w:cs="Swis721 Lt BT" w:eastAsia="Swis721 Lt BT"/>
          <w:i/>
          <w:color w:val="231F20"/>
          <w:sz w:val="19"/>
          <w:szCs w:val="19"/>
        </w:rPr>
        <w:t>Public Governance, Performance and</w:t>
      </w:r>
      <w:r>
        <w:rPr>
          <w:rFonts w:ascii="Swis721 Lt BT" w:hAnsi="Swis721 Lt BT" w:cs="Swis721 Lt BT" w:eastAsia="Swis721 Lt BT"/>
          <w:i/>
          <w:color w:val="231F20"/>
          <w:spacing w:val="22"/>
          <w:sz w:val="19"/>
          <w:szCs w:val="19"/>
        </w:rPr>
        <w:t> </w:t>
      </w:r>
      <w:r>
        <w:rPr>
          <w:rFonts w:ascii="Swis721 Lt BT" w:hAnsi="Swis721 Lt BT" w:cs="Swis721 Lt BT" w:eastAsia="Swis721 Lt BT"/>
          <w:i/>
          <w:color w:val="231F20"/>
          <w:sz w:val="19"/>
          <w:szCs w:val="19"/>
        </w:rPr>
        <w:t>Accountability Act 2013</w:t>
      </w:r>
      <w:r>
        <w:rPr>
          <w:rFonts w:ascii="Swis721 Lt BT" w:hAnsi="Swis721 Lt BT" w:cs="Swis721 Lt BT" w:eastAsia="Swis721 Lt BT"/>
          <w:color w:val="231F20"/>
          <w:sz w:val="19"/>
          <w:szCs w:val="19"/>
        </w:rPr>
        <w:t>. The Committee’s</w:t>
      </w:r>
      <w:r>
        <w:rPr>
          <w:rFonts w:ascii="Swis721 Lt BT" w:hAnsi="Swis721 Lt BT" w:cs="Swis721 Lt BT" w:eastAsia="Swis721 Lt BT"/>
          <w:color w:val="231F20"/>
          <w:sz w:val="19"/>
          <w:szCs w:val="19"/>
        </w:rPr>
        <w:t> charter outlines its composition, purpose,</w:t>
      </w:r>
      <w:r>
        <w:rPr>
          <w:rFonts w:ascii="Swis721 Lt BT" w:hAnsi="Swis721 Lt BT" w:cs="Swis721 Lt BT" w:eastAsia="Swis721 Lt BT"/>
          <w:sz w:val="19"/>
          <w:szCs w:val="19"/>
        </w:rPr>
      </w:r>
    </w:p>
    <w:p>
      <w:pPr>
        <w:pStyle w:val="BodyText"/>
        <w:spacing w:line="240" w:lineRule="auto" w:before="0"/>
        <w:ind w:left="113" w:right="0"/>
        <w:jc w:val="left"/>
      </w:pPr>
      <w:r>
        <w:rPr>
          <w:color w:val="231F20"/>
        </w:rPr>
        <w:t>role and responsibilities, and reporting and administrative arrangements.</w:t>
      </w:r>
      <w:r>
        <w:rPr/>
      </w:r>
    </w:p>
    <w:p>
      <w:pPr>
        <w:pStyle w:val="BodyText"/>
        <w:spacing w:line="240" w:lineRule="auto" w:before="69"/>
        <w:ind w:left="113" w:right="0"/>
        <w:jc w:val="left"/>
        <w:rPr>
          <w:rFonts w:ascii="Swis721 Md BT" w:hAnsi="Swis721 Md BT" w:cs="Swis721 Md BT" w:eastAsia="Swis721 Md BT"/>
        </w:rPr>
      </w:pPr>
      <w:r>
        <w:rPr/>
        <w:br w:type="column"/>
      </w:r>
      <w:r>
        <w:rPr>
          <w:rFonts w:ascii="Swis721 Md BT"/>
          <w:color w:val="303B41"/>
        </w:rPr>
        <w:t>Finance Committee</w:t>
      </w:r>
      <w:r>
        <w:rPr>
          <w:rFonts w:ascii="Swis721 Md BT"/>
        </w:rPr>
      </w:r>
    </w:p>
    <w:p>
      <w:pPr>
        <w:spacing w:before="113"/>
        <w:ind w:left="113" w:right="86"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The primary objective of the Finance Committee is to assist the Board in its responsibilities</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for</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financial</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oversight</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and</w:t>
      </w:r>
      <w:r>
        <w:rPr>
          <w:rFonts w:ascii="Swis721 Lt BT" w:hAnsi="Swis721 Lt BT" w:cs="Swis721 Lt BT" w:eastAsia="Swis721 Lt BT"/>
          <w:color w:val="231F20"/>
          <w:sz w:val="19"/>
          <w:szCs w:val="19"/>
        </w:rPr>
        <w:t> accountability of the company under the </w:t>
      </w:r>
      <w:r>
        <w:rPr>
          <w:rFonts w:ascii="Swis721 Lt BT" w:hAnsi="Swis721 Lt BT" w:cs="Swis721 Lt BT" w:eastAsia="Swis721 Lt BT"/>
          <w:i/>
          <w:color w:val="231F20"/>
          <w:sz w:val="19"/>
          <w:szCs w:val="19"/>
        </w:rPr>
        <w:t>Corporations Act 2001 </w:t>
      </w:r>
      <w:r>
        <w:rPr>
          <w:rFonts w:ascii="Swis721 Lt BT" w:hAnsi="Swis721 Lt BT" w:cs="Swis721 Lt BT" w:eastAsia="Swis721 Lt BT"/>
          <w:color w:val="231F20"/>
          <w:sz w:val="19"/>
          <w:szCs w:val="19"/>
        </w:rPr>
        <w:t>and </w:t>
      </w:r>
      <w:r>
        <w:rPr>
          <w:rFonts w:ascii="Swis721 Lt BT" w:hAnsi="Swis721 Lt BT" w:cs="Swis721 Lt BT" w:eastAsia="Swis721 Lt BT"/>
          <w:i/>
          <w:color w:val="231F20"/>
          <w:sz w:val="19"/>
          <w:szCs w:val="19"/>
        </w:rPr>
        <w:t>Public Governance,</w:t>
      </w:r>
      <w:r>
        <w:rPr>
          <w:rFonts w:ascii="Swis721 Lt BT" w:hAnsi="Swis721 Lt BT" w:cs="Swis721 Lt BT" w:eastAsia="Swis721 Lt BT"/>
          <w:i/>
          <w:color w:val="231F20"/>
          <w:spacing w:val="21"/>
          <w:sz w:val="19"/>
          <w:szCs w:val="19"/>
        </w:rPr>
        <w:t> </w:t>
      </w:r>
      <w:r>
        <w:rPr>
          <w:rFonts w:ascii="Swis721 Lt BT" w:hAnsi="Swis721 Lt BT" w:cs="Swis721 Lt BT" w:eastAsia="Swis721 Lt BT"/>
          <w:i/>
          <w:color w:val="231F20"/>
          <w:sz w:val="19"/>
          <w:szCs w:val="19"/>
        </w:rPr>
        <w:t>Performance and Accountability Act 2013</w:t>
      </w:r>
      <w:r>
        <w:rPr>
          <w:rFonts w:ascii="Swis721 Lt BT" w:hAnsi="Swis721 Lt BT" w:cs="Swis721 Lt BT" w:eastAsia="Swis721 Lt BT"/>
          <w:color w:val="231F20"/>
          <w:sz w:val="19"/>
          <w:szCs w:val="19"/>
        </w:rPr>
        <w:t>. The</w:t>
      </w:r>
      <w:r>
        <w:rPr>
          <w:rFonts w:ascii="Swis721 Lt BT" w:hAnsi="Swis721 Lt BT" w:cs="Swis721 Lt BT" w:eastAsia="Swis721 Lt BT"/>
          <w:color w:val="231F20"/>
          <w:spacing w:val="21"/>
          <w:sz w:val="19"/>
          <w:szCs w:val="19"/>
        </w:rPr>
        <w:t> </w:t>
      </w:r>
      <w:r>
        <w:rPr>
          <w:rFonts w:ascii="Swis721 Lt BT" w:hAnsi="Swis721 Lt BT" w:cs="Swis721 Lt BT" w:eastAsia="Swis721 Lt BT"/>
          <w:color w:val="231F20"/>
          <w:sz w:val="19"/>
          <w:szCs w:val="19"/>
        </w:rPr>
        <w:t>Committee’s charter outlines its composition,</w:t>
      </w:r>
      <w:r>
        <w:rPr>
          <w:rFonts w:ascii="Swis721 Lt BT" w:hAnsi="Swis721 Lt BT" w:cs="Swis721 Lt BT" w:eastAsia="Swis721 Lt BT"/>
          <w:color w:val="231F20"/>
          <w:sz w:val="19"/>
          <w:szCs w:val="19"/>
        </w:rPr>
        <w:t> purpose, role and responsibilities, and reporting and administrative arrangements.</w:t>
      </w:r>
      <w:r>
        <w:rPr>
          <w:rFonts w:ascii="Swis721 Lt BT" w:hAnsi="Swis721 Lt BT" w:cs="Swis721 Lt BT" w:eastAsia="Swis721 Lt BT"/>
          <w:sz w:val="19"/>
          <w:szCs w:val="19"/>
        </w:rPr>
      </w:r>
    </w:p>
    <w:p>
      <w:pPr>
        <w:spacing w:line="240" w:lineRule="auto" w:before="11"/>
        <w:rPr>
          <w:rFonts w:ascii="Swis721 Lt BT" w:hAnsi="Swis721 Lt BT" w:cs="Swis721 Lt BT" w:eastAsia="Swis721 Lt BT"/>
          <w:sz w:val="17"/>
          <w:szCs w:val="17"/>
        </w:rPr>
      </w:pPr>
    </w:p>
    <w:p>
      <w:pPr>
        <w:pStyle w:val="BodyText"/>
        <w:spacing w:line="240" w:lineRule="auto" w:before="0"/>
        <w:ind w:left="113" w:right="0"/>
        <w:jc w:val="left"/>
        <w:rPr>
          <w:rFonts w:ascii="Swis721 Md BT" w:hAnsi="Swis721 Md BT" w:cs="Swis721 Md BT" w:eastAsia="Swis721 Md BT"/>
        </w:rPr>
      </w:pPr>
      <w:r>
        <w:rPr>
          <w:rFonts w:ascii="Swis721 Md BT"/>
          <w:color w:val="303B41"/>
        </w:rPr>
        <w:t>Remuneration Committee</w:t>
      </w:r>
      <w:r>
        <w:rPr>
          <w:rFonts w:ascii="Swis721 Md BT"/>
        </w:rPr>
      </w:r>
    </w:p>
    <w:p>
      <w:pPr>
        <w:pStyle w:val="BodyText"/>
        <w:spacing w:line="240" w:lineRule="auto"/>
        <w:ind w:left="113" w:right="121"/>
        <w:jc w:val="left"/>
      </w:pPr>
      <w:r>
        <w:rPr>
          <w:color w:val="231F20"/>
        </w:rPr>
        <w:t>The Remuneration Committee advises the Board of Directors on the </w:t>
      </w:r>
      <w:r>
        <w:rPr>
          <w:color w:val="231F20"/>
          <w:spacing w:val="-3"/>
        </w:rPr>
        <w:t>salary,</w:t>
      </w:r>
      <w:r>
        <w:rPr>
          <w:color w:val="231F20"/>
        </w:rPr>
        <w:t> conditions</w:t>
      </w:r>
      <w:r>
        <w:rPr>
          <w:color w:val="231F20"/>
          <w:spacing w:val="26"/>
        </w:rPr>
        <w:t> </w:t>
      </w:r>
      <w:r>
        <w:rPr>
          <w:color w:val="231F20"/>
        </w:rPr>
        <w:t>and performance of the </w:t>
      </w:r>
      <w:r>
        <w:rPr>
          <w:color w:val="231F20"/>
          <w:spacing w:val="-2"/>
        </w:rPr>
        <w:t>CEO.</w:t>
      </w:r>
      <w:r>
        <w:rPr/>
      </w:r>
    </w:p>
    <w:p>
      <w:pPr>
        <w:pStyle w:val="BodyText"/>
        <w:spacing w:line="240" w:lineRule="auto"/>
        <w:ind w:left="113" w:right="296"/>
        <w:jc w:val="left"/>
      </w:pPr>
      <w:r>
        <w:rPr>
          <w:color w:val="231F20"/>
        </w:rPr>
        <w:t>Details of AITSL’s other committees and consultation groups are available on pages 71 to 77 of this annual report.</w:t>
      </w:r>
      <w:r>
        <w:rPr/>
      </w:r>
    </w:p>
    <w:p>
      <w:pPr>
        <w:spacing w:line="240" w:lineRule="auto" w:before="0"/>
        <w:rPr>
          <w:rFonts w:ascii="Swis721 Lt BT" w:hAnsi="Swis721 Lt BT" w:cs="Swis721 Lt BT" w:eastAsia="Swis721 Lt BT"/>
          <w:sz w:val="18"/>
          <w:szCs w:val="18"/>
        </w:rPr>
      </w:pPr>
    </w:p>
    <w:p>
      <w:pPr>
        <w:pStyle w:val="Heading8"/>
        <w:spacing w:line="260" w:lineRule="exact" w:before="131"/>
        <w:ind w:left="113" w:right="121"/>
        <w:jc w:val="left"/>
      </w:pPr>
      <w:r>
        <w:rPr>
          <w:color w:val="00757A"/>
          <w:spacing w:val="-2"/>
        </w:rPr>
        <w:t>Key</w:t>
      </w:r>
      <w:r>
        <w:rPr>
          <w:color w:val="00757A"/>
        </w:rPr>
        <w:t> Management </w:t>
      </w:r>
      <w:r>
        <w:rPr>
          <w:color w:val="00757A"/>
          <w:spacing w:val="-1"/>
        </w:rPr>
        <w:t>Personnel</w:t>
      </w:r>
      <w:r>
        <w:rPr>
          <w:color w:val="00757A"/>
          <w:spacing w:val="25"/>
        </w:rPr>
        <w:t> </w:t>
      </w:r>
      <w:r>
        <w:rPr>
          <w:color w:val="00757A"/>
        </w:rPr>
        <w:t>Remuneration</w:t>
      </w:r>
      <w:r>
        <w:rPr/>
      </w:r>
    </w:p>
    <w:p>
      <w:pPr>
        <w:pStyle w:val="BodyText"/>
        <w:spacing w:line="240" w:lineRule="auto" w:before="106"/>
        <w:ind w:left="113" w:right="296"/>
        <w:jc w:val="left"/>
      </w:pPr>
      <w:r>
        <w:rPr>
          <w:color w:val="231F20"/>
          <w:spacing w:val="-2"/>
        </w:rPr>
        <w:t>Key</w:t>
      </w:r>
      <w:r>
        <w:rPr>
          <w:color w:val="231F20"/>
        </w:rPr>
        <w:t> management personnel are those</w:t>
      </w:r>
      <w:r>
        <w:rPr>
          <w:color w:val="231F20"/>
          <w:spacing w:val="22"/>
        </w:rPr>
        <w:t> </w:t>
      </w:r>
      <w:r>
        <w:rPr>
          <w:color w:val="231F20"/>
        </w:rPr>
        <w:t>persons having authority and responsibility</w:t>
      </w:r>
      <w:r>
        <w:rPr>
          <w:color w:val="231F20"/>
        </w:rPr>
        <w:t> for planning, directing and controlling the activities of the AITSL, directly or </w:t>
      </w:r>
      <w:r>
        <w:rPr>
          <w:color w:val="231F20"/>
          <w:spacing w:val="-2"/>
        </w:rPr>
        <w:t>indirectly,</w:t>
      </w:r>
      <w:r>
        <w:rPr>
          <w:color w:val="231F20"/>
          <w:spacing w:val="24"/>
        </w:rPr>
        <w:t> </w:t>
      </w:r>
      <w:r>
        <w:rPr>
          <w:color w:val="231F20"/>
        </w:rPr>
        <w:t>including any Director of AITSL.</w:t>
      </w:r>
      <w:r>
        <w:rPr/>
      </w:r>
    </w:p>
    <w:p>
      <w:pPr>
        <w:pStyle w:val="BodyText"/>
        <w:spacing w:line="240" w:lineRule="auto"/>
        <w:ind w:left="113" w:right="406"/>
        <w:jc w:val="left"/>
      </w:pPr>
      <w:r>
        <w:rPr>
          <w:color w:val="231F20"/>
        </w:rPr>
        <w:t>The number of key management personnel that are included in the following table are 5 Executive Managers and 9 </w:t>
      </w:r>
      <w:r>
        <w:rPr>
          <w:color w:val="231F20"/>
          <w:spacing w:val="-1"/>
        </w:rPr>
        <w:t>part-time</w:t>
      </w:r>
      <w:r>
        <w:rPr/>
      </w:r>
    </w:p>
    <w:p>
      <w:pPr>
        <w:pStyle w:val="BodyText"/>
        <w:spacing w:line="240" w:lineRule="auto" w:before="0"/>
        <w:ind w:left="113" w:right="0"/>
        <w:jc w:val="left"/>
      </w:pPr>
      <w:r>
        <w:rPr>
          <w:color w:val="231F20"/>
        </w:rPr>
        <w:t>Directors (2018: 7 Executive Managers and</w:t>
      </w:r>
      <w:r>
        <w:rPr/>
      </w:r>
    </w:p>
    <w:p>
      <w:pPr>
        <w:pStyle w:val="BodyText"/>
        <w:spacing w:line="240" w:lineRule="auto" w:before="0"/>
        <w:ind w:left="113" w:right="0"/>
        <w:jc w:val="left"/>
      </w:pPr>
      <w:r>
        <w:rPr>
          <w:color w:val="231F20"/>
        </w:rPr>
        <w:t>12 </w:t>
      </w:r>
      <w:r>
        <w:rPr>
          <w:color w:val="231F20"/>
          <w:spacing w:val="-1"/>
        </w:rPr>
        <w:t>part-time</w:t>
      </w:r>
      <w:r>
        <w:rPr>
          <w:color w:val="231F20"/>
        </w:rPr>
        <w:t> Directors).</w:t>
      </w:r>
      <w:r>
        <w:rPr/>
      </w:r>
    </w:p>
    <w:p>
      <w:pPr>
        <w:pStyle w:val="BodyText"/>
        <w:spacing w:line="240" w:lineRule="auto"/>
        <w:ind w:left="113" w:right="296"/>
        <w:jc w:val="left"/>
      </w:pPr>
      <w:r>
        <w:rPr>
          <w:color w:val="231F20"/>
        </w:rPr>
        <w:t>The remuneration of the Deputy Chief Executive</w:t>
      </w:r>
      <w:r>
        <w:rPr>
          <w:color w:val="231F20"/>
          <w:spacing w:val="-2"/>
        </w:rPr>
        <w:t> </w:t>
      </w:r>
      <w:r>
        <w:rPr>
          <w:color w:val="231F20"/>
        </w:rPr>
        <w:t>Officer</w:t>
      </w:r>
      <w:r>
        <w:rPr>
          <w:color w:val="231F20"/>
          <w:spacing w:val="-1"/>
        </w:rPr>
        <w:t> </w:t>
      </w:r>
      <w:r>
        <w:rPr>
          <w:color w:val="231F20"/>
        </w:rPr>
        <w:t>includes</w:t>
      </w:r>
      <w:r>
        <w:rPr>
          <w:color w:val="231F20"/>
          <w:spacing w:val="-2"/>
        </w:rPr>
        <w:t> </w:t>
      </w:r>
      <w:r>
        <w:rPr>
          <w:color w:val="231F20"/>
        </w:rPr>
        <w:t>a</w:t>
      </w:r>
      <w:r>
        <w:rPr>
          <w:color w:val="231F20"/>
          <w:spacing w:val="-1"/>
        </w:rPr>
        <w:t> </w:t>
      </w:r>
      <w:r>
        <w:rPr>
          <w:color w:val="231F20"/>
        </w:rPr>
        <w:t>three-month</w:t>
      </w:r>
      <w:r>
        <w:rPr>
          <w:color w:val="231F20"/>
        </w:rPr>
        <w:t> period during which he performed the role of</w:t>
      </w:r>
      <w:r>
        <w:rPr>
          <w:color w:val="231F20"/>
          <w:spacing w:val="-1"/>
        </w:rPr>
        <w:t> </w:t>
      </w:r>
      <w:r>
        <w:rPr>
          <w:color w:val="231F20"/>
        </w:rPr>
        <w:t>Acting</w:t>
      </w:r>
      <w:r>
        <w:rPr>
          <w:color w:val="231F20"/>
          <w:spacing w:val="-1"/>
        </w:rPr>
        <w:t> </w:t>
      </w:r>
      <w:r>
        <w:rPr>
          <w:color w:val="231F20"/>
        </w:rPr>
        <w:t>Chief</w:t>
      </w:r>
      <w:r>
        <w:rPr>
          <w:color w:val="231F20"/>
          <w:spacing w:val="-1"/>
        </w:rPr>
        <w:t> </w:t>
      </w:r>
      <w:r>
        <w:rPr>
          <w:color w:val="231F20"/>
        </w:rPr>
        <w:t>Executive</w:t>
      </w:r>
      <w:r>
        <w:rPr>
          <w:color w:val="231F20"/>
          <w:spacing w:val="-1"/>
        </w:rPr>
        <w:t> </w:t>
      </w:r>
      <w:r>
        <w:rPr>
          <w:color w:val="231F20"/>
          <w:spacing w:val="-3"/>
        </w:rPr>
        <w:t>Officer.</w:t>
      </w:r>
      <w:r>
        <w:rPr>
          <w:color w:val="231F20"/>
          <w:spacing w:val="-1"/>
        </w:rPr>
        <w:t> </w:t>
      </w:r>
      <w:r>
        <w:rPr>
          <w:color w:val="231F20"/>
        </w:rPr>
        <w:t>That</w:t>
      </w:r>
      <w:r>
        <w:rPr>
          <w:color w:val="231F20"/>
          <w:spacing w:val="-1"/>
        </w:rPr>
        <w:t> </w:t>
      </w:r>
      <w:r>
        <w:rPr>
          <w:color w:val="231F20"/>
        </w:rPr>
        <w:t>period</w:t>
      </w:r>
      <w:r>
        <w:rPr>
          <w:color w:val="231F20"/>
          <w:spacing w:val="26"/>
        </w:rPr>
        <w:t> </w:t>
      </w:r>
      <w:r>
        <w:rPr>
          <w:color w:val="231F20"/>
        </w:rPr>
        <w:t>extended from the termination date of the</w:t>
      </w:r>
      <w:r>
        <w:rPr/>
      </w:r>
    </w:p>
    <w:p>
      <w:pPr>
        <w:pStyle w:val="BodyText"/>
        <w:spacing w:line="240" w:lineRule="auto" w:before="0"/>
        <w:ind w:left="113" w:right="121"/>
        <w:jc w:val="left"/>
      </w:pPr>
      <w:r>
        <w:rPr>
          <w:color w:val="231F20"/>
        </w:rPr>
        <w:t>former</w:t>
      </w:r>
      <w:r>
        <w:rPr>
          <w:color w:val="231F20"/>
          <w:spacing w:val="-1"/>
        </w:rPr>
        <w:t> </w:t>
      </w:r>
      <w:r>
        <w:rPr>
          <w:color w:val="231F20"/>
        </w:rPr>
        <w:t>Chief</w:t>
      </w:r>
      <w:r>
        <w:rPr>
          <w:color w:val="231F20"/>
          <w:spacing w:val="-1"/>
        </w:rPr>
        <w:t> </w:t>
      </w:r>
      <w:r>
        <w:rPr>
          <w:color w:val="231F20"/>
        </w:rPr>
        <w:t>Executive</w:t>
      </w:r>
      <w:r>
        <w:rPr>
          <w:color w:val="231F20"/>
          <w:spacing w:val="-1"/>
        </w:rPr>
        <w:t> </w:t>
      </w:r>
      <w:r>
        <w:rPr>
          <w:color w:val="231F20"/>
        </w:rPr>
        <w:t>Officer</w:t>
      </w:r>
      <w:r>
        <w:rPr>
          <w:color w:val="231F20"/>
          <w:spacing w:val="-1"/>
        </w:rPr>
        <w:t> </w:t>
      </w:r>
      <w:r>
        <w:rPr>
          <w:color w:val="231F20"/>
        </w:rPr>
        <w:t>in</w:t>
      </w:r>
      <w:r>
        <w:rPr>
          <w:color w:val="231F20"/>
          <w:spacing w:val="-1"/>
        </w:rPr>
        <w:t> </w:t>
      </w:r>
      <w:r>
        <w:rPr>
          <w:color w:val="231F20"/>
        </w:rPr>
        <w:t>January</w:t>
      </w:r>
      <w:r>
        <w:rPr>
          <w:color w:val="231F20"/>
          <w:spacing w:val="-1"/>
        </w:rPr>
        <w:t> </w:t>
      </w:r>
      <w:r>
        <w:rPr>
          <w:color w:val="231F20"/>
        </w:rPr>
        <w:t>2019</w:t>
      </w:r>
      <w:r>
        <w:rPr>
          <w:color w:val="231F20"/>
        </w:rPr>
        <w:t> until the appointment of the current Chief Executive</w:t>
      </w:r>
      <w:r>
        <w:rPr>
          <w:color w:val="231F20"/>
          <w:spacing w:val="-2"/>
        </w:rPr>
        <w:t> </w:t>
      </w:r>
      <w:r>
        <w:rPr>
          <w:color w:val="231F20"/>
        </w:rPr>
        <w:t>Officer</w:t>
      </w:r>
      <w:r>
        <w:rPr>
          <w:color w:val="231F20"/>
          <w:spacing w:val="-1"/>
        </w:rPr>
        <w:t> </w:t>
      </w:r>
      <w:r>
        <w:rPr>
          <w:color w:val="231F20"/>
        </w:rPr>
        <w:t>in</w:t>
      </w:r>
      <w:r>
        <w:rPr>
          <w:color w:val="231F20"/>
          <w:spacing w:val="-2"/>
        </w:rPr>
        <w:t> </w:t>
      </w:r>
      <w:r>
        <w:rPr>
          <w:color w:val="231F20"/>
        </w:rPr>
        <w:t>April</w:t>
      </w:r>
      <w:r>
        <w:rPr>
          <w:color w:val="231F20"/>
          <w:spacing w:val="-1"/>
        </w:rPr>
        <w:t> </w:t>
      </w:r>
      <w:r>
        <w:rPr>
          <w:color w:val="231F20"/>
        </w:rPr>
        <w:t>2019.</w:t>
      </w:r>
      <w:r>
        <w:rPr/>
      </w:r>
    </w:p>
    <w:p>
      <w:pPr>
        <w:spacing w:after="0" w:line="240" w:lineRule="auto"/>
        <w:jc w:val="left"/>
        <w:sectPr>
          <w:type w:val="continuous"/>
          <w:pgSz w:w="9980" w:h="14180"/>
          <w:pgMar w:top="0" w:bottom="280" w:left="1020" w:right="740"/>
          <w:cols w:num="2" w:equalWidth="0">
            <w:col w:w="3922" w:space="245"/>
            <w:col w:w="4053"/>
          </w:cols>
        </w:sectPr>
      </w:pPr>
    </w:p>
    <w:p>
      <w:pPr>
        <w:spacing w:line="240" w:lineRule="auto" w:before="0"/>
        <w:rPr>
          <w:rFonts w:ascii="Swis721 Lt BT" w:hAnsi="Swis721 Lt BT" w:cs="Swis721 Lt BT" w:eastAsia="Swis721 Lt BT"/>
          <w:sz w:val="20"/>
          <w:szCs w:val="20"/>
        </w:rPr>
      </w:pPr>
      <w:r>
        <w:rPr/>
        <w:pict>
          <v:group style="position:absolute;margin-left:541.400024pt;margin-top:42.26981pt;width:82.6pt;height:73.5pt;mso-position-horizontal-relative:page;mso-position-vertical-relative:page;z-index:-182368" coordorigin="10828,845" coordsize="1652,1470">
            <v:group style="position:absolute;left:10828;top:850;width:1652;height:1460" coordorigin="10828,850" coordsize="1652,1460">
              <v:shape style="position:absolute;left:10828;top:850;width:1652;height:1460" coordorigin="10828,850" coordsize="1652,1460" path="m10828,850l10828,2309,12480,2309,12480,850,10828,850xe" filled="true" fillcolor="#bfd22b" stroked="false">
                <v:path arrowok="t"/>
                <v:fill type="solid"/>
              </v:shape>
            </v:group>
            <v:group style="position:absolute;left:11560;top:850;width:2;height:1460" coordorigin="11560,850" coordsize="2,1460">
              <v:shape style="position:absolute;left:11560;top:850;width:2;height:1460" coordorigin="11560,850" coordsize="0,1460" path="m11560,850l11560,2309e" filled="false" stroked="true" strokeweight=".5pt" strokecolor="#ffffff">
                <v:path arrowok="t"/>
              </v:shape>
              <v:shape style="position:absolute;left:10828;top:845;width:1652;height:1470" type="#_x0000_t202" filled="false" stroked="false">
                <v:textbox inset="0,0,0,0">
                  <w:txbxContent>
                    <w:p>
                      <w:pPr>
                        <w:tabs>
                          <w:tab w:pos="1254" w:val="left" w:leader="none"/>
                        </w:tabs>
                        <w:spacing w:before="49"/>
                        <w:ind w:left="216" w:right="0" w:firstLine="0"/>
                        <w:jc w:val="left"/>
                        <w:rPr>
                          <w:rFonts w:ascii="Swis721 Cn BT" w:hAnsi="Swis721 Cn BT" w:cs="Swis721 Cn BT" w:eastAsia="Swis721 Cn BT"/>
                          <w:sz w:val="18"/>
                          <w:szCs w:val="18"/>
                        </w:rPr>
                      </w:pPr>
                      <w:r>
                        <w:rPr>
                          <w:rFonts w:ascii="Swis721 Cn BT"/>
                          <w:color w:val="303B41"/>
                          <w:spacing w:val="-3"/>
                          <w:sz w:val="18"/>
                        </w:rPr>
                        <w:t>Termi-</w:t>
                        <w:tab/>
                      </w:r>
                      <w:r>
                        <w:rPr>
                          <w:rFonts w:ascii="Swis721 Cn BT"/>
                          <w:color w:val="303B41"/>
                          <w:spacing w:val="-4"/>
                          <w:sz w:val="18"/>
                        </w:rPr>
                        <w:t>Total</w:t>
                      </w:r>
                      <w:r>
                        <w:rPr>
                          <w:rFonts w:ascii="Swis721 Cn BT"/>
                          <w:sz w:val="18"/>
                        </w:rPr>
                      </w:r>
                    </w:p>
                    <w:p>
                      <w:pPr>
                        <w:tabs>
                          <w:tab w:pos="872" w:val="left" w:leader="none"/>
                        </w:tabs>
                        <w:spacing w:before="0"/>
                        <w:ind w:left="154" w:right="0" w:firstLine="0"/>
                        <w:jc w:val="center"/>
                        <w:rPr>
                          <w:rFonts w:ascii="Swis721 Cn BT" w:hAnsi="Swis721 Cn BT" w:cs="Swis721 Cn BT" w:eastAsia="Swis721 Cn BT"/>
                          <w:sz w:val="18"/>
                          <w:szCs w:val="18"/>
                        </w:rPr>
                      </w:pPr>
                      <w:r>
                        <w:rPr>
                          <w:rFonts w:ascii="Swis721 Cn BT"/>
                          <w:color w:val="303B41"/>
                          <w:sz w:val="18"/>
                        </w:rPr>
                        <w:t>nation</w:t>
                        <w:tab/>
                      </w:r>
                      <w:r>
                        <w:rPr>
                          <w:rFonts w:ascii="Swis721 Cn BT"/>
                          <w:color w:val="303B41"/>
                          <w:spacing w:val="-1"/>
                          <w:sz w:val="18"/>
                        </w:rPr>
                        <w:t>remuner-</w:t>
                      </w:r>
                      <w:r>
                        <w:rPr>
                          <w:rFonts w:ascii="Swis721 Cn BT"/>
                          <w:sz w:val="18"/>
                        </w:rPr>
                      </w:r>
                    </w:p>
                    <w:p>
                      <w:pPr>
                        <w:tabs>
                          <w:tab w:pos="1159" w:val="left" w:leader="none"/>
                        </w:tabs>
                        <w:spacing w:before="0"/>
                        <w:ind w:left="37" w:right="0" w:firstLine="0"/>
                        <w:jc w:val="center"/>
                        <w:rPr>
                          <w:rFonts w:ascii="Swis721 Cn BT" w:hAnsi="Swis721 Cn BT" w:cs="Swis721 Cn BT" w:eastAsia="Swis721 Cn BT"/>
                          <w:sz w:val="18"/>
                          <w:szCs w:val="18"/>
                        </w:rPr>
                      </w:pPr>
                      <w:r>
                        <w:rPr>
                          <w:rFonts w:ascii="Swis721 Cn BT"/>
                          <w:color w:val="303B41"/>
                          <w:w w:val="95"/>
                          <w:sz w:val="18"/>
                        </w:rPr>
                        <w:t>benefits</w:t>
                        <w:tab/>
                      </w:r>
                      <w:r>
                        <w:rPr>
                          <w:rFonts w:ascii="Swis721 Cn BT"/>
                          <w:color w:val="303B41"/>
                          <w:sz w:val="18"/>
                        </w:rPr>
                        <w:t>ation</w:t>
                      </w:r>
                      <w:r>
                        <w:rPr>
                          <w:rFonts w:ascii="Swis721 Cn BT"/>
                          <w:sz w:val="18"/>
                        </w:rPr>
                      </w:r>
                    </w:p>
                  </w:txbxContent>
                </v:textbox>
                <w10:wrap type="none"/>
              </v:shape>
            </v:group>
            <w10:wrap type="none"/>
          </v:group>
        </w:pict>
      </w:r>
      <w:r>
        <w:rPr/>
        <w:pict>
          <v:shape style="position:absolute;margin-left:655.295227pt;margin-top:41.519699pt;width:10.050pt;height:209.1pt;mso-position-horizontal-relative:page;mso-position-vertical-relative:page;z-index:3304" type="#_x0000_t202" filled="false" stroked="false">
            <v:textbox inset="0,0,0,0" style="layout-flow:vertical">
              <w:txbxContent>
                <w:p>
                  <w:pPr>
                    <w:spacing w:line="186" w:lineRule="exact" w:before="0"/>
                    <w:ind w:left="20" w:right="0" w:firstLine="0"/>
                    <w:jc w:val="left"/>
                    <w:rPr>
                      <w:rFonts w:ascii="Swis721 Lt BT" w:hAnsi="Swis721 Lt BT" w:cs="Swis721 Lt BT" w:eastAsia="Swis721 Lt BT"/>
                      <w:sz w:val="16"/>
                      <w:szCs w:val="16"/>
                    </w:rPr>
                  </w:pPr>
                  <w:r>
                    <w:rPr>
                      <w:rFonts w:ascii="Swis721 BT"/>
                      <w:b/>
                      <w:color w:val="00757A"/>
                      <w:spacing w:val="-1"/>
                      <w:sz w:val="16"/>
                    </w:rPr>
                    <w:t>CORPORATE</w:t>
                  </w:r>
                  <w:r>
                    <w:rPr>
                      <w:rFonts w:ascii="Swis721 BT"/>
                      <w:b/>
                      <w:color w:val="00757A"/>
                      <w:sz w:val="16"/>
                    </w:rPr>
                    <w:t> </w:t>
                  </w:r>
                  <w:r>
                    <w:rPr>
                      <w:rFonts w:ascii="Swis721 BT"/>
                      <w:b/>
                      <w:color w:val="00757A"/>
                      <w:spacing w:val="-1"/>
                      <w:sz w:val="16"/>
                    </w:rPr>
                    <w:t>GOVERNANCE</w:t>
                  </w:r>
                  <w:r>
                    <w:rPr>
                      <w:rFonts w:ascii="Swis721 BT"/>
                      <w:b/>
                      <w:color w:val="00757A"/>
                      <w:sz w:val="16"/>
                    </w:rPr>
                    <w:t> </w:t>
                  </w:r>
                  <w:r>
                    <w:rPr>
                      <w:rFonts w:ascii="Swis721 BT"/>
                      <w:b/>
                      <w:color w:val="00757A"/>
                      <w:spacing w:val="-2"/>
                      <w:sz w:val="16"/>
                    </w:rPr>
                    <w:t>STATEMENT</w:t>
                  </w:r>
                  <w:r>
                    <w:rPr>
                      <w:rFonts w:ascii="Swis721 BT"/>
                      <w:b/>
                      <w:color w:val="00757A"/>
                      <w:sz w:val="16"/>
                    </w:rPr>
                    <w:t> </w:t>
                  </w:r>
                  <w:r>
                    <w:rPr>
                      <w:rFonts w:ascii="Swis721 Lt BT"/>
                      <w:color w:val="00757A"/>
                      <w:sz w:val="16"/>
                    </w:rPr>
                    <w:t>CONTINUED</w:t>
                  </w:r>
                  <w:r>
                    <w:rPr>
                      <w:rFonts w:ascii="Swis721 Lt BT"/>
                      <w:sz w:val="16"/>
                    </w:rPr>
                  </w:r>
                </w:p>
              </w:txbxContent>
            </v:textbox>
            <w10:wrap type="none"/>
          </v:shape>
        </w:pict>
      </w:r>
      <w:r>
        <w:rPr/>
        <w:pict>
          <v:shape style="position:absolute;margin-left:23.598476pt;margin-top:41.519699pt;width:10pt;height:10.55pt;mso-position-horizontal-relative:page;mso-position-vertical-relative:page;z-index:3328" type="#_x0000_t202" filled="false" stroked="false">
            <v:textbox inset="0,0,0,0" style="layout-flow:vertical">
              <w:txbxContent>
                <w:p>
                  <w:pPr>
                    <w:spacing w:line="186" w:lineRule="exact" w:before="0"/>
                    <w:ind w:left="20" w:right="0" w:firstLine="0"/>
                    <w:jc w:val="left"/>
                    <w:rPr>
                      <w:rFonts w:ascii="Swis721 Lt BT" w:hAnsi="Swis721 Lt BT" w:cs="Swis721 Lt BT" w:eastAsia="Swis721 Lt BT"/>
                      <w:sz w:val="16"/>
                      <w:szCs w:val="16"/>
                    </w:rPr>
                  </w:pPr>
                  <w:r>
                    <w:rPr>
                      <w:rFonts w:ascii="Swis721 Lt BT"/>
                      <w:color w:val="231F20"/>
                      <w:sz w:val="16"/>
                    </w:rPr>
                    <w:t>34</w:t>
                  </w:r>
                  <w:r>
                    <w:rPr>
                      <w:rFonts w:ascii="Swis721 Lt BT"/>
                      <w:sz w:val="16"/>
                    </w:rPr>
                  </w:r>
                </w:p>
              </w:txbxContent>
            </v:textbox>
            <w10:wrap type="none"/>
          </v:shape>
        </w:pict>
      </w:r>
      <w:r>
        <w:rPr/>
        <w:pict>
          <v:shape style="position:absolute;margin-left:42.519001pt;margin-top:42.52pt;width:498.9pt;height:73pt;mso-position-horizontal-relative:page;mso-position-vertical-relative:page;z-index:335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4422"/>
                    <w:gridCol w:w="1006"/>
                    <w:gridCol w:w="623"/>
                    <w:gridCol w:w="1007"/>
                    <w:gridCol w:w="1064"/>
                    <w:gridCol w:w="919"/>
                    <w:gridCol w:w="936"/>
                  </w:tblGrid>
                  <w:tr>
                    <w:trPr>
                      <w:trHeight w:val="730" w:hRule="exact"/>
                    </w:trPr>
                    <w:tc>
                      <w:tcPr>
                        <w:tcW w:w="4422" w:type="dxa"/>
                        <w:tcBorders>
                          <w:top w:val="nil" w:sz="6" w:space="0" w:color="auto"/>
                          <w:left w:val="nil" w:sz="6" w:space="0" w:color="auto"/>
                          <w:bottom w:val="nil" w:sz="6" w:space="0" w:color="auto"/>
                          <w:right w:val="nil" w:sz="6" w:space="0" w:color="auto"/>
                        </w:tcBorders>
                      </w:tcPr>
                      <w:p>
                        <w:pPr/>
                      </w:p>
                    </w:tc>
                    <w:tc>
                      <w:tcPr>
                        <w:tcW w:w="2636" w:type="dxa"/>
                        <w:gridSpan w:val="3"/>
                        <w:tcBorders>
                          <w:top w:val="nil" w:sz="6" w:space="0" w:color="auto"/>
                          <w:left w:val="nil" w:sz="6" w:space="0" w:color="auto"/>
                          <w:bottom w:val="nil" w:sz="6" w:space="0" w:color="auto"/>
                          <w:right w:val="single" w:sz="4" w:space="0" w:color="FFFFFF"/>
                        </w:tcBorders>
                        <w:shd w:val="clear" w:color="auto" w:fill="BFD22B"/>
                      </w:tcPr>
                      <w:p>
                        <w:pPr>
                          <w:pStyle w:val="TableParagraph"/>
                          <w:spacing w:line="240" w:lineRule="auto" w:before="44"/>
                          <w:ind w:left="1226" w:right="0"/>
                          <w:jc w:val="left"/>
                          <w:rPr>
                            <w:rFonts w:ascii="Swis721 Cn BT" w:hAnsi="Swis721 Cn BT" w:cs="Swis721 Cn BT" w:eastAsia="Swis721 Cn BT"/>
                            <w:sz w:val="18"/>
                            <w:szCs w:val="18"/>
                          </w:rPr>
                        </w:pPr>
                        <w:r>
                          <w:rPr>
                            <w:rFonts w:ascii="Swis721 Cn BT"/>
                            <w:color w:val="303B41"/>
                            <w:spacing w:val="1"/>
                            <w:sz w:val="18"/>
                          </w:rPr>
                          <w:t>Short-term</w:t>
                        </w:r>
                        <w:r>
                          <w:rPr>
                            <w:rFonts w:ascii="Swis721 Cn BT"/>
                            <w:color w:val="303B41"/>
                            <w:spacing w:val="-6"/>
                            <w:sz w:val="18"/>
                          </w:rPr>
                          <w:t> </w:t>
                        </w:r>
                        <w:r>
                          <w:rPr>
                            <w:rFonts w:ascii="Swis721 Cn BT"/>
                            <w:color w:val="303B41"/>
                            <w:sz w:val="18"/>
                          </w:rPr>
                          <w:t>benefits</w:t>
                        </w:r>
                        <w:r>
                          <w:rPr>
                            <w:rFonts w:ascii="Swis721 Cn BT"/>
                            <w:sz w:val="18"/>
                          </w:rPr>
                        </w:r>
                      </w:p>
                    </w:tc>
                    <w:tc>
                      <w:tcPr>
                        <w:tcW w:w="1064" w:type="dxa"/>
                        <w:tcBorders>
                          <w:top w:val="nil" w:sz="6" w:space="0" w:color="auto"/>
                          <w:left w:val="single" w:sz="4" w:space="0" w:color="FFFFFF"/>
                          <w:bottom w:val="nil" w:sz="6" w:space="0" w:color="auto"/>
                          <w:right w:val="single" w:sz="4" w:space="0" w:color="FFFFFF"/>
                        </w:tcBorders>
                        <w:shd w:val="clear" w:color="auto" w:fill="BFD22B"/>
                      </w:tcPr>
                      <w:p>
                        <w:pPr>
                          <w:pStyle w:val="TableParagraph"/>
                          <w:spacing w:line="240" w:lineRule="auto" w:before="44"/>
                          <w:ind w:left="135" w:right="72" w:firstLine="483"/>
                          <w:jc w:val="left"/>
                          <w:rPr>
                            <w:rFonts w:ascii="Swis721 Cn BT" w:hAnsi="Swis721 Cn BT" w:cs="Swis721 Cn BT" w:eastAsia="Swis721 Cn BT"/>
                            <w:sz w:val="18"/>
                            <w:szCs w:val="18"/>
                          </w:rPr>
                        </w:pPr>
                        <w:r>
                          <w:rPr>
                            <w:rFonts w:ascii="Swis721 Cn BT"/>
                            <w:color w:val="303B41"/>
                            <w:spacing w:val="-2"/>
                            <w:sz w:val="18"/>
                          </w:rPr>
                          <w:t>Post-</w:t>
                        </w:r>
                        <w:r>
                          <w:rPr>
                            <w:rFonts w:ascii="Swis721 Cn BT"/>
                            <w:color w:val="303B41"/>
                            <w:spacing w:val="24"/>
                            <w:sz w:val="18"/>
                          </w:rPr>
                          <w:t> </w:t>
                        </w:r>
                        <w:r>
                          <w:rPr>
                            <w:rFonts w:ascii="Swis721 Cn BT"/>
                            <w:color w:val="303B41"/>
                            <w:sz w:val="18"/>
                          </w:rPr>
                          <w:t>employment</w:t>
                        </w:r>
                        <w:r>
                          <w:rPr>
                            <w:rFonts w:ascii="Swis721 Cn BT"/>
                            <w:sz w:val="18"/>
                          </w:rPr>
                        </w:r>
                      </w:p>
                      <w:p>
                        <w:pPr>
                          <w:pStyle w:val="TableParagraph"/>
                          <w:spacing w:line="240" w:lineRule="auto"/>
                          <w:ind w:left="444" w:right="0"/>
                          <w:jc w:val="left"/>
                          <w:rPr>
                            <w:rFonts w:ascii="Swis721 Cn BT" w:hAnsi="Swis721 Cn BT" w:cs="Swis721 Cn BT" w:eastAsia="Swis721 Cn BT"/>
                            <w:sz w:val="18"/>
                            <w:szCs w:val="18"/>
                          </w:rPr>
                        </w:pPr>
                        <w:r>
                          <w:rPr>
                            <w:rFonts w:ascii="Swis721 Cn BT"/>
                            <w:color w:val="303B41"/>
                            <w:sz w:val="18"/>
                          </w:rPr>
                          <w:t>benefits</w:t>
                        </w:r>
                        <w:r>
                          <w:rPr>
                            <w:rFonts w:ascii="Swis721 Cn BT"/>
                            <w:sz w:val="18"/>
                          </w:rPr>
                        </w:r>
                      </w:p>
                    </w:tc>
                    <w:tc>
                      <w:tcPr>
                        <w:tcW w:w="1855" w:type="dxa"/>
                        <w:gridSpan w:val="2"/>
                        <w:tcBorders>
                          <w:top w:val="nil" w:sz="6" w:space="0" w:color="auto"/>
                          <w:left w:val="single" w:sz="4" w:space="0" w:color="FFFFFF"/>
                          <w:bottom w:val="nil" w:sz="6" w:space="0" w:color="auto"/>
                          <w:right w:val="nil" w:sz="6" w:space="0" w:color="auto"/>
                        </w:tcBorders>
                        <w:shd w:val="clear" w:color="auto" w:fill="BFD22B"/>
                      </w:tcPr>
                      <w:p>
                        <w:pPr>
                          <w:pStyle w:val="TableParagraph"/>
                          <w:spacing w:line="240" w:lineRule="auto" w:before="44"/>
                          <w:ind w:left="114" w:right="0"/>
                          <w:jc w:val="left"/>
                          <w:rPr>
                            <w:rFonts w:ascii="Swis721 Cn BT" w:hAnsi="Swis721 Cn BT" w:cs="Swis721 Cn BT" w:eastAsia="Swis721 Cn BT"/>
                            <w:sz w:val="18"/>
                            <w:szCs w:val="18"/>
                          </w:rPr>
                        </w:pPr>
                        <w:r>
                          <w:rPr>
                            <w:rFonts w:ascii="Swis721 Cn BT"/>
                            <w:color w:val="303B41"/>
                            <w:sz w:val="18"/>
                          </w:rPr>
                          <w:t>Other</w:t>
                        </w:r>
                        <w:r>
                          <w:rPr>
                            <w:rFonts w:ascii="Swis721 Cn BT"/>
                            <w:color w:val="303B41"/>
                            <w:spacing w:val="-3"/>
                            <w:sz w:val="18"/>
                          </w:rPr>
                          <w:t> </w:t>
                        </w:r>
                        <w:r>
                          <w:rPr>
                            <w:rFonts w:ascii="Swis721 Cn BT"/>
                            <w:color w:val="303B41"/>
                            <w:sz w:val="18"/>
                          </w:rPr>
                          <w:t>long-term</w:t>
                        </w:r>
                        <w:r>
                          <w:rPr>
                            <w:rFonts w:ascii="Swis721 Cn BT"/>
                            <w:color w:val="303B41"/>
                            <w:spacing w:val="-3"/>
                            <w:sz w:val="18"/>
                          </w:rPr>
                          <w:t> </w:t>
                        </w:r>
                        <w:r>
                          <w:rPr>
                            <w:rFonts w:ascii="Swis721 Cn BT"/>
                            <w:color w:val="303B41"/>
                            <w:sz w:val="18"/>
                          </w:rPr>
                          <w:t>benefits</w:t>
                        </w:r>
                        <w:r>
                          <w:rPr>
                            <w:rFonts w:ascii="Swis721 Cn BT"/>
                            <w:sz w:val="18"/>
                          </w:rPr>
                        </w:r>
                      </w:p>
                    </w:tc>
                  </w:tr>
                  <w:tr>
                    <w:trPr>
                      <w:trHeight w:val="730" w:hRule="exact"/>
                    </w:trPr>
                    <w:tc>
                      <w:tcPr>
                        <w:tcW w:w="4422" w:type="dxa"/>
                        <w:tcBorders>
                          <w:top w:val="nil" w:sz="6" w:space="0" w:color="auto"/>
                          <w:left w:val="nil" w:sz="6" w:space="0" w:color="auto"/>
                          <w:bottom w:val="nil" w:sz="6" w:space="0" w:color="auto"/>
                          <w:right w:val="single" w:sz="4" w:space="0" w:color="FFFFFF"/>
                        </w:tcBorders>
                        <w:shd w:val="clear" w:color="auto" w:fill="BFD22B"/>
                      </w:tcPr>
                      <w:p>
                        <w:pPr>
                          <w:pStyle w:val="TableParagraph"/>
                          <w:tabs>
                            <w:tab w:pos="2475" w:val="left" w:leader="none"/>
                          </w:tabs>
                          <w:spacing w:line="240" w:lineRule="auto" w:before="44"/>
                          <w:ind w:left="79" w:right="0"/>
                          <w:jc w:val="left"/>
                          <w:rPr>
                            <w:rFonts w:ascii="Swis721 Cn BT" w:hAnsi="Swis721 Cn BT" w:cs="Swis721 Cn BT" w:eastAsia="Swis721 Cn BT"/>
                            <w:sz w:val="18"/>
                            <w:szCs w:val="18"/>
                          </w:rPr>
                        </w:pPr>
                        <w:r>
                          <w:rPr>
                            <w:rFonts w:ascii="Swis721 Cn BT"/>
                            <w:color w:val="303B41"/>
                            <w:sz w:val="18"/>
                          </w:rPr>
                          <w:t>Name</w:t>
                          <w:tab/>
                        </w:r>
                        <w:r>
                          <w:rPr>
                            <w:rFonts w:ascii="Swis721 Cn BT"/>
                            <w:color w:val="303B41"/>
                            <w:spacing w:val="-1"/>
                            <w:sz w:val="18"/>
                          </w:rPr>
                          <w:t>Position</w:t>
                        </w:r>
                        <w:r>
                          <w:rPr>
                            <w:rFonts w:ascii="Swis721 Cn BT"/>
                            <w:color w:val="303B41"/>
                            <w:sz w:val="18"/>
                          </w:rPr>
                          <w:t> title</w:t>
                        </w:r>
                        <w:r>
                          <w:rPr>
                            <w:rFonts w:ascii="Swis721 Cn BT"/>
                            <w:sz w:val="18"/>
                          </w:rPr>
                        </w:r>
                      </w:p>
                    </w:tc>
                    <w:tc>
                      <w:tcPr>
                        <w:tcW w:w="1006" w:type="dxa"/>
                        <w:tcBorders>
                          <w:top w:val="nil" w:sz="6" w:space="0" w:color="auto"/>
                          <w:left w:val="single" w:sz="4" w:space="0" w:color="FFFFFF"/>
                          <w:bottom w:val="nil" w:sz="6" w:space="0" w:color="auto"/>
                          <w:right w:val="single" w:sz="4" w:space="0" w:color="FFFFFF"/>
                        </w:tcBorders>
                        <w:shd w:val="clear" w:color="auto" w:fill="BFD22B"/>
                      </w:tcPr>
                      <w:p>
                        <w:pPr>
                          <w:pStyle w:val="TableParagraph"/>
                          <w:spacing w:line="240" w:lineRule="auto" w:before="44"/>
                          <w:ind w:left="124" w:right="0"/>
                          <w:jc w:val="left"/>
                          <w:rPr>
                            <w:rFonts w:ascii="Swis721 Cn BT" w:hAnsi="Swis721 Cn BT" w:cs="Swis721 Cn BT" w:eastAsia="Swis721 Cn BT"/>
                            <w:sz w:val="18"/>
                            <w:szCs w:val="18"/>
                          </w:rPr>
                        </w:pPr>
                        <w:r>
                          <w:rPr>
                            <w:rFonts w:ascii="Swis721 Cn BT"/>
                            <w:color w:val="303B41"/>
                            <w:sz w:val="18"/>
                          </w:rPr>
                          <w:t>Base sala</w:t>
                        </w:r>
                        <w:r>
                          <w:rPr>
                            <w:rFonts w:ascii="Swis721 Cn BT"/>
                            <w:color w:val="303B41"/>
                            <w:spacing w:val="6"/>
                            <w:sz w:val="18"/>
                          </w:rPr>
                          <w:t>r</w:t>
                        </w:r>
                        <w:r>
                          <w:rPr>
                            <w:rFonts w:ascii="Swis721 Cn BT"/>
                            <w:color w:val="303B41"/>
                            <w:sz w:val="18"/>
                          </w:rPr>
                          <w:t>y</w:t>
                        </w:r>
                        <w:r>
                          <w:rPr>
                            <w:rFonts w:ascii="Swis721 Cn BT"/>
                            <w:sz w:val="18"/>
                          </w:rPr>
                        </w:r>
                      </w:p>
                    </w:tc>
                    <w:tc>
                      <w:tcPr>
                        <w:tcW w:w="623" w:type="dxa"/>
                        <w:tcBorders>
                          <w:top w:val="nil" w:sz="6" w:space="0" w:color="auto"/>
                          <w:left w:val="single" w:sz="4" w:space="0" w:color="FFFFFF"/>
                          <w:bottom w:val="nil" w:sz="6" w:space="0" w:color="auto"/>
                          <w:right w:val="single" w:sz="4" w:space="0" w:color="FFFFFF"/>
                        </w:tcBorders>
                        <w:shd w:val="clear" w:color="auto" w:fill="BFD22B"/>
                      </w:tcPr>
                      <w:p>
                        <w:pPr>
                          <w:pStyle w:val="TableParagraph"/>
                          <w:spacing w:line="240" w:lineRule="auto" w:before="44"/>
                          <w:ind w:left="104" w:right="0"/>
                          <w:jc w:val="left"/>
                          <w:rPr>
                            <w:rFonts w:ascii="Swis721 Cn BT" w:hAnsi="Swis721 Cn BT" w:cs="Swis721 Cn BT" w:eastAsia="Swis721 Cn BT"/>
                            <w:sz w:val="18"/>
                            <w:szCs w:val="18"/>
                          </w:rPr>
                        </w:pPr>
                        <w:r>
                          <w:rPr>
                            <w:rFonts w:ascii="Swis721 Cn BT"/>
                            <w:color w:val="303B41"/>
                            <w:sz w:val="18"/>
                          </w:rPr>
                          <w:t>Bonus</w:t>
                        </w:r>
                        <w:r>
                          <w:rPr>
                            <w:rFonts w:ascii="Swis721 Cn BT"/>
                            <w:sz w:val="18"/>
                          </w:rPr>
                        </w:r>
                      </w:p>
                    </w:tc>
                    <w:tc>
                      <w:tcPr>
                        <w:tcW w:w="1007" w:type="dxa"/>
                        <w:tcBorders>
                          <w:top w:val="nil" w:sz="6" w:space="0" w:color="auto"/>
                          <w:left w:val="single" w:sz="4" w:space="0" w:color="FFFFFF"/>
                          <w:bottom w:val="nil" w:sz="6" w:space="0" w:color="auto"/>
                          <w:right w:val="single" w:sz="4" w:space="0" w:color="FFFFFF"/>
                        </w:tcBorders>
                        <w:shd w:val="clear" w:color="auto" w:fill="BFD22B"/>
                      </w:tcPr>
                      <w:p>
                        <w:pPr>
                          <w:pStyle w:val="TableParagraph"/>
                          <w:spacing w:line="240" w:lineRule="auto" w:before="44"/>
                          <w:ind w:left="92" w:right="73" w:firstLine="463"/>
                          <w:jc w:val="both"/>
                          <w:rPr>
                            <w:rFonts w:ascii="Swis721 Cn BT" w:hAnsi="Swis721 Cn BT" w:cs="Swis721 Cn BT" w:eastAsia="Swis721 Cn BT"/>
                            <w:sz w:val="18"/>
                            <w:szCs w:val="18"/>
                          </w:rPr>
                        </w:pPr>
                        <w:r>
                          <w:rPr>
                            <w:rFonts w:ascii="Swis721 Cn BT"/>
                            <w:color w:val="303B41"/>
                            <w:sz w:val="18"/>
                          </w:rPr>
                          <w:t>Other benefits</w:t>
                        </w:r>
                        <w:r>
                          <w:rPr>
                            <w:rFonts w:ascii="Swis721 Cn BT"/>
                            <w:color w:val="303B41"/>
                            <w:spacing w:val="-5"/>
                            <w:sz w:val="18"/>
                          </w:rPr>
                          <w:t> </w:t>
                        </w:r>
                        <w:r>
                          <w:rPr>
                            <w:rFonts w:ascii="Swis721 Cn BT"/>
                            <w:color w:val="303B41"/>
                            <w:sz w:val="18"/>
                          </w:rPr>
                          <w:t>and</w:t>
                        </w:r>
                        <w:r>
                          <w:rPr>
                            <w:rFonts w:ascii="Swis721 Cn BT"/>
                            <w:color w:val="303B41"/>
                            <w:sz w:val="18"/>
                          </w:rPr>
                          <w:t> allowances</w:t>
                        </w:r>
                        <w:r>
                          <w:rPr>
                            <w:rFonts w:ascii="Swis721 Cn BT"/>
                            <w:sz w:val="18"/>
                          </w:rPr>
                        </w:r>
                      </w:p>
                    </w:tc>
                    <w:tc>
                      <w:tcPr>
                        <w:tcW w:w="1064" w:type="dxa"/>
                        <w:tcBorders>
                          <w:top w:val="nil" w:sz="6" w:space="0" w:color="auto"/>
                          <w:left w:val="single" w:sz="4" w:space="0" w:color="FFFFFF"/>
                          <w:bottom w:val="nil" w:sz="6" w:space="0" w:color="auto"/>
                          <w:right w:val="single" w:sz="4" w:space="0" w:color="FFFFFF"/>
                        </w:tcBorders>
                        <w:shd w:val="clear" w:color="auto" w:fill="BFD22B"/>
                      </w:tcPr>
                      <w:p>
                        <w:pPr>
                          <w:pStyle w:val="TableParagraph"/>
                          <w:spacing w:line="240" w:lineRule="auto" w:before="44"/>
                          <w:ind w:left="89" w:right="72" w:firstLine="438"/>
                          <w:jc w:val="right"/>
                          <w:rPr>
                            <w:rFonts w:ascii="Swis721 Cn BT" w:hAnsi="Swis721 Cn BT" w:cs="Swis721 Cn BT" w:eastAsia="Swis721 Cn BT"/>
                            <w:sz w:val="18"/>
                            <w:szCs w:val="18"/>
                          </w:rPr>
                        </w:pPr>
                        <w:r>
                          <w:rPr>
                            <w:rFonts w:ascii="Swis721 Cn BT"/>
                            <w:color w:val="303B41"/>
                            <w:spacing w:val="-2"/>
                            <w:sz w:val="18"/>
                          </w:rPr>
                          <w:t>Super-</w:t>
                        </w:r>
                        <w:r>
                          <w:rPr>
                            <w:rFonts w:ascii="Swis721 Cn BT"/>
                            <w:color w:val="303B41"/>
                            <w:spacing w:val="25"/>
                            <w:sz w:val="18"/>
                          </w:rPr>
                          <w:t> </w:t>
                        </w:r>
                        <w:r>
                          <w:rPr>
                            <w:rFonts w:ascii="Swis721 Cn BT"/>
                            <w:color w:val="303B41"/>
                            <w:sz w:val="18"/>
                          </w:rPr>
                          <w:t>anuation</w:t>
                        </w:r>
                        <w:r>
                          <w:rPr>
                            <w:rFonts w:ascii="Swis721 Cn BT"/>
                            <w:color w:val="303B41"/>
                            <w:sz w:val="18"/>
                          </w:rPr>
                          <w:t> contributions</w:t>
                        </w:r>
                        <w:r>
                          <w:rPr>
                            <w:rFonts w:ascii="Swis721 Cn BT"/>
                            <w:sz w:val="18"/>
                          </w:rPr>
                        </w:r>
                      </w:p>
                    </w:tc>
                    <w:tc>
                      <w:tcPr>
                        <w:tcW w:w="919" w:type="dxa"/>
                        <w:tcBorders>
                          <w:top w:val="nil" w:sz="6" w:space="0" w:color="auto"/>
                          <w:left w:val="single" w:sz="4" w:space="0" w:color="FFFFFF"/>
                          <w:bottom w:val="nil" w:sz="6" w:space="0" w:color="auto"/>
                          <w:right w:val="single" w:sz="4" w:space="0" w:color="FFFFFF"/>
                        </w:tcBorders>
                        <w:shd w:val="clear" w:color="auto" w:fill="BFD22B"/>
                      </w:tcPr>
                      <w:p>
                        <w:pPr>
                          <w:pStyle w:val="TableParagraph"/>
                          <w:spacing w:line="240" w:lineRule="auto" w:before="44"/>
                          <w:ind w:left="341" w:right="73" w:firstLine="149"/>
                          <w:jc w:val="right"/>
                          <w:rPr>
                            <w:rFonts w:ascii="Swis721 Cn BT" w:hAnsi="Swis721 Cn BT" w:cs="Swis721 Cn BT" w:eastAsia="Swis721 Cn BT"/>
                            <w:sz w:val="18"/>
                            <w:szCs w:val="18"/>
                          </w:rPr>
                        </w:pPr>
                        <w:r>
                          <w:rPr>
                            <w:rFonts w:ascii="Swis721 Cn BT"/>
                            <w:color w:val="303B41"/>
                            <w:sz w:val="18"/>
                          </w:rPr>
                          <w:t>Long service</w:t>
                        </w:r>
                        <w:r>
                          <w:rPr>
                            <w:rFonts w:ascii="Swis721 Cn BT"/>
                            <w:color w:val="303B41"/>
                            <w:spacing w:val="26"/>
                            <w:sz w:val="18"/>
                          </w:rPr>
                          <w:t> </w:t>
                        </w:r>
                        <w:r>
                          <w:rPr>
                            <w:rFonts w:ascii="Swis721 Cn BT"/>
                            <w:color w:val="303B41"/>
                            <w:sz w:val="18"/>
                          </w:rPr>
                          <w:t>leave</w:t>
                        </w:r>
                        <w:r>
                          <w:rPr>
                            <w:rFonts w:ascii="Swis721 Cn BT"/>
                            <w:sz w:val="18"/>
                          </w:rPr>
                        </w:r>
                      </w:p>
                    </w:tc>
                    <w:tc>
                      <w:tcPr>
                        <w:tcW w:w="936" w:type="dxa"/>
                        <w:tcBorders>
                          <w:top w:val="nil" w:sz="6" w:space="0" w:color="auto"/>
                          <w:left w:val="single" w:sz="4" w:space="0" w:color="FFFFFF"/>
                          <w:bottom w:val="nil" w:sz="6" w:space="0" w:color="auto"/>
                          <w:right w:val="nil" w:sz="6" w:space="0" w:color="auto"/>
                        </w:tcBorders>
                        <w:shd w:val="clear" w:color="auto" w:fill="BFD22B"/>
                      </w:tcPr>
                      <w:p>
                        <w:pPr>
                          <w:pStyle w:val="TableParagraph"/>
                          <w:spacing w:line="240" w:lineRule="auto" w:before="44"/>
                          <w:ind w:left="185" w:right="78" w:firstLine="299"/>
                          <w:jc w:val="right"/>
                          <w:rPr>
                            <w:rFonts w:ascii="Swis721 Cn BT" w:hAnsi="Swis721 Cn BT" w:cs="Swis721 Cn BT" w:eastAsia="Swis721 Cn BT"/>
                            <w:sz w:val="18"/>
                            <w:szCs w:val="18"/>
                          </w:rPr>
                        </w:pPr>
                        <w:r>
                          <w:rPr>
                            <w:rFonts w:ascii="Swis721 Cn BT"/>
                            <w:color w:val="303B41"/>
                            <w:sz w:val="18"/>
                          </w:rPr>
                          <w:t>Other long-term</w:t>
                        </w:r>
                        <w:r>
                          <w:rPr>
                            <w:rFonts w:ascii="Swis721 Cn BT"/>
                            <w:color w:val="303B41"/>
                            <w:spacing w:val="23"/>
                            <w:sz w:val="18"/>
                          </w:rPr>
                          <w:t> </w:t>
                        </w:r>
                        <w:r>
                          <w:rPr>
                            <w:rFonts w:ascii="Swis721 Cn BT"/>
                            <w:color w:val="303B41"/>
                            <w:w w:val="95"/>
                            <w:sz w:val="18"/>
                          </w:rPr>
                          <w:t>benefits</w:t>
                        </w:r>
                        <w:r>
                          <w:rPr>
                            <w:rFonts w:ascii="Swis721 Cn BT"/>
                            <w:sz w:val="18"/>
                          </w:rPr>
                        </w:r>
                      </w:p>
                    </w:tc>
                  </w:tr>
                </w:tbl>
                <w:p>
                  <w:pPr/>
                </w:p>
              </w:txbxContent>
            </v:textbox>
            <w10:wrap type="none"/>
          </v:shape>
        </w:pict>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0"/>
        <w:rPr>
          <w:rFonts w:ascii="Swis721 Lt BT" w:hAnsi="Swis721 Lt BT" w:cs="Swis721 Lt BT" w:eastAsia="Swis721 Lt BT"/>
          <w:sz w:val="22"/>
          <w:szCs w:val="22"/>
        </w:rPr>
      </w:pPr>
    </w:p>
    <w:tbl>
      <w:tblPr>
        <w:tblW w:w="0" w:type="auto"/>
        <w:jc w:val="left"/>
        <w:tblInd w:w="112" w:type="dxa"/>
        <w:tblLayout w:type="fixed"/>
        <w:tblCellMar>
          <w:top w:w="0" w:type="dxa"/>
          <w:left w:w="0" w:type="dxa"/>
          <w:bottom w:w="0" w:type="dxa"/>
          <w:right w:w="0" w:type="dxa"/>
        </w:tblCellMar>
        <w:tblLook w:val="01E0"/>
      </w:tblPr>
      <w:tblGrid>
        <w:gridCol w:w="2333"/>
        <w:gridCol w:w="2221"/>
        <w:gridCol w:w="1122"/>
        <w:gridCol w:w="810"/>
        <w:gridCol w:w="824"/>
        <w:gridCol w:w="946"/>
        <w:gridCol w:w="1189"/>
        <w:gridCol w:w="820"/>
        <w:gridCol w:w="490"/>
        <w:gridCol w:w="924"/>
      </w:tblGrid>
      <w:tr>
        <w:trPr>
          <w:trHeight w:val="440" w:hRule="exact"/>
        </w:trPr>
        <w:tc>
          <w:tcPr>
            <w:tcW w:w="2333" w:type="dxa"/>
            <w:tcBorders>
              <w:top w:val="nil" w:sz="6" w:space="0" w:color="auto"/>
              <w:left w:val="nil" w:sz="6" w:space="0" w:color="auto"/>
              <w:bottom w:val="single" w:sz="2" w:space="0" w:color="848B91"/>
              <w:right w:val="nil" w:sz="6" w:space="0" w:color="auto"/>
            </w:tcBorders>
          </w:tcPr>
          <w:p>
            <w:pPr>
              <w:pStyle w:val="TableParagraph"/>
              <w:spacing w:line="240" w:lineRule="auto" w:before="8"/>
              <w:ind w:right="0"/>
              <w:jc w:val="left"/>
              <w:rPr>
                <w:rFonts w:ascii="Swis721 Lt BT" w:hAnsi="Swis721 Lt BT" w:cs="Swis721 Lt BT" w:eastAsia="Swis721 Lt BT"/>
                <w:sz w:val="14"/>
                <w:szCs w:val="14"/>
              </w:rPr>
            </w:pPr>
          </w:p>
          <w:p>
            <w:pPr>
              <w:pStyle w:val="TableParagraph"/>
              <w:spacing w:line="240" w:lineRule="auto"/>
              <w:ind w:left="57" w:right="0"/>
              <w:jc w:val="left"/>
              <w:rPr>
                <w:rFonts w:ascii="Swis721 Lt BT" w:hAnsi="Swis721 Lt BT" w:cs="Swis721 Lt BT" w:eastAsia="Swis721 Lt BT"/>
                <w:sz w:val="18"/>
                <w:szCs w:val="18"/>
              </w:rPr>
            </w:pPr>
            <w:r>
              <w:rPr>
                <w:rFonts w:ascii="Swis721 Lt BT"/>
                <w:color w:val="231F20"/>
                <w:sz w:val="18"/>
              </w:rPr>
              <w:t>GRAN</w:t>
            </w:r>
            <w:r>
              <w:rPr>
                <w:rFonts w:ascii="Swis721 Lt BT"/>
                <w:color w:val="231F20"/>
                <w:spacing w:val="-27"/>
                <w:sz w:val="18"/>
              </w:rPr>
              <w:t>T</w:t>
            </w:r>
            <w:r>
              <w:rPr>
                <w:rFonts w:ascii="Swis721 Lt BT"/>
                <w:color w:val="231F20"/>
                <w:sz w:val="18"/>
              </w:rPr>
              <w:t>, MARK</w:t>
            </w:r>
            <w:r>
              <w:rPr>
                <w:rFonts w:ascii="Swis721 Lt BT"/>
                <w:sz w:val="18"/>
              </w:rPr>
            </w:r>
          </w:p>
        </w:tc>
        <w:tc>
          <w:tcPr>
            <w:tcW w:w="2221" w:type="dxa"/>
            <w:tcBorders>
              <w:top w:val="nil" w:sz="6" w:space="0" w:color="auto"/>
              <w:left w:val="nil" w:sz="6" w:space="0" w:color="auto"/>
              <w:bottom w:val="single" w:sz="2" w:space="0" w:color="848B91"/>
              <w:right w:val="nil" w:sz="6" w:space="0" w:color="auto"/>
            </w:tcBorders>
          </w:tcPr>
          <w:p>
            <w:pPr>
              <w:pStyle w:val="TableParagraph"/>
              <w:spacing w:line="240" w:lineRule="auto" w:before="8"/>
              <w:ind w:right="0"/>
              <w:jc w:val="left"/>
              <w:rPr>
                <w:rFonts w:ascii="Swis721 Lt BT" w:hAnsi="Swis721 Lt BT" w:cs="Swis721 Lt BT" w:eastAsia="Swis721 Lt BT"/>
                <w:sz w:val="14"/>
                <w:szCs w:val="14"/>
              </w:rPr>
            </w:pPr>
          </w:p>
          <w:p>
            <w:pPr>
              <w:pStyle w:val="TableParagraph"/>
              <w:spacing w:line="240" w:lineRule="auto"/>
              <w:ind w:left="125" w:right="0"/>
              <w:jc w:val="left"/>
              <w:rPr>
                <w:rFonts w:ascii="Swis721 Lt BT" w:hAnsi="Swis721 Lt BT" w:cs="Swis721 Lt BT" w:eastAsia="Swis721 Lt BT"/>
                <w:sz w:val="18"/>
                <w:szCs w:val="18"/>
              </w:rPr>
            </w:pPr>
            <w:r>
              <w:rPr>
                <w:rFonts w:ascii="Swis721 Lt BT"/>
                <w:color w:val="231F20"/>
                <w:sz w:val="18"/>
              </w:rPr>
              <w:t>Chief Executive of AITSL</w:t>
            </w:r>
            <w:r>
              <w:rPr>
                <w:rFonts w:ascii="Swis721 Lt BT"/>
                <w:sz w:val="18"/>
              </w:rPr>
            </w:r>
          </w:p>
        </w:tc>
        <w:tc>
          <w:tcPr>
            <w:tcW w:w="1122" w:type="dxa"/>
            <w:tcBorders>
              <w:top w:val="nil" w:sz="6" w:space="0" w:color="auto"/>
              <w:left w:val="nil" w:sz="6" w:space="0" w:color="auto"/>
              <w:bottom w:val="single" w:sz="2" w:space="0" w:color="848B91"/>
              <w:right w:val="nil" w:sz="6" w:space="0" w:color="auto"/>
            </w:tcBorders>
          </w:tcPr>
          <w:p>
            <w:pPr>
              <w:pStyle w:val="TableParagraph"/>
              <w:spacing w:line="240" w:lineRule="auto" w:before="8"/>
              <w:ind w:right="0"/>
              <w:jc w:val="left"/>
              <w:rPr>
                <w:rFonts w:ascii="Swis721 Lt BT" w:hAnsi="Swis721 Lt BT" w:cs="Swis721 Lt BT" w:eastAsia="Swis721 Lt BT"/>
                <w:sz w:val="14"/>
                <w:szCs w:val="14"/>
              </w:rPr>
            </w:pPr>
          </w:p>
          <w:p>
            <w:pPr>
              <w:pStyle w:val="TableParagraph"/>
              <w:spacing w:line="240" w:lineRule="auto"/>
              <w:ind w:left="337" w:right="0"/>
              <w:jc w:val="left"/>
              <w:rPr>
                <w:rFonts w:ascii="Swis721 Lt BT" w:hAnsi="Swis721 Lt BT" w:cs="Swis721 Lt BT" w:eastAsia="Swis721 Lt BT"/>
                <w:sz w:val="18"/>
                <w:szCs w:val="18"/>
              </w:rPr>
            </w:pPr>
            <w:r>
              <w:rPr>
                <w:rFonts w:ascii="Swis721 Lt BT"/>
                <w:color w:val="231F20"/>
                <w:sz w:val="18"/>
              </w:rPr>
              <w:t>78,417</w:t>
            </w:r>
            <w:r>
              <w:rPr>
                <w:rFonts w:ascii="Swis721 Lt BT"/>
                <w:sz w:val="18"/>
              </w:rPr>
            </w:r>
          </w:p>
        </w:tc>
        <w:tc>
          <w:tcPr>
            <w:tcW w:w="810" w:type="dxa"/>
            <w:tcBorders>
              <w:top w:val="nil" w:sz="6" w:space="0" w:color="auto"/>
              <w:left w:val="nil" w:sz="6" w:space="0" w:color="auto"/>
              <w:bottom w:val="single" w:sz="2" w:space="0" w:color="848B91"/>
              <w:right w:val="nil" w:sz="6" w:space="0" w:color="auto"/>
            </w:tcBorders>
          </w:tcPr>
          <w:p>
            <w:pPr>
              <w:pStyle w:val="TableParagraph"/>
              <w:spacing w:line="240" w:lineRule="auto" w:before="8"/>
              <w:ind w:right="0"/>
              <w:jc w:val="left"/>
              <w:rPr>
                <w:rFonts w:ascii="Swis721 Lt BT" w:hAnsi="Swis721 Lt BT" w:cs="Swis721 Lt BT" w:eastAsia="Swis721 Lt BT"/>
                <w:sz w:val="14"/>
                <w:szCs w:val="14"/>
              </w:rPr>
            </w:pPr>
          </w:p>
          <w:p>
            <w:pPr>
              <w:pStyle w:val="TableParagraph"/>
              <w:spacing w:line="240" w:lineRule="auto"/>
              <w:ind w:right="144"/>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nil" w:sz="6" w:space="0" w:color="auto"/>
              <w:left w:val="nil" w:sz="6" w:space="0" w:color="auto"/>
              <w:bottom w:val="single" w:sz="2" w:space="0" w:color="848B91"/>
              <w:right w:val="nil" w:sz="6" w:space="0" w:color="auto"/>
            </w:tcBorders>
          </w:tcPr>
          <w:p>
            <w:pPr>
              <w:pStyle w:val="TableParagraph"/>
              <w:spacing w:line="240" w:lineRule="auto" w:before="8"/>
              <w:ind w:right="0"/>
              <w:jc w:val="left"/>
              <w:rPr>
                <w:rFonts w:ascii="Swis721 Lt BT" w:hAnsi="Swis721 Lt BT" w:cs="Swis721 Lt BT" w:eastAsia="Swis721 Lt BT"/>
                <w:sz w:val="14"/>
                <w:szCs w:val="14"/>
              </w:rPr>
            </w:pPr>
          </w:p>
          <w:p>
            <w:pPr>
              <w:pStyle w:val="TableParagraph"/>
              <w:spacing w:line="240" w:lineRule="auto"/>
              <w:ind w:left="532"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nil" w:sz="6" w:space="0" w:color="auto"/>
              <w:left w:val="nil" w:sz="6" w:space="0" w:color="auto"/>
              <w:bottom w:val="single" w:sz="2" w:space="0" w:color="848B91"/>
              <w:right w:val="nil" w:sz="6" w:space="0" w:color="auto"/>
            </w:tcBorders>
          </w:tcPr>
          <w:p>
            <w:pPr>
              <w:pStyle w:val="TableParagraph"/>
              <w:spacing w:line="240" w:lineRule="auto" w:before="8"/>
              <w:ind w:right="0"/>
              <w:jc w:val="left"/>
              <w:rPr>
                <w:rFonts w:ascii="Swis721 Lt BT" w:hAnsi="Swis721 Lt BT" w:cs="Swis721 Lt BT" w:eastAsia="Swis721 Lt BT"/>
                <w:sz w:val="14"/>
                <w:szCs w:val="14"/>
              </w:rPr>
            </w:pPr>
          </w:p>
          <w:p>
            <w:pPr>
              <w:pStyle w:val="TableParagraph"/>
              <w:spacing w:line="240" w:lineRule="auto"/>
              <w:ind w:left="376" w:right="0"/>
              <w:jc w:val="left"/>
              <w:rPr>
                <w:rFonts w:ascii="Swis721 Lt BT" w:hAnsi="Swis721 Lt BT" w:cs="Swis721 Lt BT" w:eastAsia="Swis721 Lt BT"/>
                <w:sz w:val="18"/>
                <w:szCs w:val="18"/>
              </w:rPr>
            </w:pPr>
            <w:r>
              <w:rPr>
                <w:rFonts w:ascii="Swis721 Lt BT"/>
                <w:color w:val="231F20"/>
                <w:sz w:val="18"/>
              </w:rPr>
              <w:t>5,274</w:t>
            </w:r>
            <w:r>
              <w:rPr>
                <w:rFonts w:ascii="Swis721 Lt BT"/>
                <w:sz w:val="18"/>
              </w:rPr>
            </w:r>
          </w:p>
        </w:tc>
        <w:tc>
          <w:tcPr>
            <w:tcW w:w="1189" w:type="dxa"/>
            <w:tcBorders>
              <w:top w:val="nil" w:sz="6" w:space="0" w:color="auto"/>
              <w:left w:val="nil" w:sz="6" w:space="0" w:color="auto"/>
              <w:bottom w:val="single" w:sz="2" w:space="0" w:color="848B91"/>
              <w:right w:val="nil" w:sz="6" w:space="0" w:color="auto"/>
            </w:tcBorders>
          </w:tcPr>
          <w:p>
            <w:pPr>
              <w:pStyle w:val="TableParagraph"/>
              <w:spacing w:line="240" w:lineRule="auto" w:before="8"/>
              <w:ind w:right="0"/>
              <w:jc w:val="left"/>
              <w:rPr>
                <w:rFonts w:ascii="Swis721 Lt BT" w:hAnsi="Swis721 Lt BT" w:cs="Swis721 Lt BT" w:eastAsia="Swis721 Lt BT"/>
                <w:sz w:val="14"/>
                <w:szCs w:val="14"/>
              </w:rPr>
            </w:pPr>
          </w:p>
          <w:p>
            <w:pPr>
              <w:pStyle w:val="TableParagraph"/>
              <w:spacing w:line="240" w:lineRule="auto"/>
              <w:ind w:left="349" w:right="0"/>
              <w:jc w:val="left"/>
              <w:rPr>
                <w:rFonts w:ascii="Swis721 Lt BT" w:hAnsi="Swis721 Lt BT" w:cs="Swis721 Lt BT" w:eastAsia="Swis721 Lt BT"/>
                <w:sz w:val="18"/>
                <w:szCs w:val="18"/>
              </w:rPr>
            </w:pPr>
            <w:r>
              <w:rPr>
                <w:rFonts w:ascii="Swis721 Lt BT"/>
                <w:color w:val="231F20"/>
                <w:sz w:val="18"/>
              </w:rPr>
              <w:t>1,332</w:t>
            </w:r>
            <w:r>
              <w:rPr>
                <w:rFonts w:ascii="Swis721 Lt BT"/>
                <w:sz w:val="18"/>
              </w:rPr>
            </w:r>
          </w:p>
        </w:tc>
        <w:tc>
          <w:tcPr>
            <w:tcW w:w="820" w:type="dxa"/>
            <w:tcBorders>
              <w:top w:val="nil" w:sz="6" w:space="0" w:color="auto"/>
              <w:left w:val="nil" w:sz="6" w:space="0" w:color="auto"/>
              <w:bottom w:val="single" w:sz="2" w:space="0" w:color="848B91"/>
              <w:right w:val="nil" w:sz="6" w:space="0" w:color="auto"/>
            </w:tcBorders>
          </w:tcPr>
          <w:p>
            <w:pPr>
              <w:pStyle w:val="TableParagraph"/>
              <w:spacing w:line="240" w:lineRule="auto" w:before="8"/>
              <w:ind w:right="0"/>
              <w:jc w:val="left"/>
              <w:rPr>
                <w:rFonts w:ascii="Swis721 Lt BT" w:hAnsi="Swis721 Lt BT" w:cs="Swis721 Lt BT" w:eastAsia="Swis721 Lt BT"/>
                <w:sz w:val="14"/>
                <w:szCs w:val="14"/>
              </w:rPr>
            </w:pPr>
          </w:p>
          <w:p>
            <w:pPr>
              <w:pStyle w:val="TableParagraph"/>
              <w:spacing w:line="240" w:lineRule="auto"/>
              <w:ind w:left="143"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nil" w:sz="6" w:space="0" w:color="auto"/>
              <w:left w:val="nil" w:sz="6" w:space="0" w:color="auto"/>
              <w:bottom w:val="single" w:sz="2" w:space="0" w:color="848B91"/>
              <w:right w:val="nil" w:sz="6" w:space="0" w:color="auto"/>
            </w:tcBorders>
          </w:tcPr>
          <w:p>
            <w:pPr>
              <w:pStyle w:val="TableParagraph"/>
              <w:spacing w:line="240" w:lineRule="auto" w:before="8"/>
              <w:ind w:right="0"/>
              <w:jc w:val="left"/>
              <w:rPr>
                <w:rFonts w:ascii="Swis721 Lt BT" w:hAnsi="Swis721 Lt BT" w:cs="Swis721 Lt BT" w:eastAsia="Swis721 Lt BT"/>
                <w:sz w:val="14"/>
                <w:szCs w:val="14"/>
              </w:rPr>
            </w:pPr>
          </w:p>
          <w:p>
            <w:pPr>
              <w:pStyle w:val="TableParagraph"/>
              <w:spacing w:line="240" w:lineRule="auto"/>
              <w:ind w:right="56"/>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nil" w:sz="6" w:space="0" w:color="auto"/>
              <w:left w:val="nil" w:sz="6" w:space="0" w:color="auto"/>
              <w:bottom w:val="single" w:sz="2" w:space="0" w:color="848B91"/>
              <w:right w:val="nil" w:sz="6" w:space="0" w:color="auto"/>
            </w:tcBorders>
          </w:tcPr>
          <w:p>
            <w:pPr>
              <w:pStyle w:val="TableParagraph"/>
              <w:spacing w:line="240" w:lineRule="auto" w:before="8"/>
              <w:ind w:right="0"/>
              <w:jc w:val="left"/>
              <w:rPr>
                <w:rFonts w:ascii="Swis721 Lt BT" w:hAnsi="Swis721 Lt BT" w:cs="Swis721 Lt BT" w:eastAsia="Swis721 Lt BT"/>
                <w:sz w:val="14"/>
                <w:szCs w:val="14"/>
              </w:rPr>
            </w:pPr>
          </w:p>
          <w:p>
            <w:pPr>
              <w:pStyle w:val="TableParagraph"/>
              <w:spacing w:line="240" w:lineRule="auto"/>
              <w:ind w:left="334" w:right="0"/>
              <w:jc w:val="left"/>
              <w:rPr>
                <w:rFonts w:ascii="Swis721 Lt BT" w:hAnsi="Swis721 Lt BT" w:cs="Swis721 Lt BT" w:eastAsia="Swis721 Lt BT"/>
                <w:sz w:val="18"/>
                <w:szCs w:val="18"/>
              </w:rPr>
            </w:pPr>
            <w:r>
              <w:rPr>
                <w:rFonts w:ascii="Swis721 Lt BT"/>
                <w:color w:val="231F20"/>
                <w:sz w:val="18"/>
              </w:rPr>
              <w:t>85,023</w:t>
            </w:r>
            <w:r>
              <w:rPr>
                <w:rFonts w:ascii="Swis721 Lt BT"/>
                <w:sz w:val="18"/>
              </w:rPr>
            </w:r>
          </w:p>
        </w:tc>
      </w:tr>
      <w:tr>
        <w:trPr>
          <w:trHeight w:val="545" w:hRule="exact"/>
        </w:trPr>
        <w:tc>
          <w:tcPr>
            <w:tcW w:w="233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7" w:right="0"/>
              <w:jc w:val="left"/>
              <w:rPr>
                <w:rFonts w:ascii="Swis721 Lt BT" w:hAnsi="Swis721 Lt BT" w:cs="Swis721 Lt BT" w:eastAsia="Swis721 Lt BT"/>
                <w:sz w:val="18"/>
                <w:szCs w:val="18"/>
              </w:rPr>
            </w:pPr>
            <w:r>
              <w:rPr>
                <w:rFonts w:ascii="Swis721 Lt BT"/>
                <w:color w:val="231F20"/>
                <w:sz w:val="18"/>
              </w:rPr>
              <w:t>MISSON, EDMUND</w:t>
            </w:r>
            <w:r>
              <w:rPr>
                <w:rFonts w:ascii="Swis721 Lt BT"/>
                <w:sz w:val="18"/>
              </w:rPr>
            </w:r>
          </w:p>
        </w:tc>
        <w:tc>
          <w:tcPr>
            <w:tcW w:w="222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24" w:right="300"/>
              <w:jc w:val="left"/>
              <w:rPr>
                <w:rFonts w:ascii="Swis721 Lt BT" w:hAnsi="Swis721 Lt BT" w:cs="Swis721 Lt BT" w:eastAsia="Swis721 Lt BT"/>
                <w:sz w:val="18"/>
                <w:szCs w:val="18"/>
              </w:rPr>
            </w:pPr>
            <w:r>
              <w:rPr>
                <w:rFonts w:ascii="Swis721 Lt BT"/>
                <w:color w:val="231F20"/>
                <w:sz w:val="18"/>
              </w:rPr>
              <w:t>Deputy Chief Executive Officer</w:t>
            </w:r>
            <w:r>
              <w:rPr>
                <w:rFonts w:ascii="Swis721 Lt BT"/>
                <w:sz w:val="18"/>
              </w:rPr>
            </w:r>
          </w:p>
        </w:tc>
        <w:tc>
          <w:tcPr>
            <w:tcW w:w="112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41" w:right="0"/>
              <w:jc w:val="left"/>
              <w:rPr>
                <w:rFonts w:ascii="Swis721 Lt BT" w:hAnsi="Swis721 Lt BT" w:cs="Swis721 Lt BT" w:eastAsia="Swis721 Lt BT"/>
                <w:sz w:val="18"/>
                <w:szCs w:val="18"/>
              </w:rPr>
            </w:pPr>
            <w:r>
              <w:rPr>
                <w:rFonts w:ascii="Swis721 Lt BT"/>
                <w:color w:val="231F20"/>
                <w:sz w:val="18"/>
              </w:rPr>
              <w:t>330,935</w:t>
            </w:r>
            <w:r>
              <w:rPr>
                <w:rFonts w:ascii="Swis721 Lt BT"/>
                <w:sz w:val="18"/>
              </w:rPr>
            </w:r>
          </w:p>
        </w:tc>
        <w:tc>
          <w:tcPr>
            <w:tcW w:w="81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44"/>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32"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80" w:right="0"/>
              <w:jc w:val="left"/>
              <w:rPr>
                <w:rFonts w:ascii="Swis721 Lt BT" w:hAnsi="Swis721 Lt BT" w:cs="Swis721 Lt BT" w:eastAsia="Swis721 Lt BT"/>
                <w:sz w:val="18"/>
                <w:szCs w:val="18"/>
              </w:rPr>
            </w:pPr>
            <w:r>
              <w:rPr>
                <w:rFonts w:ascii="Swis721 Lt BT"/>
                <w:color w:val="231F20"/>
                <w:sz w:val="18"/>
              </w:rPr>
              <w:t>22,603</w:t>
            </w:r>
            <w:r>
              <w:rPr>
                <w:rFonts w:ascii="Swis721 Lt BT"/>
                <w:sz w:val="18"/>
              </w:rPr>
            </w:r>
          </w:p>
        </w:tc>
        <w:tc>
          <w:tcPr>
            <w:tcW w:w="118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49" w:right="0"/>
              <w:jc w:val="left"/>
              <w:rPr>
                <w:rFonts w:ascii="Swis721 Lt BT" w:hAnsi="Swis721 Lt BT" w:cs="Swis721 Lt BT" w:eastAsia="Swis721 Lt BT"/>
                <w:sz w:val="18"/>
                <w:szCs w:val="18"/>
              </w:rPr>
            </w:pPr>
            <w:r>
              <w:rPr>
                <w:rFonts w:ascii="Swis721 Lt BT"/>
                <w:color w:val="231F20"/>
                <w:sz w:val="18"/>
              </w:rPr>
              <w:t>6,799</w:t>
            </w:r>
            <w:r>
              <w:rPr>
                <w:rFonts w:ascii="Swis721 Lt BT"/>
                <w:sz w:val="18"/>
              </w:rPr>
            </w:r>
          </w:p>
        </w:tc>
        <w:tc>
          <w:tcPr>
            <w:tcW w:w="82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43"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56"/>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38" w:right="0"/>
              <w:jc w:val="left"/>
              <w:rPr>
                <w:rFonts w:ascii="Swis721 Lt BT" w:hAnsi="Swis721 Lt BT" w:cs="Swis721 Lt BT" w:eastAsia="Swis721 Lt BT"/>
                <w:sz w:val="18"/>
                <w:szCs w:val="18"/>
              </w:rPr>
            </w:pPr>
            <w:r>
              <w:rPr>
                <w:rFonts w:ascii="Swis721 Lt BT"/>
                <w:color w:val="231F20"/>
                <w:sz w:val="18"/>
              </w:rPr>
              <w:t>360,337</w:t>
            </w:r>
            <w:r>
              <w:rPr>
                <w:rFonts w:ascii="Swis721 Lt BT"/>
                <w:sz w:val="18"/>
              </w:rPr>
            </w:r>
          </w:p>
        </w:tc>
      </w:tr>
      <w:tr>
        <w:trPr>
          <w:trHeight w:val="545" w:hRule="exact"/>
        </w:trPr>
        <w:tc>
          <w:tcPr>
            <w:tcW w:w="233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7" w:right="0"/>
              <w:jc w:val="left"/>
              <w:rPr>
                <w:rFonts w:ascii="Swis721 Lt BT" w:hAnsi="Swis721 Lt BT" w:cs="Swis721 Lt BT" w:eastAsia="Swis721 Lt BT"/>
                <w:sz w:val="18"/>
                <w:szCs w:val="18"/>
              </w:rPr>
            </w:pPr>
            <w:r>
              <w:rPr>
                <w:rFonts w:ascii="Swis721 Lt BT"/>
                <w:color w:val="231F20"/>
                <w:sz w:val="18"/>
              </w:rPr>
              <w:t>PINCHAS, </w:t>
            </w:r>
            <w:r>
              <w:rPr>
                <w:rFonts w:ascii="Swis721 Lt BT"/>
                <w:color w:val="231F20"/>
                <w:spacing w:val="-1"/>
                <w:sz w:val="18"/>
              </w:rPr>
              <w:t>DANIEL</w:t>
            </w:r>
            <w:r>
              <w:rPr>
                <w:rFonts w:ascii="Swis721 Lt BT"/>
                <w:sz w:val="18"/>
              </w:rPr>
            </w:r>
          </w:p>
        </w:tc>
        <w:tc>
          <w:tcPr>
            <w:tcW w:w="222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24" w:right="0"/>
              <w:jc w:val="left"/>
              <w:rPr>
                <w:rFonts w:ascii="Swis721 Lt BT" w:hAnsi="Swis721 Lt BT" w:cs="Swis721 Lt BT" w:eastAsia="Swis721 Lt BT"/>
                <w:sz w:val="18"/>
                <w:szCs w:val="18"/>
              </w:rPr>
            </w:pPr>
            <w:r>
              <w:rPr>
                <w:rFonts w:ascii="Swis721 Lt BT"/>
                <w:color w:val="231F20"/>
                <w:sz w:val="18"/>
              </w:rPr>
              <w:t>GM, School Leadership</w:t>
            </w:r>
            <w:r>
              <w:rPr>
                <w:rFonts w:ascii="Swis721 Lt BT"/>
                <w:sz w:val="18"/>
              </w:rPr>
            </w:r>
          </w:p>
          <w:p>
            <w:pPr>
              <w:pStyle w:val="TableParagraph"/>
              <w:spacing w:line="240" w:lineRule="auto"/>
              <w:ind w:left="124" w:right="0"/>
              <w:jc w:val="left"/>
              <w:rPr>
                <w:rFonts w:ascii="Swis721 Lt BT" w:hAnsi="Swis721 Lt BT" w:cs="Swis721 Lt BT" w:eastAsia="Swis721 Lt BT"/>
                <w:sz w:val="18"/>
                <w:szCs w:val="18"/>
              </w:rPr>
            </w:pPr>
            <w:r>
              <w:rPr>
                <w:rFonts w:ascii="Swis721 Lt BT"/>
                <w:color w:val="231F20"/>
                <w:sz w:val="18"/>
              </w:rPr>
              <w:t>&amp; Quality </w:t>
            </w:r>
            <w:r>
              <w:rPr>
                <w:rFonts w:ascii="Swis721 Lt BT"/>
                <w:color w:val="231F20"/>
                <w:spacing w:val="-25"/>
                <w:sz w:val="18"/>
              </w:rPr>
              <w:t>T</w:t>
            </w:r>
            <w:r>
              <w:rPr>
                <w:rFonts w:ascii="Swis721 Lt BT"/>
                <w:color w:val="231F20"/>
                <w:sz w:val="18"/>
              </w:rPr>
              <w:t>eaching</w:t>
            </w:r>
            <w:r>
              <w:rPr>
                <w:rFonts w:ascii="Swis721 Lt BT"/>
                <w:sz w:val="18"/>
              </w:rPr>
            </w:r>
          </w:p>
        </w:tc>
        <w:tc>
          <w:tcPr>
            <w:tcW w:w="112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41" w:right="0"/>
              <w:jc w:val="left"/>
              <w:rPr>
                <w:rFonts w:ascii="Swis721 Lt BT" w:hAnsi="Swis721 Lt BT" w:cs="Swis721 Lt BT" w:eastAsia="Swis721 Lt BT"/>
                <w:sz w:val="18"/>
                <w:szCs w:val="18"/>
              </w:rPr>
            </w:pPr>
            <w:r>
              <w:rPr>
                <w:rFonts w:ascii="Swis721 Lt BT"/>
                <w:color w:val="231F20"/>
                <w:sz w:val="18"/>
              </w:rPr>
              <w:t>261,778</w:t>
            </w:r>
            <w:r>
              <w:rPr>
                <w:rFonts w:ascii="Swis721 Lt BT"/>
                <w:sz w:val="18"/>
              </w:rPr>
            </w:r>
          </w:p>
        </w:tc>
        <w:tc>
          <w:tcPr>
            <w:tcW w:w="81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44"/>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32"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79" w:right="0"/>
              <w:jc w:val="left"/>
              <w:rPr>
                <w:rFonts w:ascii="Swis721 Lt BT" w:hAnsi="Swis721 Lt BT" w:cs="Swis721 Lt BT" w:eastAsia="Swis721 Lt BT"/>
                <w:sz w:val="18"/>
                <w:szCs w:val="18"/>
              </w:rPr>
            </w:pPr>
            <w:r>
              <w:rPr>
                <w:rFonts w:ascii="Swis721 Lt BT"/>
                <w:color w:val="231F20"/>
                <w:sz w:val="18"/>
              </w:rPr>
              <w:t>22,837</w:t>
            </w:r>
            <w:r>
              <w:rPr>
                <w:rFonts w:ascii="Swis721 Lt BT"/>
                <w:sz w:val="18"/>
              </w:rPr>
            </w:r>
          </w:p>
        </w:tc>
        <w:tc>
          <w:tcPr>
            <w:tcW w:w="118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53" w:right="0"/>
              <w:jc w:val="left"/>
              <w:rPr>
                <w:rFonts w:ascii="Swis721 Lt BT" w:hAnsi="Swis721 Lt BT" w:cs="Swis721 Lt BT" w:eastAsia="Swis721 Lt BT"/>
                <w:sz w:val="18"/>
                <w:szCs w:val="18"/>
              </w:rPr>
            </w:pPr>
            <w:r>
              <w:rPr>
                <w:rFonts w:ascii="Swis721 Lt BT"/>
                <w:color w:val="231F20"/>
                <w:sz w:val="18"/>
              </w:rPr>
              <w:t>11,970</w:t>
            </w:r>
            <w:r>
              <w:rPr>
                <w:rFonts w:ascii="Swis721 Lt BT"/>
                <w:sz w:val="18"/>
              </w:rPr>
            </w:r>
          </w:p>
        </w:tc>
        <w:tc>
          <w:tcPr>
            <w:tcW w:w="82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43"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56"/>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38" w:right="0"/>
              <w:jc w:val="left"/>
              <w:rPr>
                <w:rFonts w:ascii="Swis721 Lt BT" w:hAnsi="Swis721 Lt BT" w:cs="Swis721 Lt BT" w:eastAsia="Swis721 Lt BT"/>
                <w:sz w:val="18"/>
                <w:szCs w:val="18"/>
              </w:rPr>
            </w:pPr>
            <w:r>
              <w:rPr>
                <w:rFonts w:ascii="Swis721 Lt BT"/>
                <w:color w:val="231F20"/>
                <w:sz w:val="18"/>
              </w:rPr>
              <w:t>296,585</w:t>
            </w:r>
            <w:r>
              <w:rPr>
                <w:rFonts w:ascii="Swis721 Lt BT"/>
                <w:sz w:val="18"/>
              </w:rPr>
            </w:r>
          </w:p>
        </w:tc>
      </w:tr>
      <w:tr>
        <w:trPr>
          <w:trHeight w:val="329" w:hRule="exact"/>
        </w:trPr>
        <w:tc>
          <w:tcPr>
            <w:tcW w:w="233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7" w:right="0"/>
              <w:jc w:val="left"/>
              <w:rPr>
                <w:rFonts w:ascii="Swis721 Lt BT" w:hAnsi="Swis721 Lt BT" w:cs="Swis721 Lt BT" w:eastAsia="Swis721 Lt BT"/>
                <w:sz w:val="18"/>
                <w:szCs w:val="18"/>
              </w:rPr>
            </w:pPr>
            <w:r>
              <w:rPr>
                <w:rFonts w:ascii="Swis721 Lt BT"/>
                <w:color w:val="231F20"/>
                <w:sz w:val="18"/>
              </w:rPr>
              <w:t>SOON, XIAN-ZHI</w:t>
            </w:r>
            <w:r>
              <w:rPr>
                <w:rFonts w:ascii="Swis721 Lt BT"/>
                <w:sz w:val="18"/>
              </w:rPr>
            </w:r>
          </w:p>
        </w:tc>
        <w:tc>
          <w:tcPr>
            <w:tcW w:w="222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24" w:right="0"/>
              <w:jc w:val="left"/>
              <w:rPr>
                <w:rFonts w:ascii="Swis721 Lt BT" w:hAnsi="Swis721 Lt BT" w:cs="Swis721 Lt BT" w:eastAsia="Swis721 Lt BT"/>
                <w:sz w:val="18"/>
                <w:szCs w:val="18"/>
              </w:rPr>
            </w:pPr>
            <w:r>
              <w:rPr>
                <w:rFonts w:ascii="Swis721 Lt BT"/>
                <w:color w:val="231F20"/>
                <w:sz w:val="18"/>
              </w:rPr>
              <w:t>GM, Evidence &amp; Impact</w:t>
            </w:r>
            <w:r>
              <w:rPr>
                <w:rFonts w:ascii="Swis721 Lt BT"/>
                <w:sz w:val="18"/>
              </w:rPr>
            </w:r>
          </w:p>
        </w:tc>
        <w:tc>
          <w:tcPr>
            <w:tcW w:w="112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6" w:right="0"/>
              <w:jc w:val="left"/>
              <w:rPr>
                <w:rFonts w:ascii="Swis721 Lt BT" w:hAnsi="Swis721 Lt BT" w:cs="Swis721 Lt BT" w:eastAsia="Swis721 Lt BT"/>
                <w:sz w:val="18"/>
                <w:szCs w:val="18"/>
              </w:rPr>
            </w:pPr>
            <w:r>
              <w:rPr>
                <w:rFonts w:ascii="Swis721 Lt BT"/>
                <w:color w:val="231F20"/>
                <w:sz w:val="18"/>
              </w:rPr>
              <w:t>64,675</w:t>
            </w:r>
            <w:r>
              <w:rPr>
                <w:rFonts w:ascii="Swis721 Lt BT"/>
                <w:sz w:val="18"/>
              </w:rPr>
            </w:r>
          </w:p>
        </w:tc>
        <w:tc>
          <w:tcPr>
            <w:tcW w:w="81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45"/>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31"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75" w:right="0"/>
              <w:jc w:val="left"/>
              <w:rPr>
                <w:rFonts w:ascii="Swis721 Lt BT" w:hAnsi="Swis721 Lt BT" w:cs="Swis721 Lt BT" w:eastAsia="Swis721 Lt BT"/>
                <w:sz w:val="18"/>
                <w:szCs w:val="18"/>
              </w:rPr>
            </w:pPr>
            <w:r>
              <w:rPr>
                <w:rFonts w:ascii="Swis721 Lt BT"/>
                <w:color w:val="231F20"/>
                <w:sz w:val="18"/>
              </w:rPr>
              <w:t>5,820</w:t>
            </w:r>
            <w:r>
              <w:rPr>
                <w:rFonts w:ascii="Swis721 Lt BT"/>
                <w:sz w:val="18"/>
              </w:rPr>
            </w:r>
          </w:p>
        </w:tc>
        <w:tc>
          <w:tcPr>
            <w:tcW w:w="118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49" w:right="0"/>
              <w:jc w:val="left"/>
              <w:rPr>
                <w:rFonts w:ascii="Swis721 Lt BT" w:hAnsi="Swis721 Lt BT" w:cs="Swis721 Lt BT" w:eastAsia="Swis721 Lt BT"/>
                <w:sz w:val="18"/>
                <w:szCs w:val="18"/>
              </w:rPr>
            </w:pPr>
            <w:r>
              <w:rPr>
                <w:rFonts w:ascii="Swis721 Lt BT"/>
                <w:color w:val="231F20"/>
                <w:sz w:val="18"/>
              </w:rPr>
              <w:t>1,144</w:t>
            </w:r>
            <w:r>
              <w:rPr>
                <w:rFonts w:ascii="Swis721 Lt BT"/>
                <w:sz w:val="18"/>
              </w:rPr>
            </w:r>
          </w:p>
        </w:tc>
        <w:tc>
          <w:tcPr>
            <w:tcW w:w="82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42"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57"/>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4" w:right="0"/>
              <w:jc w:val="left"/>
              <w:rPr>
                <w:rFonts w:ascii="Swis721 Lt BT" w:hAnsi="Swis721 Lt BT" w:cs="Swis721 Lt BT" w:eastAsia="Swis721 Lt BT"/>
                <w:sz w:val="18"/>
                <w:szCs w:val="18"/>
              </w:rPr>
            </w:pPr>
            <w:r>
              <w:rPr>
                <w:rFonts w:ascii="Swis721 Lt BT"/>
                <w:color w:val="231F20"/>
                <w:sz w:val="18"/>
              </w:rPr>
              <w:t>71,639</w:t>
            </w:r>
            <w:r>
              <w:rPr>
                <w:rFonts w:ascii="Swis721 Lt BT"/>
                <w:sz w:val="18"/>
              </w:rPr>
            </w:r>
          </w:p>
        </w:tc>
      </w:tr>
      <w:tr>
        <w:trPr>
          <w:trHeight w:val="557" w:hRule="exact"/>
        </w:trPr>
        <w:tc>
          <w:tcPr>
            <w:tcW w:w="233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6" w:right="0"/>
              <w:jc w:val="left"/>
              <w:rPr>
                <w:rFonts w:ascii="Swis721 Lt BT" w:hAnsi="Swis721 Lt BT" w:cs="Swis721 Lt BT" w:eastAsia="Swis721 Lt BT"/>
                <w:sz w:val="18"/>
                <w:szCs w:val="18"/>
              </w:rPr>
            </w:pPr>
            <w:r>
              <w:rPr>
                <w:rFonts w:ascii="Swis721 Lt BT"/>
                <w:color w:val="231F20"/>
                <w:sz w:val="18"/>
              </w:rPr>
              <w:t>RODGERS, LISA</w:t>
            </w:r>
            <w:r>
              <w:rPr>
                <w:rFonts w:ascii="Swis721 Lt BT"/>
                <w:sz w:val="18"/>
              </w:rPr>
            </w:r>
          </w:p>
        </w:tc>
        <w:tc>
          <w:tcPr>
            <w:tcW w:w="2221"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23" w:right="208"/>
              <w:jc w:val="left"/>
              <w:rPr>
                <w:rFonts w:ascii="Swis721 Lt BT" w:hAnsi="Swis721 Lt BT" w:cs="Swis721 Lt BT" w:eastAsia="Swis721 Lt BT"/>
                <w:sz w:val="18"/>
                <w:szCs w:val="18"/>
              </w:rPr>
            </w:pPr>
            <w:r>
              <w:rPr>
                <w:rFonts w:ascii="Swis721 Lt BT"/>
                <w:color w:val="231F20"/>
                <w:sz w:val="18"/>
              </w:rPr>
              <w:t>Chief Executive of AITSL </w:t>
            </w:r>
            <w:r>
              <w:rPr>
                <w:rFonts w:ascii="Swis721 Lt BT"/>
                <w:color w:val="231F20"/>
                <w:spacing w:val="-1"/>
                <w:sz w:val="18"/>
              </w:rPr>
              <w:t>(Former)</w:t>
            </w:r>
            <w:r>
              <w:rPr>
                <w:rFonts w:ascii="Swis721 Lt BT"/>
                <w:sz w:val="18"/>
              </w:rPr>
            </w:r>
          </w:p>
        </w:tc>
        <w:tc>
          <w:tcPr>
            <w:tcW w:w="1122"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240" w:right="0"/>
              <w:jc w:val="left"/>
              <w:rPr>
                <w:rFonts w:ascii="Swis721 Lt BT" w:hAnsi="Swis721 Lt BT" w:cs="Swis721 Lt BT" w:eastAsia="Swis721 Lt BT"/>
                <w:sz w:val="18"/>
                <w:szCs w:val="18"/>
              </w:rPr>
            </w:pPr>
            <w:r>
              <w:rPr>
                <w:rFonts w:ascii="Swis721 Lt BT"/>
                <w:color w:val="231F20"/>
                <w:sz w:val="18"/>
              </w:rPr>
              <w:t>207,323</w:t>
            </w:r>
            <w:r>
              <w:rPr>
                <w:rFonts w:ascii="Swis721 Lt BT"/>
                <w:sz w:val="18"/>
              </w:rPr>
            </w:r>
          </w:p>
        </w:tc>
        <w:tc>
          <w:tcPr>
            <w:tcW w:w="810"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right="145"/>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31"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279" w:right="0"/>
              <w:jc w:val="left"/>
              <w:rPr>
                <w:rFonts w:ascii="Swis721 Lt BT" w:hAnsi="Swis721 Lt BT" w:cs="Swis721 Lt BT" w:eastAsia="Swis721 Lt BT"/>
                <w:sz w:val="18"/>
                <w:szCs w:val="18"/>
              </w:rPr>
            </w:pPr>
            <w:r>
              <w:rPr>
                <w:rFonts w:ascii="Swis721 Lt BT"/>
                <w:color w:val="231F20"/>
                <w:sz w:val="18"/>
              </w:rPr>
              <w:t>12,033</w:t>
            </w:r>
            <w:r>
              <w:rPr>
                <w:rFonts w:ascii="Swis721 Lt BT"/>
                <w:sz w:val="18"/>
              </w:rPr>
            </w:r>
          </w:p>
        </w:tc>
        <w:tc>
          <w:tcPr>
            <w:tcW w:w="1189"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39" w:right="0"/>
              <w:jc w:val="left"/>
              <w:rPr>
                <w:rFonts w:ascii="Swis721 Lt BT" w:hAnsi="Swis721 Lt BT" w:cs="Swis721 Lt BT" w:eastAsia="Swis721 Lt BT"/>
                <w:sz w:val="18"/>
                <w:szCs w:val="18"/>
              </w:rPr>
            </w:pPr>
            <w:r>
              <w:rPr>
                <w:rFonts w:ascii="Swis721 Lt BT"/>
                <w:color w:val="231F20"/>
                <w:sz w:val="18"/>
              </w:rPr>
              <w:t>(11,298)</w:t>
            </w:r>
            <w:r>
              <w:rPr>
                <w:rFonts w:ascii="Swis721 Lt BT"/>
                <w:sz w:val="18"/>
              </w:rPr>
            </w:r>
          </w:p>
        </w:tc>
        <w:tc>
          <w:tcPr>
            <w:tcW w:w="820"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42"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right="57"/>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238" w:right="0"/>
              <w:jc w:val="left"/>
              <w:rPr>
                <w:rFonts w:ascii="Swis721 Lt BT" w:hAnsi="Swis721 Lt BT" w:cs="Swis721 Lt BT" w:eastAsia="Swis721 Lt BT"/>
                <w:sz w:val="18"/>
                <w:szCs w:val="18"/>
              </w:rPr>
            </w:pPr>
            <w:r>
              <w:rPr>
                <w:rFonts w:ascii="Swis721 Lt BT"/>
                <w:color w:val="231F20"/>
                <w:sz w:val="18"/>
              </w:rPr>
              <w:t>208,058</w:t>
            </w:r>
            <w:r>
              <w:rPr>
                <w:rFonts w:ascii="Swis721 Lt BT"/>
                <w:sz w:val="18"/>
              </w:rPr>
            </w:r>
          </w:p>
        </w:tc>
      </w:tr>
      <w:tr>
        <w:trPr>
          <w:trHeight w:val="349" w:hRule="exact"/>
        </w:trPr>
        <w:tc>
          <w:tcPr>
            <w:tcW w:w="233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6" w:right="0"/>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Executive Managers</w:t>
            </w:r>
            <w:r>
              <w:rPr>
                <w:rFonts w:ascii="Swis721 Md BT"/>
                <w:sz w:val="18"/>
              </w:rPr>
            </w:r>
          </w:p>
        </w:tc>
        <w:tc>
          <w:tcPr>
            <w:tcW w:w="2221" w:type="dxa"/>
            <w:tcBorders>
              <w:top w:val="single" w:sz="8" w:space="0" w:color="848B91"/>
              <w:left w:val="nil" w:sz="6" w:space="0" w:color="auto"/>
              <w:bottom w:val="single" w:sz="8" w:space="0" w:color="848B91"/>
              <w:right w:val="nil" w:sz="6" w:space="0" w:color="auto"/>
            </w:tcBorders>
          </w:tcPr>
          <w:p>
            <w:pPr/>
          </w:p>
        </w:tc>
        <w:tc>
          <w:tcPr>
            <w:tcW w:w="112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11" w:right="0"/>
              <w:jc w:val="left"/>
              <w:rPr>
                <w:rFonts w:ascii="Swis721 Md BT" w:hAnsi="Swis721 Md BT" w:cs="Swis721 Md BT" w:eastAsia="Swis721 Md BT"/>
                <w:sz w:val="18"/>
                <w:szCs w:val="18"/>
              </w:rPr>
            </w:pPr>
            <w:r>
              <w:rPr>
                <w:rFonts w:ascii="Swis721 Md BT"/>
                <w:color w:val="231F20"/>
                <w:sz w:val="18"/>
              </w:rPr>
              <w:t>943,128</w:t>
            </w:r>
            <w:r>
              <w:rPr>
                <w:rFonts w:ascii="Swis721 Md BT"/>
                <w:sz w:val="18"/>
              </w:rPr>
            </w:r>
          </w:p>
        </w:tc>
        <w:tc>
          <w:tcPr>
            <w:tcW w:w="810"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right="145"/>
              <w:jc w:val="center"/>
              <w:rPr>
                <w:rFonts w:ascii="Swis721 Md BT" w:hAnsi="Swis721 Md BT" w:cs="Swis721 Md BT" w:eastAsia="Swis721 Md BT"/>
                <w:sz w:val="18"/>
                <w:szCs w:val="18"/>
              </w:rPr>
            </w:pPr>
            <w:r>
              <w:rPr>
                <w:rFonts w:ascii="Swis721 Md BT"/>
                <w:color w:val="231F20"/>
                <w:sz w:val="18"/>
              </w:rPr>
              <w:t>-</w:t>
            </w:r>
            <w:r>
              <w:rPr>
                <w:rFonts w:ascii="Swis721 Md BT"/>
                <w:sz w:val="18"/>
              </w:rPr>
            </w:r>
          </w:p>
        </w:tc>
        <w:tc>
          <w:tcPr>
            <w:tcW w:w="824"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492" w:right="0"/>
              <w:jc w:val="left"/>
              <w:rPr>
                <w:rFonts w:ascii="Swis721 Md BT" w:hAnsi="Swis721 Md BT" w:cs="Swis721 Md BT" w:eastAsia="Swis721 Md BT"/>
                <w:sz w:val="18"/>
                <w:szCs w:val="18"/>
              </w:rPr>
            </w:pPr>
            <w:r>
              <w:rPr>
                <w:rFonts w:ascii="Swis721 Md BT"/>
                <w:color w:val="231F20"/>
                <w:sz w:val="18"/>
              </w:rPr>
              <w:t>-</w:t>
            </w:r>
            <w:r>
              <w:rPr>
                <w:rFonts w:ascii="Swis721 Md BT"/>
                <w:sz w:val="18"/>
              </w:rPr>
            </w:r>
          </w:p>
        </w:tc>
        <w:tc>
          <w:tcPr>
            <w:tcW w:w="94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34" w:right="0"/>
              <w:jc w:val="left"/>
              <w:rPr>
                <w:rFonts w:ascii="Swis721 Md BT" w:hAnsi="Swis721 Md BT" w:cs="Swis721 Md BT" w:eastAsia="Swis721 Md BT"/>
                <w:sz w:val="18"/>
                <w:szCs w:val="18"/>
              </w:rPr>
            </w:pPr>
            <w:r>
              <w:rPr>
                <w:rFonts w:ascii="Swis721 Md BT"/>
                <w:color w:val="231F20"/>
                <w:sz w:val="18"/>
              </w:rPr>
              <w:t>68,567</w:t>
            </w:r>
            <w:r>
              <w:rPr>
                <w:rFonts w:ascii="Swis721 Md BT"/>
                <w:sz w:val="18"/>
              </w:rPr>
            </w:r>
          </w:p>
        </w:tc>
        <w:tc>
          <w:tcPr>
            <w:tcW w:w="1189"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08" w:right="0"/>
              <w:jc w:val="left"/>
              <w:rPr>
                <w:rFonts w:ascii="Swis721 Md BT" w:hAnsi="Swis721 Md BT" w:cs="Swis721 Md BT" w:eastAsia="Swis721 Md BT"/>
                <w:sz w:val="18"/>
                <w:szCs w:val="18"/>
              </w:rPr>
            </w:pPr>
            <w:r>
              <w:rPr>
                <w:rFonts w:ascii="Swis721 Md BT"/>
                <w:color w:val="231F20"/>
                <w:sz w:val="18"/>
              </w:rPr>
              <w:t>9,947</w:t>
            </w:r>
            <w:r>
              <w:rPr>
                <w:rFonts w:ascii="Swis721 Md BT"/>
                <w:sz w:val="18"/>
              </w:rPr>
            </w:r>
          </w:p>
        </w:tc>
        <w:tc>
          <w:tcPr>
            <w:tcW w:w="820"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43" w:right="0"/>
              <w:jc w:val="center"/>
              <w:rPr>
                <w:rFonts w:ascii="Swis721 Md BT" w:hAnsi="Swis721 Md BT" w:cs="Swis721 Md BT" w:eastAsia="Swis721 Md BT"/>
                <w:sz w:val="18"/>
                <w:szCs w:val="18"/>
              </w:rPr>
            </w:pPr>
            <w:r>
              <w:rPr>
                <w:rFonts w:ascii="Swis721 Md BT"/>
                <w:color w:val="231F20"/>
                <w:sz w:val="18"/>
              </w:rPr>
              <w:t>-</w:t>
            </w:r>
            <w:r>
              <w:rPr>
                <w:rFonts w:ascii="Swis721 Md BT"/>
                <w:sz w:val="18"/>
              </w:rPr>
            </w:r>
          </w:p>
        </w:tc>
        <w:tc>
          <w:tcPr>
            <w:tcW w:w="490"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right="77"/>
              <w:jc w:val="right"/>
              <w:rPr>
                <w:rFonts w:ascii="Swis721 Md BT" w:hAnsi="Swis721 Md BT" w:cs="Swis721 Md BT" w:eastAsia="Swis721 Md BT"/>
                <w:sz w:val="18"/>
                <w:szCs w:val="18"/>
              </w:rPr>
            </w:pPr>
            <w:r>
              <w:rPr>
                <w:rFonts w:ascii="Swis721 Md BT"/>
                <w:color w:val="231F20"/>
                <w:w w:val="95"/>
                <w:sz w:val="18"/>
              </w:rPr>
              <w:t>-</w:t>
            </w:r>
            <w:r>
              <w:rPr>
                <w:rFonts w:ascii="Swis721 Md BT"/>
                <w:sz w:val="18"/>
              </w:rPr>
            </w:r>
          </w:p>
        </w:tc>
        <w:tc>
          <w:tcPr>
            <w:tcW w:w="924"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8" w:right="0"/>
              <w:jc w:val="left"/>
              <w:rPr>
                <w:rFonts w:ascii="Swis721 Md BT" w:hAnsi="Swis721 Md BT" w:cs="Swis721 Md BT" w:eastAsia="Swis721 Md BT"/>
                <w:sz w:val="18"/>
                <w:szCs w:val="18"/>
              </w:rPr>
            </w:pPr>
            <w:r>
              <w:rPr>
                <w:rFonts w:ascii="Swis721 Md BT"/>
                <w:color w:val="231F20"/>
                <w:sz w:val="18"/>
              </w:rPr>
              <w:t>1,021,642</w:t>
            </w:r>
            <w:r>
              <w:rPr>
                <w:rFonts w:ascii="Swis721 Md BT"/>
                <w:sz w:val="18"/>
              </w:rPr>
            </w:r>
          </w:p>
        </w:tc>
      </w:tr>
      <w:tr>
        <w:trPr>
          <w:trHeight w:val="318" w:hRule="exact"/>
        </w:trPr>
        <w:tc>
          <w:tcPr>
            <w:tcW w:w="2333"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56" w:right="0"/>
              <w:jc w:val="left"/>
              <w:rPr>
                <w:rFonts w:ascii="Swis721 Lt BT" w:hAnsi="Swis721 Lt BT" w:cs="Swis721 Lt BT" w:eastAsia="Swis721 Lt BT"/>
                <w:sz w:val="18"/>
                <w:szCs w:val="18"/>
              </w:rPr>
            </w:pPr>
            <w:r>
              <w:rPr>
                <w:rFonts w:ascii="Swis721 Lt BT"/>
                <w:color w:val="231F20"/>
                <w:sz w:val="18"/>
              </w:rPr>
              <w:t>H</w:t>
            </w:r>
            <w:r>
              <w:rPr>
                <w:rFonts w:ascii="Swis721 Lt BT"/>
                <w:color w:val="231F20"/>
                <w:spacing w:val="-7"/>
                <w:sz w:val="18"/>
              </w:rPr>
              <w:t>A</w:t>
            </w:r>
            <w:r>
              <w:rPr>
                <w:rFonts w:ascii="Swis721 Lt BT"/>
                <w:color w:val="231F20"/>
                <w:spacing w:val="4"/>
                <w:sz w:val="18"/>
              </w:rPr>
              <w:t>T</w:t>
            </w:r>
            <w:r>
              <w:rPr>
                <w:rFonts w:ascii="Swis721 Lt BT"/>
                <w:color w:val="231F20"/>
                <w:sz w:val="18"/>
              </w:rPr>
              <w:t>TI</w:t>
            </w:r>
            <w:r>
              <w:rPr>
                <w:rFonts w:ascii="Swis721 Lt BT"/>
                <w:color w:val="231F20"/>
                <w:spacing w:val="3"/>
                <w:sz w:val="18"/>
              </w:rPr>
              <w:t>E</w:t>
            </w:r>
            <w:r>
              <w:rPr>
                <w:rFonts w:ascii="Swis721 Lt BT"/>
                <w:color w:val="231F20"/>
                <w:sz w:val="18"/>
              </w:rPr>
              <w:t>, JOHN</w:t>
            </w:r>
            <w:r>
              <w:rPr>
                <w:rFonts w:ascii="Swis721 Lt BT"/>
                <w:sz w:val="18"/>
              </w:rPr>
            </w:r>
          </w:p>
        </w:tc>
        <w:tc>
          <w:tcPr>
            <w:tcW w:w="2221"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123" w:right="0"/>
              <w:jc w:val="left"/>
              <w:rPr>
                <w:rFonts w:ascii="Swis721 Lt BT" w:hAnsi="Swis721 Lt BT" w:cs="Swis721 Lt BT" w:eastAsia="Swis721 Lt BT"/>
                <w:sz w:val="18"/>
                <w:szCs w:val="18"/>
              </w:rPr>
            </w:pPr>
            <w:r>
              <w:rPr>
                <w:rFonts w:ascii="Swis721 Lt BT"/>
                <w:color w:val="231F20"/>
                <w:sz w:val="18"/>
              </w:rPr>
              <w:t>Chair</w:t>
            </w:r>
            <w:r>
              <w:rPr>
                <w:rFonts w:ascii="Swis721 Lt BT"/>
                <w:sz w:val="18"/>
              </w:rPr>
            </w:r>
          </w:p>
        </w:tc>
        <w:tc>
          <w:tcPr>
            <w:tcW w:w="1122"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336" w:right="0"/>
              <w:jc w:val="left"/>
              <w:rPr>
                <w:rFonts w:ascii="Swis721 Lt BT" w:hAnsi="Swis721 Lt BT" w:cs="Swis721 Lt BT" w:eastAsia="Swis721 Lt BT"/>
                <w:sz w:val="18"/>
                <w:szCs w:val="18"/>
              </w:rPr>
            </w:pPr>
            <w:r>
              <w:rPr>
                <w:rFonts w:ascii="Swis721 Lt BT"/>
                <w:color w:val="231F20"/>
                <w:sz w:val="18"/>
              </w:rPr>
              <w:t>99,007</w:t>
            </w:r>
            <w:r>
              <w:rPr>
                <w:rFonts w:ascii="Swis721 Lt BT"/>
                <w:sz w:val="18"/>
              </w:rPr>
            </w:r>
          </w:p>
        </w:tc>
        <w:tc>
          <w:tcPr>
            <w:tcW w:w="810"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right="146"/>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531"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374" w:right="0"/>
              <w:jc w:val="left"/>
              <w:rPr>
                <w:rFonts w:ascii="Swis721 Lt BT" w:hAnsi="Swis721 Lt BT" w:cs="Swis721 Lt BT" w:eastAsia="Swis721 Lt BT"/>
                <w:sz w:val="18"/>
                <w:szCs w:val="18"/>
              </w:rPr>
            </w:pPr>
            <w:r>
              <w:rPr>
                <w:rFonts w:ascii="Swis721 Lt BT"/>
                <w:color w:val="231F20"/>
                <w:sz w:val="18"/>
              </w:rPr>
              <w:t>9,406</w:t>
            </w:r>
            <w:r>
              <w:rPr>
                <w:rFonts w:ascii="Swis721 Lt BT"/>
                <w:sz w:val="18"/>
              </w:rPr>
            </w:r>
          </w:p>
        </w:tc>
        <w:tc>
          <w:tcPr>
            <w:tcW w:w="1189"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310"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0"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141"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right="57"/>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237" w:right="0"/>
              <w:jc w:val="left"/>
              <w:rPr>
                <w:rFonts w:ascii="Swis721 Lt BT" w:hAnsi="Swis721 Lt BT" w:cs="Swis721 Lt BT" w:eastAsia="Swis721 Lt BT"/>
                <w:sz w:val="18"/>
                <w:szCs w:val="18"/>
              </w:rPr>
            </w:pPr>
            <w:r>
              <w:rPr>
                <w:rFonts w:ascii="Swis721 Lt BT"/>
                <w:color w:val="231F20"/>
                <w:sz w:val="18"/>
              </w:rPr>
              <w:t>108,413</w:t>
            </w:r>
            <w:r>
              <w:rPr>
                <w:rFonts w:ascii="Swis721 Lt BT"/>
                <w:sz w:val="18"/>
              </w:rPr>
            </w:r>
          </w:p>
        </w:tc>
      </w:tr>
      <w:tr>
        <w:trPr>
          <w:trHeight w:val="329" w:hRule="exact"/>
        </w:trPr>
        <w:tc>
          <w:tcPr>
            <w:tcW w:w="233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6" w:right="0"/>
              <w:jc w:val="left"/>
              <w:rPr>
                <w:rFonts w:ascii="Swis721 Lt BT" w:hAnsi="Swis721 Lt BT" w:cs="Swis721 Lt BT" w:eastAsia="Swis721 Lt BT"/>
                <w:sz w:val="18"/>
                <w:szCs w:val="18"/>
              </w:rPr>
            </w:pPr>
            <w:r>
              <w:rPr>
                <w:rFonts w:ascii="Swis721 Lt BT"/>
                <w:color w:val="231F20"/>
                <w:spacing w:val="-3"/>
                <w:sz w:val="18"/>
              </w:rPr>
              <w:t>WARDLAW,</w:t>
            </w:r>
            <w:r>
              <w:rPr>
                <w:rFonts w:ascii="Swis721 Lt BT"/>
                <w:color w:val="231F20"/>
                <w:sz w:val="18"/>
              </w:rPr>
              <w:t> CHRISTOPHER</w:t>
            </w:r>
            <w:r>
              <w:rPr>
                <w:rFonts w:ascii="Swis721 Lt BT"/>
                <w:sz w:val="18"/>
              </w:rPr>
            </w:r>
          </w:p>
        </w:tc>
        <w:tc>
          <w:tcPr>
            <w:tcW w:w="222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23" w:right="0"/>
              <w:jc w:val="left"/>
              <w:rPr>
                <w:rFonts w:ascii="Swis721 Lt BT" w:hAnsi="Swis721 Lt BT" w:cs="Swis721 Lt BT" w:eastAsia="Swis721 Lt BT"/>
                <w:sz w:val="18"/>
                <w:szCs w:val="18"/>
              </w:rPr>
            </w:pPr>
            <w:r>
              <w:rPr>
                <w:rFonts w:ascii="Swis721 Lt BT"/>
                <w:color w:val="231F20"/>
                <w:sz w:val="18"/>
              </w:rPr>
              <w:t>Deputy Chair</w:t>
            </w:r>
            <w:r>
              <w:rPr>
                <w:rFonts w:ascii="Swis721 Lt BT"/>
                <w:sz w:val="18"/>
              </w:rPr>
            </w:r>
          </w:p>
        </w:tc>
        <w:tc>
          <w:tcPr>
            <w:tcW w:w="112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5" w:right="0"/>
              <w:jc w:val="left"/>
              <w:rPr>
                <w:rFonts w:ascii="Swis721 Lt BT" w:hAnsi="Swis721 Lt BT" w:cs="Swis721 Lt BT" w:eastAsia="Swis721 Lt BT"/>
                <w:sz w:val="18"/>
                <w:szCs w:val="18"/>
              </w:rPr>
            </w:pPr>
            <w:r>
              <w:rPr>
                <w:rFonts w:ascii="Swis721 Lt BT"/>
                <w:color w:val="231F20"/>
                <w:sz w:val="18"/>
              </w:rPr>
              <w:t>74,208</w:t>
            </w:r>
            <w:r>
              <w:rPr>
                <w:rFonts w:ascii="Swis721 Lt BT"/>
                <w:sz w:val="18"/>
              </w:rPr>
            </w:r>
          </w:p>
        </w:tc>
        <w:tc>
          <w:tcPr>
            <w:tcW w:w="81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46"/>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31"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74" w:right="0"/>
              <w:jc w:val="left"/>
              <w:rPr>
                <w:rFonts w:ascii="Swis721 Lt BT" w:hAnsi="Swis721 Lt BT" w:cs="Swis721 Lt BT" w:eastAsia="Swis721 Lt BT"/>
                <w:sz w:val="18"/>
                <w:szCs w:val="18"/>
              </w:rPr>
            </w:pPr>
            <w:r>
              <w:rPr>
                <w:rFonts w:ascii="Swis721 Lt BT"/>
                <w:color w:val="231F20"/>
                <w:sz w:val="18"/>
              </w:rPr>
              <w:t>5,735</w:t>
            </w:r>
            <w:r>
              <w:rPr>
                <w:rFonts w:ascii="Swis721 Lt BT"/>
                <w:sz w:val="18"/>
              </w:rPr>
            </w:r>
          </w:p>
        </w:tc>
        <w:tc>
          <w:tcPr>
            <w:tcW w:w="118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10"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41"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57"/>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3" w:right="0"/>
              <w:jc w:val="left"/>
              <w:rPr>
                <w:rFonts w:ascii="Swis721 Lt BT" w:hAnsi="Swis721 Lt BT" w:cs="Swis721 Lt BT" w:eastAsia="Swis721 Lt BT"/>
                <w:sz w:val="18"/>
                <w:szCs w:val="18"/>
              </w:rPr>
            </w:pPr>
            <w:r>
              <w:rPr>
                <w:rFonts w:ascii="Swis721 Lt BT"/>
                <w:color w:val="231F20"/>
                <w:sz w:val="18"/>
              </w:rPr>
              <w:t>79,943</w:t>
            </w:r>
            <w:r>
              <w:rPr>
                <w:rFonts w:ascii="Swis721 Lt BT"/>
                <w:sz w:val="18"/>
              </w:rPr>
            </w:r>
          </w:p>
        </w:tc>
      </w:tr>
      <w:tr>
        <w:trPr>
          <w:trHeight w:val="329" w:hRule="exact"/>
        </w:trPr>
        <w:tc>
          <w:tcPr>
            <w:tcW w:w="233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6" w:right="0"/>
              <w:jc w:val="left"/>
              <w:rPr>
                <w:rFonts w:ascii="Swis721 Lt BT" w:hAnsi="Swis721 Lt BT" w:cs="Swis721 Lt BT" w:eastAsia="Swis721 Lt BT"/>
                <w:sz w:val="18"/>
                <w:szCs w:val="18"/>
              </w:rPr>
            </w:pPr>
            <w:r>
              <w:rPr>
                <w:rFonts w:ascii="Swis721 Lt BT"/>
                <w:color w:val="231F20"/>
                <w:sz w:val="18"/>
              </w:rPr>
              <w:t>BUCKINGHAM, JENNIFER</w:t>
            </w:r>
            <w:r>
              <w:rPr>
                <w:rFonts w:ascii="Swis721 Lt BT"/>
                <w:sz w:val="18"/>
              </w:rPr>
            </w:r>
          </w:p>
        </w:tc>
        <w:tc>
          <w:tcPr>
            <w:tcW w:w="222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23" w:right="0"/>
              <w:jc w:val="left"/>
              <w:rPr>
                <w:rFonts w:ascii="Swis721 Lt BT" w:hAnsi="Swis721 Lt BT" w:cs="Swis721 Lt BT" w:eastAsia="Swis721 Lt BT"/>
                <w:sz w:val="18"/>
                <w:szCs w:val="18"/>
              </w:rPr>
            </w:pPr>
            <w:r>
              <w:rPr>
                <w:rFonts w:ascii="Swis721 Lt BT"/>
                <w:color w:val="231F20"/>
                <w:sz w:val="18"/>
              </w:rPr>
              <w:t>Non-Executive Director</w:t>
            </w:r>
            <w:r>
              <w:rPr>
                <w:rFonts w:ascii="Swis721 Lt BT"/>
                <w:sz w:val="18"/>
              </w:rPr>
            </w:r>
          </w:p>
        </w:tc>
        <w:tc>
          <w:tcPr>
            <w:tcW w:w="112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431" w:right="0"/>
              <w:jc w:val="left"/>
              <w:rPr>
                <w:rFonts w:ascii="Swis721 Lt BT" w:hAnsi="Swis721 Lt BT" w:cs="Swis721 Lt BT" w:eastAsia="Swis721 Lt BT"/>
                <w:sz w:val="18"/>
                <w:szCs w:val="18"/>
              </w:rPr>
            </w:pPr>
            <w:r>
              <w:rPr>
                <w:rFonts w:ascii="Swis721 Lt BT"/>
                <w:color w:val="231F20"/>
                <w:sz w:val="18"/>
              </w:rPr>
              <w:t>7,181</w:t>
            </w:r>
            <w:r>
              <w:rPr>
                <w:rFonts w:ascii="Swis721 Lt BT"/>
                <w:sz w:val="18"/>
              </w:rPr>
            </w:r>
          </w:p>
        </w:tc>
        <w:tc>
          <w:tcPr>
            <w:tcW w:w="81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47"/>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31"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18" w:right="0"/>
              <w:jc w:val="left"/>
              <w:rPr>
                <w:rFonts w:ascii="Swis721 Lt BT" w:hAnsi="Swis721 Lt BT" w:cs="Swis721 Lt BT" w:eastAsia="Swis721 Lt BT"/>
                <w:sz w:val="18"/>
                <w:szCs w:val="18"/>
              </w:rPr>
            </w:pPr>
            <w:r>
              <w:rPr>
                <w:rFonts w:ascii="Swis721 Lt BT"/>
                <w:color w:val="231F20"/>
                <w:sz w:val="18"/>
              </w:rPr>
              <w:t>331</w:t>
            </w:r>
            <w:r>
              <w:rPr>
                <w:rFonts w:ascii="Swis721 Lt BT"/>
                <w:sz w:val="18"/>
              </w:rPr>
            </w:r>
          </w:p>
        </w:tc>
        <w:tc>
          <w:tcPr>
            <w:tcW w:w="118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10"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41"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58"/>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429" w:right="0"/>
              <w:jc w:val="left"/>
              <w:rPr>
                <w:rFonts w:ascii="Swis721 Lt BT" w:hAnsi="Swis721 Lt BT" w:cs="Swis721 Lt BT" w:eastAsia="Swis721 Lt BT"/>
                <w:sz w:val="18"/>
                <w:szCs w:val="18"/>
              </w:rPr>
            </w:pPr>
            <w:r>
              <w:rPr>
                <w:rFonts w:ascii="Swis721 Lt BT"/>
                <w:color w:val="231F20"/>
                <w:sz w:val="18"/>
              </w:rPr>
              <w:t>7,512</w:t>
            </w:r>
            <w:r>
              <w:rPr>
                <w:rFonts w:ascii="Swis721 Lt BT"/>
                <w:sz w:val="18"/>
              </w:rPr>
            </w:r>
          </w:p>
        </w:tc>
      </w:tr>
      <w:tr>
        <w:trPr>
          <w:trHeight w:val="329" w:hRule="exact"/>
        </w:trPr>
        <w:tc>
          <w:tcPr>
            <w:tcW w:w="233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6" w:right="0"/>
              <w:jc w:val="left"/>
              <w:rPr>
                <w:rFonts w:ascii="Swis721 Lt BT" w:hAnsi="Swis721 Lt BT" w:cs="Swis721 Lt BT" w:eastAsia="Swis721 Lt BT"/>
                <w:sz w:val="18"/>
                <w:szCs w:val="18"/>
              </w:rPr>
            </w:pPr>
            <w:r>
              <w:rPr>
                <w:rFonts w:ascii="Swis721 Lt BT"/>
                <w:color w:val="231F20"/>
                <w:sz w:val="18"/>
              </w:rPr>
              <w:t>NAIRN, ROBERT</w:t>
            </w:r>
            <w:r>
              <w:rPr>
                <w:rFonts w:ascii="Swis721 Lt BT"/>
                <w:sz w:val="18"/>
              </w:rPr>
            </w:r>
          </w:p>
        </w:tc>
        <w:tc>
          <w:tcPr>
            <w:tcW w:w="222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23" w:right="0"/>
              <w:jc w:val="left"/>
              <w:rPr>
                <w:rFonts w:ascii="Swis721 Lt BT" w:hAnsi="Swis721 Lt BT" w:cs="Swis721 Lt BT" w:eastAsia="Swis721 Lt BT"/>
                <w:sz w:val="18"/>
                <w:szCs w:val="18"/>
              </w:rPr>
            </w:pPr>
            <w:r>
              <w:rPr>
                <w:rFonts w:ascii="Swis721 Lt BT"/>
                <w:color w:val="231F20"/>
                <w:sz w:val="18"/>
              </w:rPr>
              <w:t>Non-Executive Director</w:t>
            </w:r>
            <w:r>
              <w:rPr>
                <w:rFonts w:ascii="Swis721 Lt BT"/>
                <w:sz w:val="18"/>
              </w:rPr>
            </w:r>
          </w:p>
        </w:tc>
        <w:tc>
          <w:tcPr>
            <w:tcW w:w="112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5" w:right="0"/>
              <w:jc w:val="left"/>
              <w:rPr>
                <w:rFonts w:ascii="Swis721 Lt BT" w:hAnsi="Swis721 Lt BT" w:cs="Swis721 Lt BT" w:eastAsia="Swis721 Lt BT"/>
                <w:sz w:val="18"/>
                <w:szCs w:val="18"/>
              </w:rPr>
            </w:pPr>
            <w:r>
              <w:rPr>
                <w:rFonts w:ascii="Swis721 Lt BT"/>
                <w:color w:val="231F20"/>
                <w:sz w:val="18"/>
              </w:rPr>
              <w:t>13,927</w:t>
            </w:r>
            <w:r>
              <w:rPr>
                <w:rFonts w:ascii="Swis721 Lt BT"/>
                <w:sz w:val="18"/>
              </w:rPr>
            </w:r>
          </w:p>
        </w:tc>
        <w:tc>
          <w:tcPr>
            <w:tcW w:w="81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47"/>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30"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74" w:right="0"/>
              <w:jc w:val="left"/>
              <w:rPr>
                <w:rFonts w:ascii="Swis721 Lt BT" w:hAnsi="Swis721 Lt BT" w:cs="Swis721 Lt BT" w:eastAsia="Swis721 Lt BT"/>
                <w:sz w:val="18"/>
                <w:szCs w:val="18"/>
              </w:rPr>
            </w:pPr>
            <w:r>
              <w:rPr>
                <w:rFonts w:ascii="Swis721 Lt BT"/>
                <w:color w:val="231F20"/>
                <w:sz w:val="18"/>
              </w:rPr>
              <w:t>1,323</w:t>
            </w:r>
            <w:r>
              <w:rPr>
                <w:rFonts w:ascii="Swis721 Lt BT"/>
                <w:sz w:val="18"/>
              </w:rPr>
            </w:r>
          </w:p>
        </w:tc>
        <w:tc>
          <w:tcPr>
            <w:tcW w:w="118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09"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40"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58"/>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3" w:right="0"/>
              <w:jc w:val="left"/>
              <w:rPr>
                <w:rFonts w:ascii="Swis721 Lt BT" w:hAnsi="Swis721 Lt BT" w:cs="Swis721 Lt BT" w:eastAsia="Swis721 Lt BT"/>
                <w:sz w:val="18"/>
                <w:szCs w:val="18"/>
              </w:rPr>
            </w:pPr>
            <w:r>
              <w:rPr>
                <w:rFonts w:ascii="Swis721 Lt BT"/>
                <w:color w:val="231F20"/>
                <w:sz w:val="18"/>
              </w:rPr>
              <w:t>15,250</w:t>
            </w:r>
            <w:r>
              <w:rPr>
                <w:rFonts w:ascii="Swis721 Lt BT"/>
                <w:sz w:val="18"/>
              </w:rPr>
            </w:r>
          </w:p>
        </w:tc>
      </w:tr>
      <w:tr>
        <w:trPr>
          <w:trHeight w:val="329" w:hRule="exact"/>
        </w:trPr>
        <w:tc>
          <w:tcPr>
            <w:tcW w:w="233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pacing w:val="-2"/>
                <w:sz w:val="18"/>
              </w:rPr>
              <w:t>BLACKWOOD,</w:t>
            </w:r>
            <w:r>
              <w:rPr>
                <w:rFonts w:ascii="Swis721 Lt BT"/>
                <w:color w:val="231F20"/>
                <w:sz w:val="18"/>
              </w:rPr>
              <w:t> </w:t>
            </w:r>
            <w:r>
              <w:rPr>
                <w:rFonts w:ascii="Swis721 Lt BT"/>
                <w:color w:val="231F20"/>
                <w:spacing w:val="-3"/>
                <w:sz w:val="18"/>
              </w:rPr>
              <w:t>BETHLYN</w:t>
            </w:r>
            <w:r>
              <w:rPr>
                <w:rFonts w:ascii="Swis721 Lt BT"/>
                <w:sz w:val="18"/>
              </w:rPr>
            </w:r>
          </w:p>
        </w:tc>
        <w:tc>
          <w:tcPr>
            <w:tcW w:w="222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23" w:right="0"/>
              <w:jc w:val="left"/>
              <w:rPr>
                <w:rFonts w:ascii="Swis721 Lt BT" w:hAnsi="Swis721 Lt BT" w:cs="Swis721 Lt BT" w:eastAsia="Swis721 Lt BT"/>
                <w:sz w:val="18"/>
                <w:szCs w:val="18"/>
              </w:rPr>
            </w:pPr>
            <w:r>
              <w:rPr>
                <w:rFonts w:ascii="Swis721 Lt BT"/>
                <w:color w:val="231F20"/>
                <w:sz w:val="18"/>
              </w:rPr>
              <w:t>Non-Executive Director</w:t>
            </w:r>
            <w:r>
              <w:rPr>
                <w:rFonts w:ascii="Swis721 Lt BT"/>
                <w:sz w:val="18"/>
              </w:rPr>
            </w:r>
          </w:p>
        </w:tc>
        <w:tc>
          <w:tcPr>
            <w:tcW w:w="112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5" w:right="0"/>
              <w:jc w:val="left"/>
              <w:rPr>
                <w:rFonts w:ascii="Swis721 Lt BT" w:hAnsi="Swis721 Lt BT" w:cs="Swis721 Lt BT" w:eastAsia="Swis721 Lt BT"/>
                <w:sz w:val="18"/>
                <w:szCs w:val="18"/>
              </w:rPr>
            </w:pPr>
            <w:r>
              <w:rPr>
                <w:rFonts w:ascii="Swis721 Lt BT"/>
                <w:color w:val="231F20"/>
                <w:sz w:val="18"/>
              </w:rPr>
              <w:t>10,880</w:t>
            </w:r>
            <w:r>
              <w:rPr>
                <w:rFonts w:ascii="Swis721 Lt BT"/>
                <w:sz w:val="18"/>
              </w:rPr>
            </w:r>
          </w:p>
        </w:tc>
        <w:tc>
          <w:tcPr>
            <w:tcW w:w="81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47"/>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30"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74" w:right="0"/>
              <w:jc w:val="left"/>
              <w:rPr>
                <w:rFonts w:ascii="Swis721 Lt BT" w:hAnsi="Swis721 Lt BT" w:cs="Swis721 Lt BT" w:eastAsia="Swis721 Lt BT"/>
                <w:sz w:val="18"/>
                <w:szCs w:val="18"/>
              </w:rPr>
            </w:pPr>
            <w:r>
              <w:rPr>
                <w:rFonts w:ascii="Swis721 Lt BT"/>
                <w:color w:val="231F20"/>
                <w:sz w:val="18"/>
              </w:rPr>
              <w:t>1,034</w:t>
            </w:r>
            <w:r>
              <w:rPr>
                <w:rFonts w:ascii="Swis721 Lt BT"/>
                <w:sz w:val="18"/>
              </w:rPr>
            </w:r>
          </w:p>
        </w:tc>
        <w:tc>
          <w:tcPr>
            <w:tcW w:w="118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09"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40"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58"/>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2" w:right="0"/>
              <w:jc w:val="left"/>
              <w:rPr>
                <w:rFonts w:ascii="Swis721 Lt BT" w:hAnsi="Swis721 Lt BT" w:cs="Swis721 Lt BT" w:eastAsia="Swis721 Lt BT"/>
                <w:sz w:val="18"/>
                <w:szCs w:val="18"/>
              </w:rPr>
            </w:pPr>
            <w:r>
              <w:rPr>
                <w:rFonts w:ascii="Swis721 Lt BT"/>
                <w:color w:val="231F20"/>
                <w:sz w:val="18"/>
              </w:rPr>
              <w:t>11,914</w:t>
            </w:r>
            <w:r>
              <w:rPr>
                <w:rFonts w:ascii="Swis721 Lt BT"/>
                <w:sz w:val="18"/>
              </w:rPr>
            </w:r>
          </w:p>
        </w:tc>
      </w:tr>
      <w:tr>
        <w:trPr>
          <w:trHeight w:val="329" w:hRule="exact"/>
        </w:trPr>
        <w:tc>
          <w:tcPr>
            <w:tcW w:w="233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z w:val="18"/>
              </w:rPr>
              <w:t>PENDERGAS</w:t>
            </w:r>
            <w:r>
              <w:rPr>
                <w:rFonts w:ascii="Swis721 Lt BT"/>
                <w:color w:val="231F20"/>
                <w:spacing w:val="-27"/>
                <w:sz w:val="18"/>
              </w:rPr>
              <w:t>T</w:t>
            </w:r>
            <w:r>
              <w:rPr>
                <w:rFonts w:ascii="Swis721 Lt BT"/>
                <w:color w:val="231F20"/>
                <w:sz w:val="18"/>
              </w:rPr>
              <w:t>, DONNA</w:t>
            </w:r>
            <w:r>
              <w:rPr>
                <w:rFonts w:ascii="Swis721 Lt BT"/>
                <w:sz w:val="18"/>
              </w:rPr>
            </w:r>
          </w:p>
        </w:tc>
        <w:tc>
          <w:tcPr>
            <w:tcW w:w="222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23" w:right="0"/>
              <w:jc w:val="left"/>
              <w:rPr>
                <w:rFonts w:ascii="Swis721 Lt BT" w:hAnsi="Swis721 Lt BT" w:cs="Swis721 Lt BT" w:eastAsia="Swis721 Lt BT"/>
                <w:sz w:val="18"/>
                <w:szCs w:val="18"/>
              </w:rPr>
            </w:pPr>
            <w:r>
              <w:rPr>
                <w:rFonts w:ascii="Swis721 Lt BT"/>
                <w:color w:val="231F20"/>
                <w:sz w:val="18"/>
              </w:rPr>
              <w:t>Non-Executive Director</w:t>
            </w:r>
            <w:r>
              <w:rPr>
                <w:rFonts w:ascii="Swis721 Lt BT"/>
                <w:sz w:val="18"/>
              </w:rPr>
            </w:r>
          </w:p>
        </w:tc>
        <w:tc>
          <w:tcPr>
            <w:tcW w:w="112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430" w:right="0"/>
              <w:jc w:val="left"/>
              <w:rPr>
                <w:rFonts w:ascii="Swis721 Lt BT" w:hAnsi="Swis721 Lt BT" w:cs="Swis721 Lt BT" w:eastAsia="Swis721 Lt BT"/>
                <w:sz w:val="18"/>
                <w:szCs w:val="18"/>
              </w:rPr>
            </w:pPr>
            <w:r>
              <w:rPr>
                <w:rFonts w:ascii="Swis721 Lt BT"/>
                <w:color w:val="231F20"/>
                <w:sz w:val="18"/>
              </w:rPr>
              <w:t>7,616</w:t>
            </w:r>
            <w:r>
              <w:rPr>
                <w:rFonts w:ascii="Swis721 Lt BT"/>
                <w:sz w:val="18"/>
              </w:rPr>
            </w:r>
          </w:p>
        </w:tc>
        <w:tc>
          <w:tcPr>
            <w:tcW w:w="81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48"/>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30"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17" w:right="0"/>
              <w:jc w:val="left"/>
              <w:rPr>
                <w:rFonts w:ascii="Swis721 Lt BT" w:hAnsi="Swis721 Lt BT" w:cs="Swis721 Lt BT" w:eastAsia="Swis721 Lt BT"/>
                <w:sz w:val="18"/>
                <w:szCs w:val="18"/>
              </w:rPr>
            </w:pPr>
            <w:r>
              <w:rPr>
                <w:rFonts w:ascii="Swis721 Lt BT"/>
                <w:color w:val="231F20"/>
                <w:sz w:val="18"/>
              </w:rPr>
              <w:t>724</w:t>
            </w:r>
            <w:r>
              <w:rPr>
                <w:rFonts w:ascii="Swis721 Lt BT"/>
                <w:sz w:val="18"/>
              </w:rPr>
            </w:r>
          </w:p>
        </w:tc>
        <w:tc>
          <w:tcPr>
            <w:tcW w:w="118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09"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39"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58"/>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428" w:right="0"/>
              <w:jc w:val="left"/>
              <w:rPr>
                <w:rFonts w:ascii="Swis721 Lt BT" w:hAnsi="Swis721 Lt BT" w:cs="Swis721 Lt BT" w:eastAsia="Swis721 Lt BT"/>
                <w:sz w:val="18"/>
                <w:szCs w:val="18"/>
              </w:rPr>
            </w:pPr>
            <w:r>
              <w:rPr>
                <w:rFonts w:ascii="Swis721 Lt BT"/>
                <w:color w:val="231F20"/>
                <w:sz w:val="18"/>
              </w:rPr>
              <w:t>8,340</w:t>
            </w:r>
            <w:r>
              <w:rPr>
                <w:rFonts w:ascii="Swis721 Lt BT"/>
                <w:sz w:val="18"/>
              </w:rPr>
            </w:r>
          </w:p>
        </w:tc>
      </w:tr>
      <w:tr>
        <w:trPr>
          <w:trHeight w:val="329" w:hRule="exact"/>
        </w:trPr>
        <w:tc>
          <w:tcPr>
            <w:tcW w:w="233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z w:val="18"/>
              </w:rPr>
              <w:t>MOWBR</w:t>
            </w:r>
            <w:r>
              <w:rPr>
                <w:rFonts w:ascii="Swis721 Lt BT"/>
                <w:color w:val="231F20"/>
                <w:spacing w:val="-11"/>
                <w:sz w:val="18"/>
              </w:rPr>
              <w:t>A</w:t>
            </w:r>
            <w:r>
              <w:rPr>
                <w:rFonts w:ascii="Swis721 Lt BT"/>
                <w:color w:val="231F20"/>
                <w:spacing w:val="-31"/>
                <w:sz w:val="18"/>
              </w:rPr>
              <w:t>Y</w:t>
            </w:r>
            <w:r>
              <w:rPr>
                <w:rFonts w:ascii="Swis721 Lt BT"/>
                <w:color w:val="231F20"/>
                <w:sz w:val="18"/>
              </w:rPr>
              <w:t>, MARK</w:t>
            </w:r>
            <w:r>
              <w:rPr>
                <w:rFonts w:ascii="Swis721 Lt BT"/>
                <w:sz w:val="18"/>
              </w:rPr>
            </w:r>
          </w:p>
        </w:tc>
        <w:tc>
          <w:tcPr>
            <w:tcW w:w="222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22" w:right="0"/>
              <w:jc w:val="left"/>
              <w:rPr>
                <w:rFonts w:ascii="Swis721 Lt BT" w:hAnsi="Swis721 Lt BT" w:cs="Swis721 Lt BT" w:eastAsia="Swis721 Lt BT"/>
                <w:sz w:val="18"/>
                <w:szCs w:val="18"/>
              </w:rPr>
            </w:pPr>
            <w:r>
              <w:rPr>
                <w:rFonts w:ascii="Swis721 Lt BT"/>
                <w:color w:val="231F20"/>
                <w:sz w:val="18"/>
              </w:rPr>
              <w:t>Non-Executive Director</w:t>
            </w:r>
            <w:r>
              <w:rPr>
                <w:rFonts w:ascii="Swis721 Lt BT"/>
                <w:sz w:val="18"/>
              </w:rPr>
            </w:r>
          </w:p>
        </w:tc>
        <w:tc>
          <w:tcPr>
            <w:tcW w:w="112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4" w:right="0"/>
              <w:jc w:val="left"/>
              <w:rPr>
                <w:rFonts w:ascii="Swis721 Lt BT" w:hAnsi="Swis721 Lt BT" w:cs="Swis721 Lt BT" w:eastAsia="Swis721 Lt BT"/>
                <w:sz w:val="18"/>
                <w:szCs w:val="18"/>
              </w:rPr>
            </w:pPr>
            <w:r>
              <w:rPr>
                <w:rFonts w:ascii="Swis721 Lt BT"/>
                <w:color w:val="231F20"/>
                <w:sz w:val="18"/>
              </w:rPr>
              <w:t>10,663</w:t>
            </w:r>
            <w:r>
              <w:rPr>
                <w:rFonts w:ascii="Swis721 Lt BT"/>
                <w:sz w:val="18"/>
              </w:rPr>
            </w:r>
          </w:p>
        </w:tc>
        <w:tc>
          <w:tcPr>
            <w:tcW w:w="81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48"/>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30"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73" w:right="0"/>
              <w:jc w:val="left"/>
              <w:rPr>
                <w:rFonts w:ascii="Swis721 Lt BT" w:hAnsi="Swis721 Lt BT" w:cs="Swis721 Lt BT" w:eastAsia="Swis721 Lt BT"/>
                <w:sz w:val="18"/>
                <w:szCs w:val="18"/>
              </w:rPr>
            </w:pPr>
            <w:r>
              <w:rPr>
                <w:rFonts w:ascii="Swis721 Lt BT"/>
                <w:color w:val="231F20"/>
                <w:sz w:val="18"/>
              </w:rPr>
              <w:t>1,013</w:t>
            </w:r>
            <w:r>
              <w:rPr>
                <w:rFonts w:ascii="Swis721 Lt BT"/>
                <w:sz w:val="18"/>
              </w:rPr>
            </w:r>
          </w:p>
        </w:tc>
        <w:tc>
          <w:tcPr>
            <w:tcW w:w="118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08"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39"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58"/>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2" w:right="0"/>
              <w:jc w:val="left"/>
              <w:rPr>
                <w:rFonts w:ascii="Swis721 Lt BT" w:hAnsi="Swis721 Lt BT" w:cs="Swis721 Lt BT" w:eastAsia="Swis721 Lt BT"/>
                <w:sz w:val="18"/>
                <w:szCs w:val="18"/>
              </w:rPr>
            </w:pPr>
            <w:r>
              <w:rPr>
                <w:rFonts w:ascii="Swis721 Lt BT"/>
                <w:color w:val="231F20"/>
                <w:sz w:val="18"/>
              </w:rPr>
              <w:t>11,676</w:t>
            </w:r>
            <w:r>
              <w:rPr>
                <w:rFonts w:ascii="Swis721 Lt BT"/>
                <w:sz w:val="18"/>
              </w:rPr>
            </w:r>
          </w:p>
        </w:tc>
      </w:tr>
      <w:tr>
        <w:trPr>
          <w:trHeight w:val="329" w:hRule="exact"/>
        </w:trPr>
        <w:tc>
          <w:tcPr>
            <w:tcW w:w="233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z w:val="18"/>
              </w:rPr>
              <w:t>LAMMON, RENEZ</w:t>
            </w:r>
            <w:r>
              <w:rPr>
                <w:rFonts w:ascii="Swis721 Lt BT"/>
                <w:sz w:val="18"/>
              </w:rPr>
            </w:r>
          </w:p>
        </w:tc>
        <w:tc>
          <w:tcPr>
            <w:tcW w:w="222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22" w:right="0"/>
              <w:jc w:val="left"/>
              <w:rPr>
                <w:rFonts w:ascii="Swis721 Lt BT" w:hAnsi="Swis721 Lt BT" w:cs="Swis721 Lt BT" w:eastAsia="Swis721 Lt BT"/>
                <w:sz w:val="18"/>
                <w:szCs w:val="18"/>
              </w:rPr>
            </w:pPr>
            <w:r>
              <w:rPr>
                <w:rFonts w:ascii="Swis721 Lt BT"/>
                <w:color w:val="231F20"/>
                <w:sz w:val="18"/>
              </w:rPr>
              <w:t>Non-Executive Director</w:t>
            </w:r>
            <w:r>
              <w:rPr>
                <w:rFonts w:ascii="Swis721 Lt BT"/>
                <w:sz w:val="18"/>
              </w:rPr>
            </w:r>
          </w:p>
        </w:tc>
        <w:tc>
          <w:tcPr>
            <w:tcW w:w="112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4" w:right="0"/>
              <w:jc w:val="left"/>
              <w:rPr>
                <w:rFonts w:ascii="Swis721 Lt BT" w:hAnsi="Swis721 Lt BT" w:cs="Swis721 Lt BT" w:eastAsia="Swis721 Lt BT"/>
                <w:sz w:val="18"/>
                <w:szCs w:val="18"/>
              </w:rPr>
            </w:pPr>
            <w:r>
              <w:rPr>
                <w:rFonts w:ascii="Swis721 Lt BT"/>
                <w:color w:val="231F20"/>
                <w:sz w:val="18"/>
              </w:rPr>
              <w:t>13,056</w:t>
            </w:r>
            <w:r>
              <w:rPr>
                <w:rFonts w:ascii="Swis721 Lt BT"/>
                <w:sz w:val="18"/>
              </w:rPr>
            </w:r>
          </w:p>
        </w:tc>
        <w:tc>
          <w:tcPr>
            <w:tcW w:w="81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48"/>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30"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73" w:right="0"/>
              <w:jc w:val="left"/>
              <w:rPr>
                <w:rFonts w:ascii="Swis721 Lt BT" w:hAnsi="Swis721 Lt BT" w:cs="Swis721 Lt BT" w:eastAsia="Swis721 Lt BT"/>
                <w:sz w:val="18"/>
                <w:szCs w:val="18"/>
              </w:rPr>
            </w:pPr>
            <w:r>
              <w:rPr>
                <w:rFonts w:ascii="Swis721 Lt BT"/>
                <w:color w:val="231F20"/>
                <w:sz w:val="18"/>
              </w:rPr>
              <w:t>1,240</w:t>
            </w:r>
            <w:r>
              <w:rPr>
                <w:rFonts w:ascii="Swis721 Lt BT"/>
                <w:sz w:val="18"/>
              </w:rPr>
            </w:r>
          </w:p>
        </w:tc>
        <w:tc>
          <w:tcPr>
            <w:tcW w:w="118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08"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39"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58"/>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2" w:right="0"/>
              <w:jc w:val="left"/>
              <w:rPr>
                <w:rFonts w:ascii="Swis721 Lt BT" w:hAnsi="Swis721 Lt BT" w:cs="Swis721 Lt BT" w:eastAsia="Swis721 Lt BT"/>
                <w:sz w:val="18"/>
                <w:szCs w:val="18"/>
              </w:rPr>
            </w:pPr>
            <w:r>
              <w:rPr>
                <w:rFonts w:ascii="Swis721 Lt BT"/>
                <w:color w:val="231F20"/>
                <w:sz w:val="18"/>
              </w:rPr>
              <w:t>14,296</w:t>
            </w:r>
            <w:r>
              <w:rPr>
                <w:rFonts w:ascii="Swis721 Lt BT"/>
                <w:sz w:val="18"/>
              </w:rPr>
            </w:r>
          </w:p>
        </w:tc>
      </w:tr>
      <w:tr>
        <w:trPr>
          <w:trHeight w:val="341" w:hRule="exact"/>
        </w:trPr>
        <w:tc>
          <w:tcPr>
            <w:tcW w:w="233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pacing w:val="-2"/>
                <w:sz w:val="18"/>
              </w:rPr>
              <w:t>LIND,</w:t>
            </w:r>
            <w:r>
              <w:rPr>
                <w:rFonts w:ascii="Swis721 Lt BT"/>
                <w:color w:val="231F20"/>
                <w:sz w:val="18"/>
              </w:rPr>
              <w:t> PETER</w:t>
            </w:r>
            <w:r>
              <w:rPr>
                <w:rFonts w:ascii="Swis721 Lt BT"/>
                <w:sz w:val="18"/>
              </w:rPr>
            </w:r>
          </w:p>
        </w:tc>
        <w:tc>
          <w:tcPr>
            <w:tcW w:w="2221"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22" w:right="0"/>
              <w:jc w:val="left"/>
              <w:rPr>
                <w:rFonts w:ascii="Swis721 Lt BT" w:hAnsi="Swis721 Lt BT" w:cs="Swis721 Lt BT" w:eastAsia="Swis721 Lt BT"/>
                <w:sz w:val="18"/>
                <w:szCs w:val="18"/>
              </w:rPr>
            </w:pPr>
            <w:r>
              <w:rPr>
                <w:rFonts w:ascii="Swis721 Lt BT"/>
                <w:color w:val="231F20"/>
                <w:sz w:val="18"/>
              </w:rPr>
              <w:t>Non-Executive Director</w:t>
            </w:r>
            <w:r>
              <w:rPr>
                <w:rFonts w:ascii="Swis721 Lt BT"/>
                <w:sz w:val="18"/>
              </w:rPr>
            </w:r>
          </w:p>
        </w:tc>
        <w:tc>
          <w:tcPr>
            <w:tcW w:w="1122"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334" w:right="0"/>
              <w:jc w:val="left"/>
              <w:rPr>
                <w:rFonts w:ascii="Swis721 Lt BT" w:hAnsi="Swis721 Lt BT" w:cs="Swis721 Lt BT" w:eastAsia="Swis721 Lt BT"/>
                <w:sz w:val="18"/>
                <w:szCs w:val="18"/>
              </w:rPr>
            </w:pPr>
            <w:r>
              <w:rPr>
                <w:rFonts w:ascii="Swis721 Lt BT"/>
                <w:color w:val="231F20"/>
                <w:sz w:val="18"/>
              </w:rPr>
              <w:t>13,882</w:t>
            </w:r>
            <w:r>
              <w:rPr>
                <w:rFonts w:ascii="Swis721 Lt BT"/>
                <w:sz w:val="18"/>
              </w:rPr>
            </w:r>
          </w:p>
        </w:tc>
        <w:tc>
          <w:tcPr>
            <w:tcW w:w="810"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right="149"/>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4"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30" w:right="0"/>
              <w:jc w:val="lef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46"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17" w:right="0"/>
              <w:jc w:val="left"/>
              <w:rPr>
                <w:rFonts w:ascii="Swis721 Lt BT" w:hAnsi="Swis721 Lt BT" w:cs="Swis721 Lt BT" w:eastAsia="Swis721 Lt BT"/>
                <w:sz w:val="18"/>
                <w:szCs w:val="18"/>
              </w:rPr>
            </w:pPr>
            <w:r>
              <w:rPr>
                <w:rFonts w:ascii="Swis721 Lt BT"/>
                <w:color w:val="231F20"/>
                <w:sz w:val="18"/>
              </w:rPr>
              <w:t>306</w:t>
            </w:r>
            <w:r>
              <w:rPr>
                <w:rFonts w:ascii="Swis721 Lt BT"/>
                <w:sz w:val="18"/>
              </w:rPr>
            </w:r>
          </w:p>
        </w:tc>
        <w:tc>
          <w:tcPr>
            <w:tcW w:w="1189"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308"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820"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38"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490"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right="59"/>
              <w:jc w:val="right"/>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924"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332" w:right="0"/>
              <w:jc w:val="left"/>
              <w:rPr>
                <w:rFonts w:ascii="Swis721 Lt BT" w:hAnsi="Swis721 Lt BT" w:cs="Swis721 Lt BT" w:eastAsia="Swis721 Lt BT"/>
                <w:sz w:val="18"/>
                <w:szCs w:val="18"/>
              </w:rPr>
            </w:pPr>
            <w:r>
              <w:rPr>
                <w:rFonts w:ascii="Swis721 Lt BT"/>
                <w:color w:val="231F20"/>
                <w:sz w:val="18"/>
              </w:rPr>
              <w:t>14,188</w:t>
            </w:r>
            <w:r>
              <w:rPr>
                <w:rFonts w:ascii="Swis721 Lt BT"/>
                <w:sz w:val="18"/>
              </w:rPr>
            </w:r>
          </w:p>
        </w:tc>
      </w:tr>
      <w:tr>
        <w:trPr>
          <w:trHeight w:val="349" w:hRule="exact"/>
        </w:trPr>
        <w:tc>
          <w:tcPr>
            <w:tcW w:w="233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5" w:right="0"/>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w:t>
            </w:r>
            <w:r>
              <w:rPr>
                <w:rFonts w:ascii="Swis721 Md BT"/>
                <w:color w:val="231F20"/>
                <w:spacing w:val="-1"/>
                <w:sz w:val="18"/>
              </w:rPr>
              <w:t>Part-time</w:t>
            </w:r>
            <w:r>
              <w:rPr>
                <w:rFonts w:ascii="Swis721 Md BT"/>
                <w:color w:val="231F20"/>
                <w:sz w:val="18"/>
              </w:rPr>
              <w:t> Directors</w:t>
            </w:r>
            <w:r>
              <w:rPr>
                <w:rFonts w:ascii="Swis721 Md BT"/>
                <w:sz w:val="18"/>
              </w:rPr>
            </w:r>
          </w:p>
        </w:tc>
        <w:tc>
          <w:tcPr>
            <w:tcW w:w="2221" w:type="dxa"/>
            <w:tcBorders>
              <w:top w:val="single" w:sz="8" w:space="0" w:color="848B91"/>
              <w:left w:val="nil" w:sz="6" w:space="0" w:color="auto"/>
              <w:bottom w:val="single" w:sz="8" w:space="0" w:color="848B91"/>
              <w:right w:val="nil" w:sz="6" w:space="0" w:color="auto"/>
            </w:tcBorders>
          </w:tcPr>
          <w:p>
            <w:pPr/>
          </w:p>
        </w:tc>
        <w:tc>
          <w:tcPr>
            <w:tcW w:w="112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09" w:right="0"/>
              <w:jc w:val="left"/>
              <w:rPr>
                <w:rFonts w:ascii="Swis721 Md BT" w:hAnsi="Swis721 Md BT" w:cs="Swis721 Md BT" w:eastAsia="Swis721 Md BT"/>
                <w:sz w:val="18"/>
                <w:szCs w:val="18"/>
              </w:rPr>
            </w:pPr>
            <w:r>
              <w:rPr>
                <w:rFonts w:ascii="Swis721 Md BT"/>
                <w:color w:val="231F20"/>
                <w:sz w:val="18"/>
              </w:rPr>
              <w:t>250,420</w:t>
            </w:r>
            <w:r>
              <w:rPr>
                <w:rFonts w:ascii="Swis721 Md BT"/>
                <w:sz w:val="18"/>
              </w:rPr>
            </w:r>
          </w:p>
        </w:tc>
        <w:tc>
          <w:tcPr>
            <w:tcW w:w="810"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58" w:right="0"/>
              <w:jc w:val="left"/>
              <w:rPr>
                <w:rFonts w:ascii="Swis721 Md BT" w:hAnsi="Swis721 Md BT" w:cs="Swis721 Md BT" w:eastAsia="Swis721 Md BT"/>
                <w:sz w:val="18"/>
                <w:szCs w:val="18"/>
              </w:rPr>
            </w:pPr>
            <w:r>
              <w:rPr>
                <w:rFonts w:ascii="Swis721 Md BT"/>
                <w:color w:val="231F20"/>
                <w:sz w:val="18"/>
              </w:rPr>
              <w:t>0</w:t>
            </w:r>
            <w:r>
              <w:rPr>
                <w:rFonts w:ascii="Swis721 Md BT"/>
                <w:sz w:val="18"/>
              </w:rPr>
            </w:r>
          </w:p>
        </w:tc>
        <w:tc>
          <w:tcPr>
            <w:tcW w:w="824"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73" w:right="0"/>
              <w:jc w:val="center"/>
              <w:rPr>
                <w:rFonts w:ascii="Swis721 Md BT" w:hAnsi="Swis721 Md BT" w:cs="Swis721 Md BT" w:eastAsia="Swis721 Md BT"/>
                <w:sz w:val="18"/>
                <w:szCs w:val="18"/>
              </w:rPr>
            </w:pPr>
            <w:r>
              <w:rPr>
                <w:rFonts w:ascii="Swis721 Md BT"/>
                <w:color w:val="231F20"/>
                <w:sz w:val="18"/>
              </w:rPr>
              <w:t>0</w:t>
            </w:r>
            <w:r>
              <w:rPr>
                <w:rFonts w:ascii="Swis721 Md BT"/>
                <w:sz w:val="18"/>
              </w:rPr>
            </w:r>
          </w:p>
        </w:tc>
        <w:tc>
          <w:tcPr>
            <w:tcW w:w="94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33" w:right="0"/>
              <w:jc w:val="left"/>
              <w:rPr>
                <w:rFonts w:ascii="Swis721 Md BT" w:hAnsi="Swis721 Md BT" w:cs="Swis721 Md BT" w:eastAsia="Swis721 Md BT"/>
                <w:sz w:val="18"/>
                <w:szCs w:val="18"/>
              </w:rPr>
            </w:pPr>
            <w:r>
              <w:rPr>
                <w:rFonts w:ascii="Swis721 Md BT"/>
                <w:color w:val="231F20"/>
                <w:sz w:val="18"/>
              </w:rPr>
              <w:t>21,112</w:t>
            </w:r>
            <w:r>
              <w:rPr>
                <w:rFonts w:ascii="Swis721 Md BT"/>
                <w:sz w:val="18"/>
              </w:rPr>
            </w:r>
          </w:p>
        </w:tc>
        <w:tc>
          <w:tcPr>
            <w:tcW w:w="1189"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26" w:right="0"/>
              <w:jc w:val="center"/>
              <w:rPr>
                <w:rFonts w:ascii="Swis721 Md BT" w:hAnsi="Swis721 Md BT" w:cs="Swis721 Md BT" w:eastAsia="Swis721 Md BT"/>
                <w:sz w:val="18"/>
                <w:szCs w:val="18"/>
              </w:rPr>
            </w:pPr>
            <w:r>
              <w:rPr>
                <w:rFonts w:ascii="Swis721 Md BT"/>
                <w:color w:val="231F20"/>
                <w:sz w:val="18"/>
              </w:rPr>
              <w:t>0</w:t>
            </w:r>
            <w:r>
              <w:rPr>
                <w:rFonts w:ascii="Swis721 Md BT"/>
                <w:sz w:val="18"/>
              </w:rPr>
            </w:r>
          </w:p>
        </w:tc>
        <w:tc>
          <w:tcPr>
            <w:tcW w:w="820"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97" w:right="0"/>
              <w:jc w:val="center"/>
              <w:rPr>
                <w:rFonts w:ascii="Swis721 Md BT" w:hAnsi="Swis721 Md BT" w:cs="Swis721 Md BT" w:eastAsia="Swis721 Md BT"/>
                <w:sz w:val="18"/>
                <w:szCs w:val="18"/>
              </w:rPr>
            </w:pPr>
            <w:r>
              <w:rPr>
                <w:rFonts w:ascii="Swis721 Md BT"/>
                <w:color w:val="231F20"/>
                <w:sz w:val="18"/>
              </w:rPr>
              <w:t>0</w:t>
            </w:r>
            <w:r>
              <w:rPr>
                <w:rFonts w:ascii="Swis721 Md BT"/>
                <w:sz w:val="18"/>
              </w:rPr>
            </w:r>
          </w:p>
        </w:tc>
        <w:tc>
          <w:tcPr>
            <w:tcW w:w="490"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08" w:right="0"/>
              <w:jc w:val="left"/>
              <w:rPr>
                <w:rFonts w:ascii="Swis721 Md BT" w:hAnsi="Swis721 Md BT" w:cs="Swis721 Md BT" w:eastAsia="Swis721 Md BT"/>
                <w:sz w:val="18"/>
                <w:szCs w:val="18"/>
              </w:rPr>
            </w:pPr>
            <w:r>
              <w:rPr>
                <w:rFonts w:ascii="Swis721 Md BT"/>
                <w:color w:val="231F20"/>
                <w:sz w:val="18"/>
              </w:rPr>
              <w:t>0</w:t>
            </w:r>
            <w:r>
              <w:rPr>
                <w:rFonts w:ascii="Swis721 Md BT"/>
                <w:sz w:val="18"/>
              </w:rPr>
            </w:r>
          </w:p>
        </w:tc>
        <w:tc>
          <w:tcPr>
            <w:tcW w:w="924"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07" w:right="0"/>
              <w:jc w:val="left"/>
              <w:rPr>
                <w:rFonts w:ascii="Swis721 Md BT" w:hAnsi="Swis721 Md BT" w:cs="Swis721 Md BT" w:eastAsia="Swis721 Md BT"/>
                <w:sz w:val="18"/>
                <w:szCs w:val="18"/>
              </w:rPr>
            </w:pPr>
            <w:r>
              <w:rPr>
                <w:rFonts w:ascii="Swis721 Md BT"/>
                <w:color w:val="231F20"/>
                <w:sz w:val="18"/>
              </w:rPr>
              <w:t>271,532</w:t>
            </w:r>
            <w:r>
              <w:rPr>
                <w:rFonts w:ascii="Swis721 Md BT"/>
                <w:sz w:val="18"/>
              </w:rPr>
            </w:r>
          </w:p>
        </w:tc>
      </w:tr>
    </w:tbl>
    <w:p>
      <w:pPr>
        <w:tabs>
          <w:tab w:pos="4725" w:val="left" w:leader="none"/>
          <w:tab w:pos="6047" w:val="left" w:leader="none"/>
          <w:tab w:pos="7047" w:val="left" w:leader="none"/>
          <w:tab w:pos="7656" w:val="left" w:leader="none"/>
          <w:tab w:pos="8676" w:val="left" w:leader="none"/>
          <w:tab w:pos="9967" w:val="left" w:leader="none"/>
          <w:tab w:pos="10687" w:val="left" w:leader="none"/>
        </w:tabs>
        <w:spacing w:before="33"/>
        <w:ind w:left="167" w:right="0" w:firstLine="0"/>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key management personnel</w:t>
        <w:tab/>
      </w:r>
      <w:r>
        <w:rPr>
          <w:rFonts w:ascii="Swis721 Md BT"/>
          <w:color w:val="231F20"/>
          <w:w w:val="95"/>
          <w:sz w:val="18"/>
        </w:rPr>
        <w:t>1,193,548</w:t>
        <w:tab/>
        <w:t>0</w:t>
        <w:tab/>
        <w:t>0</w:t>
        <w:tab/>
      </w:r>
      <w:r>
        <w:rPr>
          <w:rFonts w:ascii="Swis721 Md BT"/>
          <w:color w:val="231F20"/>
          <w:sz w:val="18"/>
        </w:rPr>
        <w:t>89,679</w:t>
        <w:tab/>
        <w:t>9,947</w:t>
        <w:tab/>
      </w:r>
      <w:r>
        <w:rPr>
          <w:rFonts w:ascii="Swis721 Md BT"/>
          <w:color w:val="231F20"/>
          <w:w w:val="95"/>
          <w:sz w:val="18"/>
        </w:rPr>
        <w:t>0</w:t>
        <w:tab/>
      </w:r>
      <w:r>
        <w:rPr>
          <w:rFonts w:ascii="Swis721 Md BT"/>
          <w:color w:val="231F20"/>
          <w:sz w:val="18"/>
        </w:rPr>
        <w:t>0 </w:t>
      </w:r>
      <w:r>
        <w:rPr>
          <w:rFonts w:ascii="Swis721 Md BT"/>
          <w:color w:val="231F20"/>
          <w:spacing w:val="37"/>
          <w:sz w:val="18"/>
        </w:rPr>
        <w:t> </w:t>
      </w:r>
      <w:r>
        <w:rPr>
          <w:rFonts w:ascii="Swis721 Md BT"/>
          <w:color w:val="231F20"/>
          <w:sz w:val="18"/>
        </w:rPr>
        <w:t>1,293,174</w:t>
      </w:r>
      <w:r>
        <w:rPr>
          <w:rFonts w:ascii="Swis721 Md BT"/>
          <w:sz w:val="18"/>
        </w:rPr>
      </w:r>
    </w:p>
    <w:p>
      <w:pPr>
        <w:spacing w:line="240" w:lineRule="auto" w:before="11"/>
        <w:rPr>
          <w:rFonts w:ascii="Swis721 Md BT" w:hAnsi="Swis721 Md BT" w:cs="Swis721 Md BT" w:eastAsia="Swis721 Md BT"/>
          <w:sz w:val="4"/>
          <w:szCs w:val="4"/>
        </w:rPr>
      </w:pPr>
    </w:p>
    <w:p>
      <w:pPr>
        <w:spacing w:line="20" w:lineRule="atLeast"/>
        <w:ind w:left="160" w:right="0" w:firstLine="0"/>
        <w:rPr>
          <w:rFonts w:ascii="Swis721 Md BT" w:hAnsi="Swis721 Md BT" w:cs="Swis721 Md BT" w:eastAsia="Swis721 Md BT"/>
          <w:sz w:val="2"/>
          <w:szCs w:val="2"/>
        </w:rPr>
      </w:pPr>
      <w:r>
        <w:rPr>
          <w:rFonts w:ascii="Swis721 Md BT" w:hAnsi="Swis721 Md BT" w:cs="Swis721 Md BT" w:eastAsia="Swis721 Md BT"/>
          <w:sz w:val="2"/>
          <w:szCs w:val="2"/>
        </w:rPr>
        <w:pict>
          <v:group style="width:582.15pt;height:1pt;mso-position-horizontal-relative:char;mso-position-vertical-relative:line" coordorigin="0,0" coordsize="11643,20">
            <v:group style="position:absolute;left:10;top:10;width:11623;height:2" coordorigin="10,10" coordsize="11623,2">
              <v:shape style="position:absolute;left:10;top:10;width:11623;height:2" coordorigin="10,10" coordsize="11623,0" path="m10,10l11632,10e" filled="false" stroked="true" strokeweight="1pt" strokecolor="#848b91">
                <v:path arrowok="t"/>
              </v:shape>
            </v:group>
          </v:group>
        </w:pict>
      </w:r>
      <w:r>
        <w:rPr>
          <w:rFonts w:ascii="Swis721 Md BT" w:hAnsi="Swis721 Md BT" w:cs="Swis721 Md BT" w:eastAsia="Swis721 Md BT"/>
          <w:sz w:val="2"/>
          <w:szCs w:val="2"/>
        </w:rPr>
      </w:r>
    </w:p>
    <w:p>
      <w:pPr>
        <w:spacing w:after="0" w:line="20" w:lineRule="atLeast"/>
        <w:rPr>
          <w:rFonts w:ascii="Swis721 Md BT" w:hAnsi="Swis721 Md BT" w:cs="Swis721 Md BT" w:eastAsia="Swis721 Md BT"/>
          <w:sz w:val="2"/>
          <w:szCs w:val="2"/>
        </w:rPr>
        <w:sectPr>
          <w:footerReference w:type="even" r:id="rId59"/>
          <w:pgSz w:w="14180" w:h="9980" w:orient="landscape"/>
          <w:pgMar w:footer="0" w:header="0" w:top="0" w:bottom="280" w:left="680" w:right="1580"/>
        </w:sectPr>
      </w:pPr>
    </w:p>
    <w:p>
      <w:pPr>
        <w:spacing w:before="58"/>
        <w:ind w:left="0" w:right="10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7"/>
        <w:rPr>
          <w:rFonts w:ascii="Swis721 Lt BT" w:hAnsi="Swis721 Lt BT" w:cs="Swis721 Lt BT" w:eastAsia="Swis721 Lt BT"/>
          <w:sz w:val="23"/>
          <w:szCs w:val="23"/>
        </w:rPr>
      </w:pPr>
    </w:p>
    <w:p>
      <w:pPr>
        <w:pStyle w:val="Heading8"/>
        <w:spacing w:line="240" w:lineRule="auto" w:before="65"/>
        <w:ind w:left="173" w:right="0"/>
        <w:jc w:val="left"/>
      </w:pPr>
      <w:r>
        <w:rPr>
          <w:color w:val="00757A"/>
        </w:rPr>
        <w:t>Remuneration</w:t>
      </w:r>
      <w:r>
        <w:rPr>
          <w:color w:val="00757A"/>
          <w:spacing w:val="-1"/>
        </w:rPr>
        <w:t> </w:t>
      </w:r>
      <w:r>
        <w:rPr>
          <w:color w:val="00757A"/>
        </w:rPr>
        <w:t>for senior executives</w:t>
      </w:r>
      <w:r>
        <w:rPr/>
      </w:r>
    </w:p>
    <w:p>
      <w:pPr>
        <w:spacing w:line="240" w:lineRule="auto" w:before="10"/>
        <w:rPr>
          <w:rFonts w:ascii="Swis721 Md BT" w:hAnsi="Swis721 Md BT" w:cs="Swis721 Md BT" w:eastAsia="Swis721 Md BT"/>
          <w:sz w:val="29"/>
          <w:szCs w:val="29"/>
        </w:rPr>
      </w:pPr>
    </w:p>
    <w:tbl>
      <w:tblPr>
        <w:tblW w:w="0" w:type="auto"/>
        <w:jc w:val="left"/>
        <w:tblInd w:w="173" w:type="dxa"/>
        <w:tblLayout w:type="fixed"/>
        <w:tblCellMar>
          <w:top w:w="0" w:type="dxa"/>
          <w:left w:w="0" w:type="dxa"/>
          <w:bottom w:w="0" w:type="dxa"/>
          <w:right w:w="0" w:type="dxa"/>
        </w:tblCellMar>
        <w:tblLook w:val="01E0"/>
      </w:tblPr>
      <w:tblGrid>
        <w:gridCol w:w="744"/>
        <w:gridCol w:w="801"/>
        <w:gridCol w:w="712"/>
        <w:gridCol w:w="803"/>
        <w:gridCol w:w="766"/>
        <w:gridCol w:w="804"/>
        <w:gridCol w:w="1694"/>
        <w:gridCol w:w="815"/>
        <w:gridCol w:w="857"/>
      </w:tblGrid>
      <w:tr>
        <w:trPr>
          <w:trHeight w:val="946" w:hRule="exact"/>
        </w:trPr>
        <w:tc>
          <w:tcPr>
            <w:tcW w:w="1545" w:type="dxa"/>
            <w:gridSpan w:val="2"/>
            <w:tcBorders>
              <w:top w:val="nil" w:sz="6" w:space="0" w:color="auto"/>
              <w:left w:val="nil" w:sz="6" w:space="0" w:color="auto"/>
              <w:bottom w:val="nil" w:sz="6" w:space="0" w:color="auto"/>
              <w:right w:val="nil" w:sz="6" w:space="0" w:color="auto"/>
            </w:tcBorders>
          </w:tcPr>
          <w:p>
            <w:pPr/>
          </w:p>
        </w:tc>
        <w:tc>
          <w:tcPr>
            <w:tcW w:w="2282" w:type="dxa"/>
            <w:gridSpan w:val="3"/>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871" w:right="0"/>
              <w:jc w:val="left"/>
              <w:rPr>
                <w:rFonts w:ascii="Swis721 Cn BT" w:hAnsi="Swis721 Cn BT" w:cs="Swis721 Cn BT" w:eastAsia="Swis721 Cn BT"/>
                <w:sz w:val="18"/>
                <w:szCs w:val="18"/>
              </w:rPr>
            </w:pPr>
            <w:r>
              <w:rPr>
                <w:rFonts w:ascii="Swis721 Cn BT"/>
                <w:color w:val="303B41"/>
                <w:spacing w:val="1"/>
                <w:sz w:val="18"/>
              </w:rPr>
              <w:t>Short-term</w:t>
            </w:r>
            <w:r>
              <w:rPr>
                <w:rFonts w:ascii="Swis721 Cn BT"/>
                <w:color w:val="303B41"/>
                <w:spacing w:val="-6"/>
                <w:sz w:val="18"/>
              </w:rPr>
              <w:t> </w:t>
            </w:r>
            <w:r>
              <w:rPr>
                <w:rFonts w:ascii="Swis721 Cn BT"/>
                <w:color w:val="303B41"/>
                <w:sz w:val="18"/>
              </w:rPr>
              <w:t>benefits</w:t>
            </w:r>
            <w:r>
              <w:rPr>
                <w:rFonts w:ascii="Swis721 Cn BT"/>
                <w:sz w:val="18"/>
              </w:rPr>
            </w:r>
          </w:p>
        </w:tc>
        <w:tc>
          <w:tcPr>
            <w:tcW w:w="804" w:type="dxa"/>
            <w:tcBorders>
              <w:top w:val="nil" w:sz="6" w:space="0" w:color="auto"/>
              <w:left w:val="nil" w:sz="6" w:space="0" w:color="auto"/>
              <w:bottom w:val="single" w:sz="4" w:space="0" w:color="FFFFFF"/>
              <w:right w:val="nil" w:sz="6" w:space="0" w:color="auto"/>
            </w:tcBorders>
            <w:shd w:val="clear" w:color="auto" w:fill="BFD22B"/>
          </w:tcPr>
          <w:p>
            <w:pPr>
              <w:pStyle w:val="TableParagraph"/>
              <w:spacing w:line="240" w:lineRule="auto" w:before="44"/>
              <w:ind w:left="162" w:right="77" w:firstLine="200"/>
              <w:jc w:val="left"/>
              <w:rPr>
                <w:rFonts w:ascii="Swis721 Cn BT" w:hAnsi="Swis721 Cn BT" w:cs="Swis721 Cn BT" w:eastAsia="Swis721 Cn BT"/>
                <w:sz w:val="18"/>
                <w:szCs w:val="18"/>
              </w:rPr>
            </w:pPr>
            <w:r>
              <w:rPr>
                <w:rFonts w:ascii="Swis721 Cn BT"/>
                <w:color w:val="303B41"/>
                <w:spacing w:val="-2"/>
                <w:sz w:val="18"/>
              </w:rPr>
              <w:t>Post-</w:t>
            </w:r>
            <w:r>
              <w:rPr>
                <w:rFonts w:ascii="Swis721 Cn BT"/>
                <w:color w:val="303B41"/>
                <w:spacing w:val="24"/>
                <w:sz w:val="18"/>
              </w:rPr>
              <w:t> </w:t>
            </w:r>
            <w:r>
              <w:rPr>
                <w:rFonts w:ascii="Swis721 Cn BT"/>
                <w:color w:val="303B41"/>
                <w:sz w:val="18"/>
              </w:rPr>
              <w:t>employ-</w:t>
            </w:r>
            <w:r>
              <w:rPr>
                <w:rFonts w:ascii="Swis721 Cn BT"/>
                <w:sz w:val="18"/>
              </w:rPr>
            </w:r>
          </w:p>
          <w:p>
            <w:pPr>
              <w:pStyle w:val="TableParagraph"/>
              <w:spacing w:line="240" w:lineRule="auto"/>
              <w:ind w:left="189" w:right="77" w:firstLine="192"/>
              <w:jc w:val="left"/>
              <w:rPr>
                <w:rFonts w:ascii="Swis721 Cn BT" w:hAnsi="Swis721 Cn BT" w:cs="Swis721 Cn BT" w:eastAsia="Swis721 Cn BT"/>
                <w:sz w:val="18"/>
                <w:szCs w:val="18"/>
              </w:rPr>
            </w:pPr>
            <w:r>
              <w:rPr>
                <w:rFonts w:ascii="Swis721 Cn BT"/>
                <w:color w:val="303B41"/>
                <w:sz w:val="18"/>
              </w:rPr>
              <w:t>ment </w:t>
            </w:r>
            <w:r>
              <w:rPr>
                <w:rFonts w:ascii="Swis721 Cn BT"/>
                <w:color w:val="303B41"/>
                <w:w w:val="95"/>
                <w:sz w:val="18"/>
              </w:rPr>
              <w:t>benefits</w:t>
            </w:r>
            <w:r>
              <w:rPr>
                <w:rFonts w:ascii="Swis721 Cn BT"/>
                <w:sz w:val="18"/>
              </w:rPr>
            </w:r>
          </w:p>
        </w:tc>
        <w:tc>
          <w:tcPr>
            <w:tcW w:w="1694" w:type="dxa"/>
            <w:vMerge w:val="restart"/>
            <w:tcBorders>
              <w:top w:val="nil" w:sz="6" w:space="0" w:color="auto"/>
              <w:left w:val="nil" w:sz="6" w:space="0" w:color="auto"/>
              <w:right w:val="nil" w:sz="6" w:space="0" w:color="auto"/>
            </w:tcBorders>
            <w:shd w:val="clear" w:color="auto" w:fill="BFD22B"/>
          </w:tcPr>
          <w:p>
            <w:pPr>
              <w:pStyle w:val="TableParagraph"/>
              <w:spacing w:line="240" w:lineRule="auto" w:before="44"/>
              <w:ind w:right="77"/>
              <w:jc w:val="right"/>
              <w:rPr>
                <w:rFonts w:ascii="Swis721 Cn BT" w:hAnsi="Swis721 Cn BT" w:cs="Swis721 Cn BT" w:eastAsia="Swis721 Cn BT"/>
                <w:sz w:val="18"/>
                <w:szCs w:val="18"/>
              </w:rPr>
            </w:pPr>
            <w:r>
              <w:rPr>
                <w:rFonts w:ascii="Swis721 Cn BT"/>
                <w:color w:val="303B41"/>
                <w:sz w:val="18"/>
              </w:rPr>
              <w:t>Other long-term</w:t>
            </w:r>
            <w:r>
              <w:rPr>
                <w:rFonts w:ascii="Swis721 Cn BT"/>
                <w:sz w:val="18"/>
              </w:rPr>
            </w:r>
          </w:p>
          <w:p>
            <w:pPr>
              <w:pStyle w:val="TableParagraph"/>
              <w:spacing w:line="240" w:lineRule="auto"/>
              <w:ind w:right="78"/>
              <w:jc w:val="right"/>
              <w:rPr>
                <w:rFonts w:ascii="Swis721 Cn BT" w:hAnsi="Swis721 Cn BT" w:cs="Swis721 Cn BT" w:eastAsia="Swis721 Cn BT"/>
                <w:sz w:val="18"/>
                <w:szCs w:val="18"/>
              </w:rPr>
            </w:pPr>
            <w:r>
              <w:rPr>
                <w:rFonts w:ascii="Swis721 Cn BT"/>
                <w:color w:val="303B41"/>
                <w:w w:val="95"/>
                <w:sz w:val="18"/>
              </w:rPr>
              <w:t>benefits</w:t>
            </w:r>
            <w:r>
              <w:rPr>
                <w:rFonts w:ascii="Swis721 Cn BT"/>
                <w:sz w:val="18"/>
              </w:rPr>
            </w:r>
          </w:p>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10"/>
              <w:ind w:right="0"/>
              <w:jc w:val="left"/>
              <w:rPr>
                <w:rFonts w:ascii="Swis721 Md BT" w:hAnsi="Swis721 Md BT" w:cs="Swis721 Md BT" w:eastAsia="Swis721 Md BT"/>
                <w:sz w:val="24"/>
                <w:szCs w:val="24"/>
              </w:rPr>
            </w:pPr>
          </w:p>
          <w:p>
            <w:pPr>
              <w:pStyle w:val="TableParagraph"/>
              <w:tabs>
                <w:tab w:pos="878" w:val="left" w:leader="none"/>
              </w:tabs>
              <w:spacing w:line="240" w:lineRule="auto"/>
              <w:ind w:right="77"/>
              <w:jc w:val="right"/>
              <w:rPr>
                <w:rFonts w:ascii="Swis721 Cn BT" w:hAnsi="Swis721 Cn BT" w:cs="Swis721 Cn BT" w:eastAsia="Swis721 Cn BT"/>
                <w:sz w:val="18"/>
                <w:szCs w:val="18"/>
              </w:rPr>
            </w:pPr>
            <w:r>
              <w:rPr>
                <w:rFonts w:ascii="Swis721 Cn BT"/>
                <w:color w:val="303B41"/>
                <w:spacing w:val="-1"/>
                <w:sz w:val="18"/>
              </w:rPr>
              <w:t>Average</w:t>
              <w:tab/>
              <w:t>Average</w:t>
            </w:r>
            <w:r>
              <w:rPr>
                <w:rFonts w:ascii="Swis721 Cn BT"/>
                <w:sz w:val="18"/>
              </w:rPr>
            </w:r>
          </w:p>
          <w:p>
            <w:pPr>
              <w:pStyle w:val="TableParagraph"/>
              <w:tabs>
                <w:tab w:pos="937" w:val="left" w:leader="none"/>
                <w:tab w:pos="1266" w:val="left" w:leader="none"/>
              </w:tabs>
              <w:spacing w:line="240" w:lineRule="auto"/>
              <w:ind w:left="242" w:right="77" w:firstLine="200"/>
              <w:jc w:val="right"/>
              <w:rPr>
                <w:rFonts w:ascii="Swis721 Cn BT" w:hAnsi="Swis721 Cn BT" w:cs="Swis721 Cn BT" w:eastAsia="Swis721 Cn BT"/>
                <w:sz w:val="18"/>
                <w:szCs w:val="18"/>
              </w:rPr>
            </w:pPr>
            <w:r>
              <w:rPr>
                <w:rFonts w:ascii="Swis721 Cn BT"/>
                <w:color w:val="303B41"/>
                <w:sz w:val="18"/>
              </w:rPr>
              <w:t>long</w:t>
              <w:tab/>
              <w:tab/>
              <w:t>other service</w:t>
              <w:tab/>
              <w:t>long-term</w:t>
            </w:r>
            <w:r>
              <w:rPr>
                <w:rFonts w:ascii="Swis721 Cn BT"/>
                <w:color w:val="303B41"/>
                <w:spacing w:val="29"/>
                <w:sz w:val="18"/>
              </w:rPr>
              <w:t> </w:t>
            </w:r>
            <w:r>
              <w:rPr>
                <w:rFonts w:ascii="Swis721 Cn BT"/>
                <w:color w:val="303B41"/>
                <w:sz w:val="18"/>
              </w:rPr>
              <w:t>leave</w:t>
              <w:tab/>
            </w:r>
            <w:r>
              <w:rPr>
                <w:rFonts w:ascii="Swis721 Cn BT"/>
                <w:color w:val="303B41"/>
                <w:w w:val="95"/>
                <w:sz w:val="18"/>
              </w:rPr>
              <w:t>benefits</w:t>
            </w:r>
            <w:r>
              <w:rPr>
                <w:rFonts w:ascii="Swis721 Cn BT"/>
                <w:sz w:val="18"/>
              </w:rPr>
            </w:r>
          </w:p>
        </w:tc>
        <w:tc>
          <w:tcPr>
            <w:tcW w:w="815" w:type="dxa"/>
            <w:tcBorders>
              <w:top w:val="nil" w:sz="6" w:space="0" w:color="auto"/>
              <w:left w:val="nil" w:sz="6" w:space="0" w:color="auto"/>
              <w:bottom w:val="single" w:sz="4" w:space="0" w:color="FFFFFF"/>
              <w:right w:val="nil" w:sz="6" w:space="0" w:color="auto"/>
            </w:tcBorders>
            <w:shd w:val="clear" w:color="auto" w:fill="BFD22B"/>
          </w:tcPr>
          <w:p>
            <w:pPr>
              <w:pStyle w:val="TableParagraph"/>
              <w:spacing w:line="240" w:lineRule="auto" w:before="44"/>
              <w:ind w:left="122" w:right="156" w:firstLine="99"/>
              <w:jc w:val="right"/>
              <w:rPr>
                <w:rFonts w:ascii="Swis721 Cn BT" w:hAnsi="Swis721 Cn BT" w:cs="Swis721 Cn BT" w:eastAsia="Swis721 Cn BT"/>
                <w:sz w:val="18"/>
                <w:szCs w:val="18"/>
              </w:rPr>
            </w:pPr>
            <w:r>
              <w:rPr>
                <w:rFonts w:ascii="Swis721 Cn BT"/>
                <w:color w:val="303B41"/>
                <w:spacing w:val="-3"/>
                <w:sz w:val="18"/>
              </w:rPr>
              <w:t>Termi-</w:t>
            </w:r>
            <w:r>
              <w:rPr>
                <w:rFonts w:ascii="Swis721 Cn BT"/>
                <w:color w:val="303B41"/>
                <w:spacing w:val="24"/>
                <w:sz w:val="18"/>
              </w:rPr>
              <w:t> </w:t>
            </w:r>
            <w:r>
              <w:rPr>
                <w:rFonts w:ascii="Swis721 Cn BT"/>
                <w:color w:val="303B41"/>
                <w:sz w:val="18"/>
              </w:rPr>
              <w:t>nation</w:t>
            </w:r>
            <w:r>
              <w:rPr>
                <w:rFonts w:ascii="Swis721 Cn BT"/>
                <w:color w:val="303B41"/>
                <w:sz w:val="18"/>
              </w:rPr>
              <w:t> </w:t>
            </w:r>
            <w:r>
              <w:rPr>
                <w:rFonts w:ascii="Swis721 Cn BT"/>
                <w:color w:val="303B41"/>
                <w:w w:val="95"/>
                <w:sz w:val="18"/>
              </w:rPr>
              <w:t>benefits</w:t>
            </w:r>
            <w:r>
              <w:rPr>
                <w:rFonts w:ascii="Swis721 Cn BT"/>
                <w:sz w:val="18"/>
              </w:rPr>
            </w:r>
          </w:p>
        </w:tc>
        <w:tc>
          <w:tcPr>
            <w:tcW w:w="857" w:type="dxa"/>
            <w:tcBorders>
              <w:top w:val="nil" w:sz="6" w:space="0" w:color="auto"/>
              <w:left w:val="nil" w:sz="6" w:space="0" w:color="auto"/>
              <w:bottom w:val="single" w:sz="4" w:space="0" w:color="FFFFFF"/>
              <w:right w:val="nil" w:sz="6" w:space="0" w:color="auto"/>
            </w:tcBorders>
            <w:shd w:val="clear" w:color="auto" w:fill="BFD22B"/>
          </w:tcPr>
          <w:p>
            <w:pPr>
              <w:pStyle w:val="TableParagraph"/>
              <w:spacing w:line="240" w:lineRule="auto" w:before="44"/>
              <w:ind w:left="157" w:right="77" w:firstLine="301"/>
              <w:jc w:val="left"/>
              <w:rPr>
                <w:rFonts w:ascii="Swis721 Cn BT" w:hAnsi="Swis721 Cn BT" w:cs="Swis721 Cn BT" w:eastAsia="Swis721 Cn BT"/>
                <w:sz w:val="18"/>
                <w:szCs w:val="18"/>
              </w:rPr>
            </w:pPr>
            <w:r>
              <w:rPr>
                <w:rFonts w:ascii="Swis721 Cn BT"/>
                <w:color w:val="303B41"/>
                <w:spacing w:val="-4"/>
                <w:sz w:val="18"/>
              </w:rPr>
              <w:t>Total</w:t>
            </w:r>
            <w:r>
              <w:rPr>
                <w:rFonts w:ascii="Swis721 Cn BT"/>
                <w:color w:val="303B41"/>
                <w:spacing w:val="23"/>
                <w:sz w:val="18"/>
              </w:rPr>
              <w:t> </w:t>
            </w:r>
            <w:r>
              <w:rPr>
                <w:rFonts w:ascii="Swis721 Cn BT"/>
                <w:color w:val="303B41"/>
                <w:spacing w:val="-1"/>
                <w:sz w:val="18"/>
              </w:rPr>
              <w:t>remuner-</w:t>
            </w:r>
            <w:r>
              <w:rPr>
                <w:rFonts w:ascii="Swis721 Cn BT"/>
                <w:sz w:val="18"/>
              </w:rPr>
            </w:r>
          </w:p>
          <w:p>
            <w:pPr>
              <w:pStyle w:val="TableParagraph"/>
              <w:spacing w:line="240" w:lineRule="auto"/>
              <w:ind w:left="445" w:right="0"/>
              <w:jc w:val="left"/>
              <w:rPr>
                <w:rFonts w:ascii="Swis721 Cn BT" w:hAnsi="Swis721 Cn BT" w:cs="Swis721 Cn BT" w:eastAsia="Swis721 Cn BT"/>
                <w:sz w:val="18"/>
                <w:szCs w:val="18"/>
              </w:rPr>
            </w:pPr>
            <w:r>
              <w:rPr>
                <w:rFonts w:ascii="Swis721 Cn BT"/>
                <w:color w:val="303B41"/>
                <w:sz w:val="18"/>
              </w:rPr>
              <w:t>ation</w:t>
            </w:r>
            <w:r>
              <w:rPr>
                <w:rFonts w:ascii="Swis721 Cn BT"/>
                <w:sz w:val="18"/>
              </w:rPr>
            </w:r>
          </w:p>
        </w:tc>
      </w:tr>
      <w:tr>
        <w:trPr>
          <w:trHeight w:val="271" w:hRule="exact"/>
        </w:trPr>
        <w:tc>
          <w:tcPr>
            <w:tcW w:w="744"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80" w:right="0"/>
              <w:jc w:val="left"/>
              <w:rPr>
                <w:rFonts w:ascii="Swis721 Cn BT" w:hAnsi="Swis721 Cn BT" w:cs="Swis721 Cn BT" w:eastAsia="Swis721 Cn BT"/>
                <w:sz w:val="18"/>
                <w:szCs w:val="18"/>
              </w:rPr>
            </w:pPr>
            <w:r>
              <w:rPr>
                <w:rFonts w:ascii="Swis721 Cn BT"/>
                <w:color w:val="303B41"/>
                <w:spacing w:val="-4"/>
                <w:sz w:val="18"/>
              </w:rPr>
              <w:t>Total</w:t>
            </w:r>
            <w:r>
              <w:rPr>
                <w:rFonts w:ascii="Swis721 Cn BT"/>
                <w:sz w:val="18"/>
              </w:rPr>
            </w:r>
          </w:p>
        </w:tc>
        <w:tc>
          <w:tcPr>
            <w:tcW w:w="801"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115" w:right="0"/>
              <w:jc w:val="left"/>
              <w:rPr>
                <w:rFonts w:ascii="Swis721 Cn BT" w:hAnsi="Swis721 Cn BT" w:cs="Swis721 Cn BT" w:eastAsia="Swis721 Cn BT"/>
                <w:sz w:val="18"/>
                <w:szCs w:val="18"/>
              </w:rPr>
            </w:pPr>
            <w:r>
              <w:rPr>
                <w:rFonts w:ascii="Swis721 Cn BT"/>
                <w:color w:val="303B41"/>
                <w:sz w:val="18"/>
              </w:rPr>
              <w:t>Number</w:t>
            </w:r>
            <w:r>
              <w:rPr>
                <w:rFonts w:ascii="Swis721 Cn BT"/>
                <w:sz w:val="18"/>
              </w:rPr>
            </w:r>
          </w:p>
        </w:tc>
        <w:tc>
          <w:tcPr>
            <w:tcW w:w="712"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80" w:right="0"/>
              <w:jc w:val="left"/>
              <w:rPr>
                <w:rFonts w:ascii="Swis721 Cn BT" w:hAnsi="Swis721 Cn BT" w:cs="Swis721 Cn BT" w:eastAsia="Swis721 Cn BT"/>
                <w:sz w:val="18"/>
                <w:szCs w:val="18"/>
              </w:rPr>
            </w:pPr>
            <w:r>
              <w:rPr>
                <w:rFonts w:ascii="Swis721 Cn BT"/>
                <w:color w:val="303B41"/>
                <w:spacing w:val="-1"/>
                <w:sz w:val="18"/>
              </w:rPr>
              <w:t>Average</w:t>
            </w:r>
            <w:r>
              <w:rPr>
                <w:rFonts w:ascii="Swis721 Cn BT"/>
                <w:sz w:val="18"/>
              </w:rPr>
            </w:r>
          </w:p>
        </w:tc>
        <w:tc>
          <w:tcPr>
            <w:tcW w:w="803"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116" w:right="0"/>
              <w:jc w:val="left"/>
              <w:rPr>
                <w:rFonts w:ascii="Swis721 Cn BT" w:hAnsi="Swis721 Cn BT" w:cs="Swis721 Cn BT" w:eastAsia="Swis721 Cn BT"/>
                <w:sz w:val="18"/>
                <w:szCs w:val="18"/>
              </w:rPr>
            </w:pPr>
            <w:r>
              <w:rPr>
                <w:rFonts w:ascii="Swis721 Cn BT"/>
                <w:color w:val="303B41"/>
                <w:spacing w:val="-1"/>
                <w:sz w:val="18"/>
              </w:rPr>
              <w:t>Average</w:t>
            </w:r>
            <w:r>
              <w:rPr>
                <w:rFonts w:ascii="Swis721 Cn BT"/>
                <w:sz w:val="18"/>
              </w:rPr>
            </w:r>
          </w:p>
        </w:tc>
        <w:tc>
          <w:tcPr>
            <w:tcW w:w="76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138" w:right="0"/>
              <w:jc w:val="left"/>
              <w:rPr>
                <w:rFonts w:ascii="Swis721 Cn BT" w:hAnsi="Swis721 Cn BT" w:cs="Swis721 Cn BT" w:eastAsia="Swis721 Cn BT"/>
                <w:sz w:val="18"/>
                <w:szCs w:val="18"/>
              </w:rPr>
            </w:pPr>
            <w:r>
              <w:rPr>
                <w:rFonts w:ascii="Swis721 Cn BT"/>
                <w:color w:val="303B41"/>
                <w:spacing w:val="-1"/>
                <w:sz w:val="18"/>
              </w:rPr>
              <w:t>Average</w:t>
            </w:r>
            <w:r>
              <w:rPr>
                <w:rFonts w:ascii="Swis721 Cn BT"/>
                <w:sz w:val="18"/>
              </w:rPr>
            </w:r>
          </w:p>
        </w:tc>
        <w:tc>
          <w:tcPr>
            <w:tcW w:w="804" w:type="dxa"/>
            <w:tcBorders>
              <w:top w:val="single" w:sz="4" w:space="0" w:color="FFFFFF"/>
              <w:left w:val="nil" w:sz="6" w:space="0" w:color="auto"/>
              <w:bottom w:val="nil" w:sz="6" w:space="0" w:color="auto"/>
              <w:right w:val="nil" w:sz="6" w:space="0" w:color="auto"/>
            </w:tcBorders>
            <w:shd w:val="clear" w:color="auto" w:fill="BFD22B"/>
          </w:tcPr>
          <w:p>
            <w:pPr>
              <w:pStyle w:val="TableParagraph"/>
              <w:spacing w:line="240" w:lineRule="auto" w:before="39"/>
              <w:ind w:left="175" w:right="0"/>
              <w:jc w:val="left"/>
              <w:rPr>
                <w:rFonts w:ascii="Swis721 Cn BT" w:hAnsi="Swis721 Cn BT" w:cs="Swis721 Cn BT" w:eastAsia="Swis721 Cn BT"/>
                <w:sz w:val="18"/>
                <w:szCs w:val="18"/>
              </w:rPr>
            </w:pPr>
            <w:r>
              <w:rPr>
                <w:rFonts w:ascii="Swis721 Cn BT"/>
                <w:color w:val="303B41"/>
                <w:spacing w:val="-1"/>
                <w:sz w:val="18"/>
              </w:rPr>
              <w:t>Average</w:t>
            </w:r>
            <w:r>
              <w:rPr>
                <w:rFonts w:ascii="Swis721 Cn BT"/>
                <w:sz w:val="18"/>
              </w:rPr>
            </w:r>
          </w:p>
        </w:tc>
        <w:tc>
          <w:tcPr>
            <w:tcW w:w="1694" w:type="dxa"/>
            <w:vMerge/>
            <w:tcBorders>
              <w:left w:val="nil" w:sz="6" w:space="0" w:color="auto"/>
              <w:right w:val="nil" w:sz="6" w:space="0" w:color="auto"/>
            </w:tcBorders>
            <w:shd w:val="clear" w:color="auto" w:fill="BFD22B"/>
          </w:tcPr>
          <w:p>
            <w:pPr/>
          </w:p>
        </w:tc>
        <w:tc>
          <w:tcPr>
            <w:tcW w:w="815" w:type="dxa"/>
            <w:tcBorders>
              <w:top w:val="single" w:sz="4" w:space="0" w:color="FFFFFF"/>
              <w:left w:val="nil" w:sz="6" w:space="0" w:color="auto"/>
              <w:bottom w:val="nil" w:sz="6" w:space="0" w:color="auto"/>
              <w:right w:val="nil" w:sz="6" w:space="0" w:color="auto"/>
            </w:tcBorders>
            <w:shd w:val="clear" w:color="auto" w:fill="BFD22B"/>
          </w:tcPr>
          <w:p>
            <w:pPr>
              <w:pStyle w:val="TableParagraph"/>
              <w:spacing w:line="240" w:lineRule="auto" w:before="39"/>
              <w:ind w:left="109" w:right="0"/>
              <w:jc w:val="left"/>
              <w:rPr>
                <w:rFonts w:ascii="Swis721 Cn BT" w:hAnsi="Swis721 Cn BT" w:cs="Swis721 Cn BT" w:eastAsia="Swis721 Cn BT"/>
                <w:sz w:val="18"/>
                <w:szCs w:val="18"/>
              </w:rPr>
            </w:pPr>
            <w:r>
              <w:rPr>
                <w:rFonts w:ascii="Swis721 Cn BT"/>
                <w:color w:val="303B41"/>
                <w:spacing w:val="-1"/>
                <w:sz w:val="18"/>
              </w:rPr>
              <w:t>Average</w:t>
            </w:r>
            <w:r>
              <w:rPr>
                <w:rFonts w:ascii="Swis721 Cn BT"/>
                <w:sz w:val="18"/>
              </w:rPr>
            </w:r>
          </w:p>
        </w:tc>
        <w:tc>
          <w:tcPr>
            <w:tcW w:w="857" w:type="dxa"/>
            <w:tcBorders>
              <w:top w:val="single" w:sz="4" w:space="0" w:color="FFFFFF"/>
              <w:left w:val="nil" w:sz="6" w:space="0" w:color="auto"/>
              <w:bottom w:val="nil" w:sz="6" w:space="0" w:color="auto"/>
              <w:right w:val="nil" w:sz="6" w:space="0" w:color="auto"/>
            </w:tcBorders>
            <w:shd w:val="clear" w:color="auto" w:fill="BFD22B"/>
          </w:tcPr>
          <w:p>
            <w:pPr>
              <w:pStyle w:val="TableParagraph"/>
              <w:spacing w:line="240" w:lineRule="auto" w:before="39"/>
              <w:ind w:left="229" w:right="0"/>
              <w:jc w:val="left"/>
              <w:rPr>
                <w:rFonts w:ascii="Swis721 Cn BT" w:hAnsi="Swis721 Cn BT" w:cs="Swis721 Cn BT" w:eastAsia="Swis721 Cn BT"/>
                <w:sz w:val="18"/>
                <w:szCs w:val="18"/>
              </w:rPr>
            </w:pPr>
            <w:r>
              <w:rPr>
                <w:rFonts w:ascii="Swis721 Cn BT"/>
                <w:color w:val="303B41"/>
                <w:spacing w:val="-1"/>
                <w:sz w:val="18"/>
              </w:rPr>
              <w:t>Average</w:t>
            </w:r>
            <w:r>
              <w:rPr>
                <w:rFonts w:ascii="Swis721 Cn BT"/>
                <w:sz w:val="18"/>
              </w:rPr>
            </w:r>
          </w:p>
        </w:tc>
      </w:tr>
      <w:tr>
        <w:trPr>
          <w:trHeight w:val="216" w:hRule="exact"/>
        </w:trPr>
        <w:tc>
          <w:tcPr>
            <w:tcW w:w="744"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80" w:right="0"/>
              <w:jc w:val="left"/>
              <w:rPr>
                <w:rFonts w:ascii="Swis721 Cn BT" w:hAnsi="Swis721 Cn BT" w:cs="Swis721 Cn BT" w:eastAsia="Swis721 Cn BT"/>
                <w:sz w:val="18"/>
                <w:szCs w:val="18"/>
              </w:rPr>
            </w:pPr>
            <w:r>
              <w:rPr>
                <w:rFonts w:ascii="Swis721 Cn BT"/>
                <w:color w:val="303B41"/>
                <w:sz w:val="18"/>
              </w:rPr>
              <w:t>remu-</w:t>
            </w:r>
            <w:r>
              <w:rPr>
                <w:rFonts w:ascii="Swis721 Cn BT"/>
                <w:sz w:val="18"/>
              </w:rPr>
            </w:r>
          </w:p>
        </w:tc>
        <w:tc>
          <w:tcPr>
            <w:tcW w:w="801"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115" w:right="0"/>
              <w:jc w:val="left"/>
              <w:rPr>
                <w:rFonts w:ascii="Swis721 Cn BT" w:hAnsi="Swis721 Cn BT" w:cs="Swis721 Cn BT" w:eastAsia="Swis721 Cn BT"/>
                <w:sz w:val="18"/>
                <w:szCs w:val="18"/>
              </w:rPr>
            </w:pPr>
            <w:r>
              <w:rPr>
                <w:rFonts w:ascii="Swis721 Cn BT"/>
                <w:color w:val="303B41"/>
                <w:sz w:val="18"/>
              </w:rPr>
              <w:t>of senior</w:t>
            </w:r>
            <w:r>
              <w:rPr>
                <w:rFonts w:ascii="Swis721 Cn BT"/>
                <w:sz w:val="18"/>
              </w:rPr>
            </w:r>
          </w:p>
        </w:tc>
        <w:tc>
          <w:tcPr>
            <w:tcW w:w="712"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303" w:right="0"/>
              <w:jc w:val="left"/>
              <w:rPr>
                <w:rFonts w:ascii="Swis721 Cn BT" w:hAnsi="Swis721 Cn BT" w:cs="Swis721 Cn BT" w:eastAsia="Swis721 Cn BT"/>
                <w:sz w:val="18"/>
                <w:szCs w:val="18"/>
              </w:rPr>
            </w:pPr>
            <w:r>
              <w:rPr>
                <w:rFonts w:ascii="Swis721 Cn BT"/>
                <w:color w:val="303B41"/>
                <w:sz w:val="18"/>
              </w:rPr>
              <w:t>base</w:t>
            </w:r>
            <w:r>
              <w:rPr>
                <w:rFonts w:ascii="Swis721 Cn BT"/>
                <w:sz w:val="18"/>
              </w:rPr>
            </w:r>
          </w:p>
        </w:tc>
        <w:tc>
          <w:tcPr>
            <w:tcW w:w="803" w:type="dxa"/>
            <w:vMerge w:val="restart"/>
            <w:tcBorders>
              <w:top w:val="nil" w:sz="6" w:space="0" w:color="auto"/>
              <w:left w:val="nil" w:sz="6" w:space="0" w:color="auto"/>
              <w:right w:val="nil" w:sz="6" w:space="0" w:color="auto"/>
            </w:tcBorders>
            <w:shd w:val="clear" w:color="auto" w:fill="BFD22B"/>
          </w:tcPr>
          <w:p>
            <w:pPr>
              <w:pStyle w:val="TableParagraph"/>
              <w:spacing w:line="205" w:lineRule="exact"/>
              <w:ind w:left="83" w:right="0"/>
              <w:jc w:val="left"/>
              <w:rPr>
                <w:rFonts w:ascii="Swis721 Cn BT" w:hAnsi="Swis721 Cn BT" w:cs="Swis721 Cn BT" w:eastAsia="Swis721 Cn BT"/>
                <w:sz w:val="18"/>
                <w:szCs w:val="18"/>
              </w:rPr>
            </w:pPr>
            <w:r>
              <w:rPr>
                <w:rFonts w:ascii="Swis721 Cn BT"/>
                <w:color w:val="303B41"/>
                <w:sz w:val="18"/>
              </w:rPr>
              <w:t>bonuses</w:t>
            </w:r>
            <w:r>
              <w:rPr>
                <w:rFonts w:ascii="Swis721 Cn BT"/>
                <w:sz w:val="18"/>
              </w:rPr>
            </w:r>
          </w:p>
        </w:tc>
        <w:tc>
          <w:tcPr>
            <w:tcW w:w="76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339" w:right="0"/>
              <w:jc w:val="left"/>
              <w:rPr>
                <w:rFonts w:ascii="Swis721 Cn BT" w:hAnsi="Swis721 Cn BT" w:cs="Swis721 Cn BT" w:eastAsia="Swis721 Cn BT"/>
                <w:sz w:val="18"/>
                <w:szCs w:val="18"/>
              </w:rPr>
            </w:pPr>
            <w:r>
              <w:rPr>
                <w:rFonts w:ascii="Swis721 Cn BT"/>
                <w:color w:val="303B41"/>
                <w:sz w:val="18"/>
              </w:rPr>
              <w:t>other</w:t>
            </w:r>
            <w:r>
              <w:rPr>
                <w:rFonts w:ascii="Swis721 Cn BT"/>
                <w:sz w:val="18"/>
              </w:rPr>
            </w:r>
          </w:p>
        </w:tc>
        <w:tc>
          <w:tcPr>
            <w:tcW w:w="804"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289" w:right="0"/>
              <w:jc w:val="left"/>
              <w:rPr>
                <w:rFonts w:ascii="Swis721 Cn BT" w:hAnsi="Swis721 Cn BT" w:cs="Swis721 Cn BT" w:eastAsia="Swis721 Cn BT"/>
                <w:sz w:val="18"/>
                <w:szCs w:val="18"/>
              </w:rPr>
            </w:pPr>
            <w:r>
              <w:rPr>
                <w:rFonts w:ascii="Swis721 Cn BT"/>
                <w:color w:val="303B41"/>
                <w:spacing w:val="-2"/>
                <w:sz w:val="18"/>
              </w:rPr>
              <w:t>super-</w:t>
            </w:r>
            <w:r>
              <w:rPr>
                <w:rFonts w:ascii="Swis721 Cn BT"/>
                <w:sz w:val="18"/>
              </w:rPr>
            </w:r>
          </w:p>
        </w:tc>
        <w:tc>
          <w:tcPr>
            <w:tcW w:w="1694" w:type="dxa"/>
            <w:vMerge/>
            <w:tcBorders>
              <w:left w:val="nil" w:sz="6" w:space="0" w:color="auto"/>
              <w:right w:val="nil" w:sz="6" w:space="0" w:color="auto"/>
            </w:tcBorders>
            <w:shd w:val="clear" w:color="auto" w:fill="BFD22B"/>
          </w:tcPr>
          <w:p>
            <w:pPr/>
          </w:p>
        </w:tc>
        <w:tc>
          <w:tcPr>
            <w:tcW w:w="815"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249" w:right="0"/>
              <w:jc w:val="left"/>
              <w:rPr>
                <w:rFonts w:ascii="Swis721 Cn BT" w:hAnsi="Swis721 Cn BT" w:cs="Swis721 Cn BT" w:eastAsia="Swis721 Cn BT"/>
                <w:sz w:val="18"/>
                <w:szCs w:val="18"/>
              </w:rPr>
            </w:pPr>
            <w:r>
              <w:rPr>
                <w:rFonts w:ascii="Swis721 Cn BT"/>
                <w:color w:val="303B41"/>
                <w:sz w:val="18"/>
              </w:rPr>
              <w:t>termi-</w:t>
            </w:r>
            <w:r>
              <w:rPr>
                <w:rFonts w:ascii="Swis721 Cn BT"/>
                <w:sz w:val="18"/>
              </w:rPr>
            </w:r>
          </w:p>
        </w:tc>
        <w:tc>
          <w:tcPr>
            <w:tcW w:w="857"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486" w:right="0"/>
              <w:jc w:val="left"/>
              <w:rPr>
                <w:rFonts w:ascii="Swis721 Cn BT" w:hAnsi="Swis721 Cn BT" w:cs="Swis721 Cn BT" w:eastAsia="Swis721 Cn BT"/>
                <w:sz w:val="18"/>
                <w:szCs w:val="18"/>
              </w:rPr>
            </w:pPr>
            <w:r>
              <w:rPr>
                <w:rFonts w:ascii="Swis721 Cn BT"/>
                <w:color w:val="303B41"/>
                <w:sz w:val="18"/>
              </w:rPr>
              <w:t>total</w:t>
            </w:r>
            <w:r>
              <w:rPr>
                <w:rFonts w:ascii="Swis721 Cn BT"/>
                <w:sz w:val="18"/>
              </w:rPr>
            </w:r>
          </w:p>
        </w:tc>
      </w:tr>
      <w:tr>
        <w:trPr>
          <w:trHeight w:val="216" w:hRule="exact"/>
        </w:trPr>
        <w:tc>
          <w:tcPr>
            <w:tcW w:w="744"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80" w:right="0"/>
              <w:jc w:val="left"/>
              <w:rPr>
                <w:rFonts w:ascii="Swis721 Cn BT" w:hAnsi="Swis721 Cn BT" w:cs="Swis721 Cn BT" w:eastAsia="Swis721 Cn BT"/>
                <w:sz w:val="18"/>
                <w:szCs w:val="18"/>
              </w:rPr>
            </w:pPr>
            <w:r>
              <w:rPr>
                <w:rFonts w:ascii="Swis721 Cn BT"/>
                <w:color w:val="303B41"/>
                <w:sz w:val="18"/>
              </w:rPr>
              <w:t>neration</w:t>
            </w:r>
            <w:r>
              <w:rPr>
                <w:rFonts w:ascii="Swis721 Cn BT"/>
                <w:sz w:val="18"/>
              </w:rPr>
            </w:r>
          </w:p>
        </w:tc>
        <w:tc>
          <w:tcPr>
            <w:tcW w:w="801"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115" w:right="0"/>
              <w:jc w:val="left"/>
              <w:rPr>
                <w:rFonts w:ascii="Swis721 Cn BT" w:hAnsi="Swis721 Cn BT" w:cs="Swis721 Cn BT" w:eastAsia="Swis721 Cn BT"/>
                <w:sz w:val="18"/>
                <w:szCs w:val="18"/>
              </w:rPr>
            </w:pPr>
            <w:r>
              <w:rPr>
                <w:rFonts w:ascii="Swis721 Cn BT"/>
                <w:color w:val="303B41"/>
                <w:sz w:val="18"/>
              </w:rPr>
              <w:t>execu-</w:t>
            </w:r>
            <w:r>
              <w:rPr>
                <w:rFonts w:ascii="Swis721 Cn BT"/>
                <w:sz w:val="18"/>
              </w:rPr>
            </w:r>
          </w:p>
        </w:tc>
        <w:tc>
          <w:tcPr>
            <w:tcW w:w="712" w:type="dxa"/>
            <w:vMerge w:val="restart"/>
            <w:tcBorders>
              <w:top w:val="nil" w:sz="6" w:space="0" w:color="auto"/>
              <w:left w:val="nil" w:sz="6" w:space="0" w:color="auto"/>
              <w:right w:val="nil" w:sz="6" w:space="0" w:color="auto"/>
            </w:tcBorders>
            <w:shd w:val="clear" w:color="auto" w:fill="BFD22B"/>
          </w:tcPr>
          <w:p>
            <w:pPr>
              <w:pStyle w:val="TableParagraph"/>
              <w:spacing w:line="205" w:lineRule="exact"/>
              <w:ind w:left="214" w:right="0"/>
              <w:jc w:val="left"/>
              <w:rPr>
                <w:rFonts w:ascii="Swis721 Cn BT" w:hAnsi="Swis721 Cn BT" w:cs="Swis721 Cn BT" w:eastAsia="Swis721 Cn BT"/>
                <w:sz w:val="18"/>
                <w:szCs w:val="18"/>
              </w:rPr>
            </w:pPr>
            <w:r>
              <w:rPr>
                <w:rFonts w:ascii="Swis721 Cn BT"/>
                <w:color w:val="303B41"/>
                <w:sz w:val="18"/>
              </w:rPr>
              <w:t>sala</w:t>
            </w:r>
            <w:r>
              <w:rPr>
                <w:rFonts w:ascii="Swis721 Cn BT"/>
                <w:color w:val="303B41"/>
                <w:spacing w:val="6"/>
                <w:sz w:val="18"/>
              </w:rPr>
              <w:t>r</w:t>
            </w:r>
            <w:r>
              <w:rPr>
                <w:rFonts w:ascii="Swis721 Cn BT"/>
                <w:color w:val="303B41"/>
                <w:sz w:val="18"/>
              </w:rPr>
              <w:t>y</w:t>
            </w:r>
            <w:r>
              <w:rPr>
                <w:rFonts w:ascii="Swis721 Cn BT"/>
                <w:sz w:val="18"/>
              </w:rPr>
            </w:r>
          </w:p>
        </w:tc>
        <w:tc>
          <w:tcPr>
            <w:tcW w:w="803" w:type="dxa"/>
            <w:vMerge/>
            <w:tcBorders>
              <w:left w:val="nil" w:sz="6" w:space="0" w:color="auto"/>
              <w:right w:val="nil" w:sz="6" w:space="0" w:color="auto"/>
            </w:tcBorders>
            <w:shd w:val="clear" w:color="auto" w:fill="BFD22B"/>
          </w:tcPr>
          <w:p>
            <w:pPr/>
          </w:p>
        </w:tc>
        <w:tc>
          <w:tcPr>
            <w:tcW w:w="76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152" w:right="0"/>
              <w:jc w:val="left"/>
              <w:rPr>
                <w:rFonts w:ascii="Swis721 Cn BT" w:hAnsi="Swis721 Cn BT" w:cs="Swis721 Cn BT" w:eastAsia="Swis721 Cn BT"/>
                <w:sz w:val="18"/>
                <w:szCs w:val="18"/>
              </w:rPr>
            </w:pPr>
            <w:r>
              <w:rPr>
                <w:rFonts w:ascii="Swis721 Cn BT"/>
                <w:color w:val="303B41"/>
                <w:sz w:val="18"/>
              </w:rPr>
              <w:t>benefits</w:t>
            </w:r>
            <w:r>
              <w:rPr>
                <w:rFonts w:ascii="Swis721 Cn BT"/>
                <w:sz w:val="18"/>
              </w:rPr>
            </w:r>
          </w:p>
        </w:tc>
        <w:tc>
          <w:tcPr>
            <w:tcW w:w="804"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142" w:right="0"/>
              <w:jc w:val="left"/>
              <w:rPr>
                <w:rFonts w:ascii="Swis721 Cn BT" w:hAnsi="Swis721 Cn BT" w:cs="Swis721 Cn BT" w:eastAsia="Swis721 Cn BT"/>
                <w:sz w:val="18"/>
                <w:szCs w:val="18"/>
              </w:rPr>
            </w:pPr>
            <w:r>
              <w:rPr>
                <w:rFonts w:ascii="Swis721 Cn BT"/>
                <w:color w:val="303B41"/>
                <w:sz w:val="18"/>
              </w:rPr>
              <w:t>anuation</w:t>
            </w:r>
            <w:r>
              <w:rPr>
                <w:rFonts w:ascii="Swis721 Cn BT"/>
                <w:sz w:val="18"/>
              </w:rPr>
            </w:r>
          </w:p>
        </w:tc>
        <w:tc>
          <w:tcPr>
            <w:tcW w:w="1694" w:type="dxa"/>
            <w:vMerge/>
            <w:tcBorders>
              <w:left w:val="nil" w:sz="6" w:space="0" w:color="auto"/>
              <w:right w:val="nil" w:sz="6" w:space="0" w:color="auto"/>
            </w:tcBorders>
            <w:shd w:val="clear" w:color="auto" w:fill="BFD22B"/>
          </w:tcPr>
          <w:p>
            <w:pPr/>
          </w:p>
        </w:tc>
        <w:tc>
          <w:tcPr>
            <w:tcW w:w="815"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241" w:right="0"/>
              <w:jc w:val="left"/>
              <w:rPr>
                <w:rFonts w:ascii="Swis721 Cn BT" w:hAnsi="Swis721 Cn BT" w:cs="Swis721 Cn BT" w:eastAsia="Swis721 Cn BT"/>
                <w:sz w:val="18"/>
                <w:szCs w:val="18"/>
              </w:rPr>
            </w:pPr>
            <w:r>
              <w:rPr>
                <w:rFonts w:ascii="Swis721 Cn BT"/>
                <w:color w:val="303B41"/>
                <w:sz w:val="18"/>
              </w:rPr>
              <w:t>nation</w:t>
            </w:r>
            <w:r>
              <w:rPr>
                <w:rFonts w:ascii="Swis721 Cn BT"/>
                <w:sz w:val="18"/>
              </w:rPr>
            </w:r>
          </w:p>
        </w:tc>
        <w:tc>
          <w:tcPr>
            <w:tcW w:w="857"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158" w:right="0"/>
              <w:jc w:val="left"/>
              <w:rPr>
                <w:rFonts w:ascii="Swis721 Cn BT" w:hAnsi="Swis721 Cn BT" w:cs="Swis721 Cn BT" w:eastAsia="Swis721 Cn BT"/>
                <w:sz w:val="18"/>
                <w:szCs w:val="18"/>
              </w:rPr>
            </w:pPr>
            <w:r>
              <w:rPr>
                <w:rFonts w:ascii="Swis721 Cn BT"/>
                <w:color w:val="303B41"/>
                <w:spacing w:val="-1"/>
                <w:sz w:val="18"/>
              </w:rPr>
              <w:t>remuner-</w:t>
            </w:r>
            <w:r>
              <w:rPr>
                <w:rFonts w:ascii="Swis721 Cn BT"/>
                <w:sz w:val="18"/>
              </w:rPr>
            </w:r>
          </w:p>
        </w:tc>
      </w:tr>
      <w:tr>
        <w:trPr>
          <w:trHeight w:val="216" w:hRule="exact"/>
        </w:trPr>
        <w:tc>
          <w:tcPr>
            <w:tcW w:w="744" w:type="dxa"/>
            <w:vMerge w:val="restart"/>
            <w:tcBorders>
              <w:top w:val="nil" w:sz="6" w:space="0" w:color="auto"/>
              <w:left w:val="nil" w:sz="6" w:space="0" w:color="auto"/>
              <w:right w:val="nil" w:sz="6" w:space="0" w:color="auto"/>
            </w:tcBorders>
            <w:shd w:val="clear" w:color="auto" w:fill="BFD22B"/>
          </w:tcPr>
          <w:p>
            <w:pPr>
              <w:pStyle w:val="TableParagraph"/>
              <w:spacing w:line="205" w:lineRule="exact"/>
              <w:ind w:left="80" w:right="0"/>
              <w:jc w:val="left"/>
              <w:rPr>
                <w:rFonts w:ascii="Swis721 Cn BT" w:hAnsi="Swis721 Cn BT" w:cs="Swis721 Cn BT" w:eastAsia="Swis721 Cn BT"/>
                <w:sz w:val="18"/>
                <w:szCs w:val="18"/>
              </w:rPr>
            </w:pPr>
            <w:r>
              <w:rPr>
                <w:rFonts w:ascii="Swis721 Cn BT"/>
                <w:color w:val="303B41"/>
                <w:sz w:val="18"/>
              </w:rPr>
              <w:t>bands</w:t>
            </w:r>
            <w:r>
              <w:rPr>
                <w:rFonts w:ascii="Swis721 Cn BT"/>
                <w:sz w:val="18"/>
              </w:rPr>
            </w:r>
          </w:p>
        </w:tc>
        <w:tc>
          <w:tcPr>
            <w:tcW w:w="801" w:type="dxa"/>
            <w:vMerge w:val="restart"/>
            <w:tcBorders>
              <w:top w:val="nil" w:sz="6" w:space="0" w:color="auto"/>
              <w:left w:val="nil" w:sz="6" w:space="0" w:color="auto"/>
              <w:right w:val="nil" w:sz="6" w:space="0" w:color="auto"/>
            </w:tcBorders>
            <w:shd w:val="clear" w:color="auto" w:fill="BFD22B"/>
          </w:tcPr>
          <w:p>
            <w:pPr>
              <w:pStyle w:val="TableParagraph"/>
              <w:spacing w:line="205" w:lineRule="exact"/>
              <w:ind w:left="115" w:right="0"/>
              <w:jc w:val="left"/>
              <w:rPr>
                <w:rFonts w:ascii="Swis721 Cn BT" w:hAnsi="Swis721 Cn BT" w:cs="Swis721 Cn BT" w:eastAsia="Swis721 Cn BT"/>
                <w:sz w:val="18"/>
                <w:szCs w:val="18"/>
              </w:rPr>
            </w:pPr>
            <w:r>
              <w:rPr>
                <w:rFonts w:ascii="Swis721 Cn BT"/>
                <w:color w:val="303B41"/>
                <w:sz w:val="18"/>
              </w:rPr>
              <w:t>tives</w:t>
            </w:r>
            <w:r>
              <w:rPr>
                <w:rFonts w:ascii="Swis721 Cn BT"/>
                <w:sz w:val="18"/>
              </w:rPr>
            </w:r>
          </w:p>
        </w:tc>
        <w:tc>
          <w:tcPr>
            <w:tcW w:w="712" w:type="dxa"/>
            <w:vMerge/>
            <w:tcBorders>
              <w:left w:val="nil" w:sz="6" w:space="0" w:color="auto"/>
              <w:right w:val="nil" w:sz="6" w:space="0" w:color="auto"/>
            </w:tcBorders>
            <w:shd w:val="clear" w:color="auto" w:fill="BFD22B"/>
          </w:tcPr>
          <w:p>
            <w:pPr/>
          </w:p>
        </w:tc>
        <w:tc>
          <w:tcPr>
            <w:tcW w:w="803" w:type="dxa"/>
            <w:vMerge/>
            <w:tcBorders>
              <w:left w:val="nil" w:sz="6" w:space="0" w:color="auto"/>
              <w:right w:val="nil" w:sz="6" w:space="0" w:color="auto"/>
            </w:tcBorders>
            <w:shd w:val="clear" w:color="auto" w:fill="BFD22B"/>
          </w:tcPr>
          <w:p>
            <w:pPr/>
          </w:p>
        </w:tc>
        <w:tc>
          <w:tcPr>
            <w:tcW w:w="76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435" w:right="0"/>
              <w:jc w:val="left"/>
              <w:rPr>
                <w:rFonts w:ascii="Swis721 Cn BT" w:hAnsi="Swis721 Cn BT" w:cs="Swis721 Cn BT" w:eastAsia="Swis721 Cn BT"/>
                <w:sz w:val="18"/>
                <w:szCs w:val="18"/>
              </w:rPr>
            </w:pPr>
            <w:r>
              <w:rPr>
                <w:rFonts w:ascii="Swis721 Cn BT"/>
                <w:color w:val="303B41"/>
                <w:sz w:val="18"/>
              </w:rPr>
              <w:t>and</w:t>
            </w:r>
            <w:r>
              <w:rPr>
                <w:rFonts w:ascii="Swis721 Cn BT"/>
                <w:sz w:val="18"/>
              </w:rPr>
            </w:r>
          </w:p>
        </w:tc>
        <w:tc>
          <w:tcPr>
            <w:tcW w:w="804"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107" w:right="0"/>
              <w:jc w:val="left"/>
              <w:rPr>
                <w:rFonts w:ascii="Swis721 Cn BT" w:hAnsi="Swis721 Cn BT" w:cs="Swis721 Cn BT" w:eastAsia="Swis721 Cn BT"/>
                <w:sz w:val="18"/>
                <w:szCs w:val="18"/>
              </w:rPr>
            </w:pPr>
            <w:r>
              <w:rPr>
                <w:rFonts w:ascii="Swis721 Cn BT"/>
                <w:color w:val="303B41"/>
                <w:sz w:val="18"/>
              </w:rPr>
              <w:t>contribu-</w:t>
            </w:r>
            <w:r>
              <w:rPr>
                <w:rFonts w:ascii="Swis721 Cn BT"/>
                <w:sz w:val="18"/>
              </w:rPr>
            </w:r>
          </w:p>
        </w:tc>
        <w:tc>
          <w:tcPr>
            <w:tcW w:w="1694" w:type="dxa"/>
            <w:vMerge/>
            <w:tcBorders>
              <w:left w:val="nil" w:sz="6" w:space="0" w:color="auto"/>
              <w:right w:val="nil" w:sz="6" w:space="0" w:color="auto"/>
            </w:tcBorders>
            <w:shd w:val="clear" w:color="auto" w:fill="BFD22B"/>
          </w:tcPr>
          <w:p>
            <w:pPr/>
          </w:p>
        </w:tc>
        <w:tc>
          <w:tcPr>
            <w:tcW w:w="815" w:type="dxa"/>
            <w:vMerge w:val="restart"/>
            <w:tcBorders>
              <w:top w:val="nil" w:sz="6" w:space="0" w:color="auto"/>
              <w:left w:val="nil" w:sz="6" w:space="0" w:color="auto"/>
              <w:right w:val="nil" w:sz="6" w:space="0" w:color="auto"/>
            </w:tcBorders>
            <w:shd w:val="clear" w:color="auto" w:fill="BFD22B"/>
          </w:tcPr>
          <w:p>
            <w:pPr>
              <w:pStyle w:val="TableParagraph"/>
              <w:spacing w:line="205" w:lineRule="exact"/>
              <w:ind w:left="123" w:right="0"/>
              <w:jc w:val="left"/>
              <w:rPr>
                <w:rFonts w:ascii="Swis721 Cn BT" w:hAnsi="Swis721 Cn BT" w:cs="Swis721 Cn BT" w:eastAsia="Swis721 Cn BT"/>
                <w:sz w:val="18"/>
                <w:szCs w:val="18"/>
              </w:rPr>
            </w:pPr>
            <w:r>
              <w:rPr>
                <w:rFonts w:ascii="Swis721 Cn BT"/>
                <w:color w:val="303B41"/>
                <w:sz w:val="18"/>
              </w:rPr>
              <w:t>benefits</w:t>
            </w:r>
            <w:r>
              <w:rPr>
                <w:rFonts w:ascii="Swis721 Cn BT"/>
                <w:sz w:val="18"/>
              </w:rPr>
            </w:r>
          </w:p>
        </w:tc>
        <w:tc>
          <w:tcPr>
            <w:tcW w:w="857" w:type="dxa"/>
            <w:vMerge w:val="restart"/>
            <w:tcBorders>
              <w:top w:val="nil" w:sz="6" w:space="0" w:color="auto"/>
              <w:left w:val="nil" w:sz="6" w:space="0" w:color="auto"/>
              <w:right w:val="nil" w:sz="6" w:space="0" w:color="auto"/>
            </w:tcBorders>
            <w:shd w:val="clear" w:color="auto" w:fill="BFD22B"/>
          </w:tcPr>
          <w:p>
            <w:pPr>
              <w:pStyle w:val="TableParagraph"/>
              <w:spacing w:line="205" w:lineRule="exact"/>
              <w:ind w:left="445" w:right="0"/>
              <w:jc w:val="left"/>
              <w:rPr>
                <w:rFonts w:ascii="Swis721 Cn BT" w:hAnsi="Swis721 Cn BT" w:cs="Swis721 Cn BT" w:eastAsia="Swis721 Cn BT"/>
                <w:sz w:val="18"/>
                <w:szCs w:val="18"/>
              </w:rPr>
            </w:pPr>
            <w:r>
              <w:rPr>
                <w:rFonts w:ascii="Swis721 Cn BT"/>
                <w:color w:val="303B41"/>
                <w:sz w:val="18"/>
              </w:rPr>
              <w:t>ation</w:t>
            </w:r>
            <w:r>
              <w:rPr>
                <w:rFonts w:ascii="Swis721 Cn BT"/>
                <w:sz w:val="18"/>
              </w:rPr>
            </w:r>
          </w:p>
        </w:tc>
      </w:tr>
      <w:tr>
        <w:trPr>
          <w:trHeight w:val="216" w:hRule="exact"/>
        </w:trPr>
        <w:tc>
          <w:tcPr>
            <w:tcW w:w="744" w:type="dxa"/>
            <w:vMerge/>
            <w:tcBorders>
              <w:left w:val="nil" w:sz="6" w:space="0" w:color="auto"/>
              <w:right w:val="nil" w:sz="6" w:space="0" w:color="auto"/>
            </w:tcBorders>
            <w:shd w:val="clear" w:color="auto" w:fill="BFD22B"/>
          </w:tcPr>
          <w:p>
            <w:pPr/>
          </w:p>
        </w:tc>
        <w:tc>
          <w:tcPr>
            <w:tcW w:w="801" w:type="dxa"/>
            <w:vMerge/>
            <w:tcBorders>
              <w:left w:val="nil" w:sz="6" w:space="0" w:color="auto"/>
              <w:right w:val="nil" w:sz="6" w:space="0" w:color="auto"/>
            </w:tcBorders>
            <w:shd w:val="clear" w:color="auto" w:fill="BFD22B"/>
          </w:tcPr>
          <w:p>
            <w:pPr/>
          </w:p>
        </w:tc>
        <w:tc>
          <w:tcPr>
            <w:tcW w:w="712" w:type="dxa"/>
            <w:vMerge/>
            <w:tcBorders>
              <w:left w:val="nil" w:sz="6" w:space="0" w:color="auto"/>
              <w:right w:val="nil" w:sz="6" w:space="0" w:color="auto"/>
            </w:tcBorders>
            <w:shd w:val="clear" w:color="auto" w:fill="BFD22B"/>
          </w:tcPr>
          <w:p>
            <w:pPr/>
          </w:p>
        </w:tc>
        <w:tc>
          <w:tcPr>
            <w:tcW w:w="803" w:type="dxa"/>
            <w:vMerge/>
            <w:tcBorders>
              <w:left w:val="nil" w:sz="6" w:space="0" w:color="auto"/>
              <w:right w:val="nil" w:sz="6" w:space="0" w:color="auto"/>
            </w:tcBorders>
            <w:shd w:val="clear" w:color="auto" w:fill="BFD22B"/>
          </w:tcPr>
          <w:p>
            <w:pPr/>
          </w:p>
        </w:tc>
        <w:tc>
          <w:tcPr>
            <w:tcW w:w="76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266" w:right="0"/>
              <w:jc w:val="left"/>
              <w:rPr>
                <w:rFonts w:ascii="Swis721 Cn BT" w:hAnsi="Swis721 Cn BT" w:cs="Swis721 Cn BT" w:eastAsia="Swis721 Cn BT"/>
                <w:sz w:val="18"/>
                <w:szCs w:val="18"/>
              </w:rPr>
            </w:pPr>
            <w:r>
              <w:rPr>
                <w:rFonts w:ascii="Swis721 Cn BT"/>
                <w:color w:val="303B41"/>
                <w:sz w:val="18"/>
              </w:rPr>
              <w:t>allow-</w:t>
            </w:r>
            <w:r>
              <w:rPr>
                <w:rFonts w:ascii="Swis721 Cn BT"/>
                <w:sz w:val="18"/>
              </w:rPr>
            </w:r>
          </w:p>
        </w:tc>
        <w:tc>
          <w:tcPr>
            <w:tcW w:w="804" w:type="dxa"/>
            <w:vMerge w:val="restart"/>
            <w:tcBorders>
              <w:top w:val="nil" w:sz="6" w:space="0" w:color="auto"/>
              <w:left w:val="nil" w:sz="6" w:space="0" w:color="auto"/>
              <w:right w:val="nil" w:sz="6" w:space="0" w:color="auto"/>
            </w:tcBorders>
            <w:shd w:val="clear" w:color="auto" w:fill="BFD22B"/>
          </w:tcPr>
          <w:p>
            <w:pPr>
              <w:pStyle w:val="TableParagraph"/>
              <w:spacing w:line="205" w:lineRule="exact"/>
              <w:ind w:left="392" w:right="0"/>
              <w:jc w:val="left"/>
              <w:rPr>
                <w:rFonts w:ascii="Swis721 Cn BT" w:hAnsi="Swis721 Cn BT" w:cs="Swis721 Cn BT" w:eastAsia="Swis721 Cn BT"/>
                <w:sz w:val="18"/>
                <w:szCs w:val="18"/>
              </w:rPr>
            </w:pPr>
            <w:r>
              <w:rPr>
                <w:rFonts w:ascii="Swis721 Cn BT"/>
                <w:color w:val="303B41"/>
                <w:sz w:val="18"/>
              </w:rPr>
              <w:t>tions</w:t>
            </w:r>
            <w:r>
              <w:rPr>
                <w:rFonts w:ascii="Swis721 Cn BT"/>
                <w:sz w:val="18"/>
              </w:rPr>
            </w:r>
          </w:p>
        </w:tc>
        <w:tc>
          <w:tcPr>
            <w:tcW w:w="1694" w:type="dxa"/>
            <w:vMerge/>
            <w:tcBorders>
              <w:left w:val="nil" w:sz="6" w:space="0" w:color="auto"/>
              <w:right w:val="nil" w:sz="6" w:space="0" w:color="auto"/>
            </w:tcBorders>
            <w:shd w:val="clear" w:color="auto" w:fill="BFD22B"/>
          </w:tcPr>
          <w:p>
            <w:pPr/>
          </w:p>
        </w:tc>
        <w:tc>
          <w:tcPr>
            <w:tcW w:w="815" w:type="dxa"/>
            <w:vMerge/>
            <w:tcBorders>
              <w:left w:val="nil" w:sz="6" w:space="0" w:color="auto"/>
              <w:right w:val="nil" w:sz="6" w:space="0" w:color="auto"/>
            </w:tcBorders>
            <w:shd w:val="clear" w:color="auto" w:fill="BFD22B"/>
          </w:tcPr>
          <w:p>
            <w:pPr/>
          </w:p>
        </w:tc>
        <w:tc>
          <w:tcPr>
            <w:tcW w:w="857" w:type="dxa"/>
            <w:vMerge/>
            <w:tcBorders>
              <w:left w:val="nil" w:sz="6" w:space="0" w:color="auto"/>
              <w:right w:val="nil" w:sz="6" w:space="0" w:color="auto"/>
            </w:tcBorders>
            <w:shd w:val="clear" w:color="auto" w:fill="BFD22B"/>
          </w:tcPr>
          <w:p>
            <w:pPr/>
          </w:p>
        </w:tc>
      </w:tr>
      <w:tr>
        <w:trPr>
          <w:trHeight w:val="243" w:hRule="exact"/>
        </w:trPr>
        <w:tc>
          <w:tcPr>
            <w:tcW w:w="744" w:type="dxa"/>
            <w:vMerge/>
            <w:tcBorders>
              <w:left w:val="nil" w:sz="6" w:space="0" w:color="auto"/>
              <w:bottom w:val="nil" w:sz="6" w:space="0" w:color="auto"/>
              <w:right w:val="nil" w:sz="6" w:space="0" w:color="auto"/>
            </w:tcBorders>
            <w:shd w:val="clear" w:color="auto" w:fill="BFD22B"/>
          </w:tcPr>
          <w:p>
            <w:pPr/>
          </w:p>
        </w:tc>
        <w:tc>
          <w:tcPr>
            <w:tcW w:w="801" w:type="dxa"/>
            <w:vMerge/>
            <w:tcBorders>
              <w:left w:val="nil" w:sz="6" w:space="0" w:color="auto"/>
              <w:bottom w:val="nil" w:sz="6" w:space="0" w:color="auto"/>
              <w:right w:val="nil" w:sz="6" w:space="0" w:color="auto"/>
            </w:tcBorders>
            <w:shd w:val="clear" w:color="auto" w:fill="BFD22B"/>
          </w:tcPr>
          <w:p>
            <w:pPr/>
          </w:p>
        </w:tc>
        <w:tc>
          <w:tcPr>
            <w:tcW w:w="712" w:type="dxa"/>
            <w:vMerge/>
            <w:tcBorders>
              <w:left w:val="nil" w:sz="6" w:space="0" w:color="auto"/>
              <w:bottom w:val="nil" w:sz="6" w:space="0" w:color="auto"/>
              <w:right w:val="nil" w:sz="6" w:space="0" w:color="auto"/>
            </w:tcBorders>
            <w:shd w:val="clear" w:color="auto" w:fill="BFD22B"/>
          </w:tcPr>
          <w:p>
            <w:pPr/>
          </w:p>
        </w:tc>
        <w:tc>
          <w:tcPr>
            <w:tcW w:w="803" w:type="dxa"/>
            <w:vMerge/>
            <w:tcBorders>
              <w:left w:val="nil" w:sz="6" w:space="0" w:color="auto"/>
              <w:bottom w:val="nil" w:sz="6" w:space="0" w:color="auto"/>
              <w:right w:val="nil" w:sz="6" w:space="0" w:color="auto"/>
            </w:tcBorders>
            <w:shd w:val="clear" w:color="auto" w:fill="BFD22B"/>
          </w:tcPr>
          <w:p>
            <w:pPr/>
          </w:p>
        </w:tc>
        <w:tc>
          <w:tcPr>
            <w:tcW w:w="76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279" w:right="0"/>
              <w:jc w:val="left"/>
              <w:rPr>
                <w:rFonts w:ascii="Swis721 Cn BT" w:hAnsi="Swis721 Cn BT" w:cs="Swis721 Cn BT" w:eastAsia="Swis721 Cn BT"/>
                <w:sz w:val="18"/>
                <w:szCs w:val="18"/>
              </w:rPr>
            </w:pPr>
            <w:r>
              <w:rPr>
                <w:rFonts w:ascii="Swis721 Cn BT"/>
                <w:color w:val="303B41"/>
                <w:sz w:val="18"/>
              </w:rPr>
              <w:t>ances</w:t>
            </w:r>
            <w:r>
              <w:rPr>
                <w:rFonts w:ascii="Swis721 Cn BT"/>
                <w:sz w:val="18"/>
              </w:rPr>
            </w:r>
          </w:p>
        </w:tc>
        <w:tc>
          <w:tcPr>
            <w:tcW w:w="804" w:type="dxa"/>
            <w:vMerge/>
            <w:tcBorders>
              <w:left w:val="nil" w:sz="6" w:space="0" w:color="auto"/>
              <w:bottom w:val="nil" w:sz="6" w:space="0" w:color="auto"/>
              <w:right w:val="nil" w:sz="6" w:space="0" w:color="auto"/>
            </w:tcBorders>
            <w:shd w:val="clear" w:color="auto" w:fill="BFD22B"/>
          </w:tcPr>
          <w:p>
            <w:pPr/>
          </w:p>
        </w:tc>
        <w:tc>
          <w:tcPr>
            <w:tcW w:w="1694" w:type="dxa"/>
            <w:vMerge/>
            <w:tcBorders>
              <w:left w:val="nil" w:sz="6" w:space="0" w:color="auto"/>
              <w:bottom w:val="nil" w:sz="6" w:space="0" w:color="auto"/>
              <w:right w:val="nil" w:sz="6" w:space="0" w:color="auto"/>
            </w:tcBorders>
            <w:shd w:val="clear" w:color="auto" w:fill="BFD22B"/>
          </w:tcPr>
          <w:p>
            <w:pPr/>
          </w:p>
        </w:tc>
        <w:tc>
          <w:tcPr>
            <w:tcW w:w="815" w:type="dxa"/>
            <w:vMerge/>
            <w:tcBorders>
              <w:left w:val="nil" w:sz="6" w:space="0" w:color="auto"/>
              <w:bottom w:val="nil" w:sz="6" w:space="0" w:color="auto"/>
              <w:right w:val="nil" w:sz="6" w:space="0" w:color="auto"/>
            </w:tcBorders>
            <w:shd w:val="clear" w:color="auto" w:fill="BFD22B"/>
          </w:tcPr>
          <w:p>
            <w:pPr/>
          </w:p>
        </w:tc>
        <w:tc>
          <w:tcPr>
            <w:tcW w:w="857" w:type="dxa"/>
            <w:vMerge/>
            <w:tcBorders>
              <w:left w:val="nil" w:sz="6" w:space="0" w:color="auto"/>
              <w:bottom w:val="nil" w:sz="6" w:space="0" w:color="auto"/>
              <w:right w:val="nil" w:sz="6" w:space="0" w:color="auto"/>
            </w:tcBorders>
            <w:shd w:val="clear" w:color="auto" w:fill="BFD22B"/>
          </w:tcPr>
          <w:p>
            <w:pPr/>
          </w:p>
        </w:tc>
      </w:tr>
    </w:tbl>
    <w:tbl>
      <w:tblPr>
        <w:tblW w:w="0" w:type="auto"/>
        <w:jc w:val="left"/>
        <w:tblInd w:w="118" w:type="dxa"/>
        <w:tblLayout w:type="fixed"/>
        <w:tblCellMar>
          <w:top w:w="0" w:type="dxa"/>
          <w:left w:w="0" w:type="dxa"/>
          <w:bottom w:w="0" w:type="dxa"/>
          <w:right w:w="0" w:type="dxa"/>
        </w:tblCellMar>
        <w:tblLook w:val="01E0"/>
      </w:tblPr>
      <w:tblGrid>
        <w:gridCol w:w="1322"/>
        <w:gridCol w:w="1068"/>
        <w:gridCol w:w="1142"/>
        <w:gridCol w:w="1268"/>
        <w:gridCol w:w="1574"/>
        <w:gridCol w:w="1675"/>
      </w:tblGrid>
      <w:tr>
        <w:trPr>
          <w:trHeight w:val="298" w:hRule="exact"/>
        </w:trPr>
        <w:tc>
          <w:tcPr>
            <w:tcW w:w="1322" w:type="dxa"/>
            <w:tcBorders>
              <w:top w:val="nil" w:sz="6" w:space="0" w:color="auto"/>
              <w:left w:val="nil" w:sz="6" w:space="0" w:color="auto"/>
              <w:bottom w:val="nil" w:sz="6" w:space="0" w:color="auto"/>
              <w:right w:val="nil" w:sz="6" w:space="0" w:color="auto"/>
            </w:tcBorders>
          </w:tcPr>
          <w:p>
            <w:pPr>
              <w:pStyle w:val="TableParagraph"/>
              <w:spacing w:line="240" w:lineRule="auto" w:before="71"/>
              <w:ind w:left="55" w:right="0"/>
              <w:jc w:val="left"/>
              <w:rPr>
                <w:rFonts w:ascii="Swis721 Lt BT" w:hAnsi="Swis721 Lt BT" w:cs="Swis721 Lt BT" w:eastAsia="Swis721 Lt BT"/>
                <w:sz w:val="18"/>
                <w:szCs w:val="18"/>
              </w:rPr>
            </w:pPr>
            <w:r>
              <w:rPr>
                <w:rFonts w:ascii="Swis721 Lt BT"/>
                <w:color w:val="231F20"/>
                <w:sz w:val="18"/>
              </w:rPr>
              <w:t>245,000-   </w:t>
            </w:r>
            <w:r>
              <w:rPr>
                <w:rFonts w:ascii="Swis721 Lt BT"/>
                <w:color w:val="231F20"/>
                <w:spacing w:val="7"/>
                <w:sz w:val="18"/>
              </w:rPr>
              <w:t> </w:t>
            </w:r>
            <w:r>
              <w:rPr>
                <w:rFonts w:ascii="Swis721 Lt BT"/>
                <w:color w:val="231F20"/>
                <w:sz w:val="18"/>
              </w:rPr>
              <w:t>2</w:t>
            </w:r>
            <w:r>
              <w:rPr>
                <w:rFonts w:ascii="Swis721 Lt BT"/>
                <w:sz w:val="18"/>
              </w:rPr>
            </w:r>
          </w:p>
        </w:tc>
        <w:tc>
          <w:tcPr>
            <w:tcW w:w="1068" w:type="dxa"/>
            <w:tcBorders>
              <w:top w:val="nil" w:sz="6" w:space="0" w:color="auto"/>
              <w:left w:val="nil" w:sz="6" w:space="0" w:color="auto"/>
              <w:bottom w:val="nil" w:sz="6" w:space="0" w:color="auto"/>
              <w:right w:val="nil" w:sz="6" w:space="0" w:color="auto"/>
            </w:tcBorders>
          </w:tcPr>
          <w:p>
            <w:pPr>
              <w:pStyle w:val="TableParagraph"/>
              <w:spacing w:line="240" w:lineRule="auto" w:before="71"/>
              <w:ind w:left="290" w:right="0"/>
              <w:jc w:val="left"/>
              <w:rPr>
                <w:rFonts w:ascii="Swis721 Lt BT" w:hAnsi="Swis721 Lt BT" w:cs="Swis721 Lt BT" w:eastAsia="Swis721 Lt BT"/>
                <w:sz w:val="18"/>
                <w:szCs w:val="18"/>
              </w:rPr>
            </w:pPr>
            <w:r>
              <w:rPr>
                <w:rFonts w:ascii="Swis721 Lt BT"/>
                <w:color w:val="231F20"/>
                <w:sz w:val="18"/>
              </w:rPr>
              <w:t>235,497</w:t>
            </w:r>
            <w:r>
              <w:rPr>
                <w:rFonts w:ascii="Swis721 Lt BT"/>
                <w:sz w:val="18"/>
              </w:rPr>
            </w:r>
          </w:p>
        </w:tc>
        <w:tc>
          <w:tcPr>
            <w:tcW w:w="1142" w:type="dxa"/>
            <w:tcBorders>
              <w:top w:val="nil" w:sz="6" w:space="0" w:color="auto"/>
              <w:left w:val="nil" w:sz="6" w:space="0" w:color="auto"/>
              <w:bottom w:val="nil" w:sz="6" w:space="0" w:color="auto"/>
              <w:right w:val="nil" w:sz="6" w:space="0" w:color="auto"/>
            </w:tcBorders>
          </w:tcPr>
          <w:p>
            <w:pPr>
              <w:pStyle w:val="TableParagraph"/>
              <w:spacing w:line="240" w:lineRule="auto" w:before="71"/>
              <w:ind w:left="154" w:right="0"/>
              <w:jc w:val="left"/>
              <w:rPr>
                <w:rFonts w:ascii="Swis721 Lt BT" w:hAnsi="Swis721 Lt BT" w:cs="Swis721 Lt BT" w:eastAsia="Swis721 Lt BT"/>
                <w:sz w:val="18"/>
                <w:szCs w:val="18"/>
              </w:rPr>
            </w:pPr>
            <w:r>
              <w:rPr>
                <w:rFonts w:ascii="Swis721 Lt BT"/>
                <w:color w:val="231F20"/>
                <w:sz w:val="18"/>
              </w:rPr>
              <w:t>2,500</w:t>
            </w:r>
            <w:r>
              <w:rPr>
                <w:rFonts w:ascii="Swis721 Lt BT"/>
                <w:sz w:val="18"/>
              </w:rPr>
            </w:r>
          </w:p>
        </w:tc>
        <w:tc>
          <w:tcPr>
            <w:tcW w:w="1268" w:type="dxa"/>
            <w:tcBorders>
              <w:top w:val="nil" w:sz="6" w:space="0" w:color="auto"/>
              <w:left w:val="nil" w:sz="6" w:space="0" w:color="auto"/>
              <w:bottom w:val="nil" w:sz="6" w:space="0" w:color="auto"/>
              <w:right w:val="nil" w:sz="6" w:space="0" w:color="auto"/>
            </w:tcBorders>
          </w:tcPr>
          <w:p>
            <w:pPr>
              <w:pStyle w:val="TableParagraph"/>
              <w:spacing w:line="240" w:lineRule="auto" w:before="71"/>
              <w:ind w:left="556" w:right="0"/>
              <w:jc w:val="left"/>
              <w:rPr>
                <w:rFonts w:ascii="Swis721 Lt BT" w:hAnsi="Swis721 Lt BT" w:cs="Swis721 Lt BT" w:eastAsia="Swis721 Lt BT"/>
                <w:sz w:val="18"/>
                <w:szCs w:val="18"/>
              </w:rPr>
            </w:pPr>
            <w:r>
              <w:rPr>
                <w:rFonts w:ascii="Swis721 Lt BT"/>
                <w:color w:val="231F20"/>
                <w:sz w:val="18"/>
              </w:rPr>
              <w:t>20,595</w:t>
            </w:r>
            <w:r>
              <w:rPr>
                <w:rFonts w:ascii="Swis721 Lt BT"/>
                <w:sz w:val="18"/>
              </w:rPr>
            </w:r>
          </w:p>
        </w:tc>
        <w:tc>
          <w:tcPr>
            <w:tcW w:w="1574" w:type="dxa"/>
            <w:tcBorders>
              <w:top w:val="nil" w:sz="6" w:space="0" w:color="auto"/>
              <w:left w:val="nil" w:sz="6" w:space="0" w:color="auto"/>
              <w:bottom w:val="nil" w:sz="6" w:space="0" w:color="auto"/>
              <w:right w:val="nil" w:sz="6" w:space="0" w:color="auto"/>
            </w:tcBorders>
          </w:tcPr>
          <w:p>
            <w:pPr>
              <w:pStyle w:val="TableParagraph"/>
              <w:spacing w:line="240" w:lineRule="auto" w:before="71"/>
              <w:ind w:left="184" w:right="0"/>
              <w:jc w:val="left"/>
              <w:rPr>
                <w:rFonts w:ascii="Swis721 Lt BT" w:hAnsi="Swis721 Lt BT" w:cs="Swis721 Lt BT" w:eastAsia="Swis721 Lt BT"/>
                <w:sz w:val="18"/>
                <w:szCs w:val="18"/>
              </w:rPr>
            </w:pPr>
            <w:r>
              <w:rPr>
                <w:rFonts w:ascii="Swis721 Lt BT"/>
                <w:color w:val="231F20"/>
                <w:sz w:val="18"/>
              </w:rPr>
              <w:t>4,506</w:t>
            </w:r>
            <w:r>
              <w:rPr>
                <w:rFonts w:ascii="Swis721 Lt BT"/>
                <w:sz w:val="18"/>
              </w:rPr>
            </w:r>
          </w:p>
        </w:tc>
        <w:tc>
          <w:tcPr>
            <w:tcW w:w="1675" w:type="dxa"/>
            <w:tcBorders>
              <w:top w:val="nil" w:sz="6" w:space="0" w:color="auto"/>
              <w:left w:val="nil" w:sz="6" w:space="0" w:color="auto"/>
              <w:bottom w:val="nil" w:sz="6" w:space="0" w:color="auto"/>
              <w:right w:val="nil" w:sz="6" w:space="0" w:color="auto"/>
            </w:tcBorders>
          </w:tcPr>
          <w:p>
            <w:pPr>
              <w:pStyle w:val="TableParagraph"/>
              <w:spacing w:line="240" w:lineRule="auto" w:before="71"/>
              <w:ind w:left="958" w:right="0"/>
              <w:jc w:val="left"/>
              <w:rPr>
                <w:rFonts w:ascii="Swis721 Lt BT" w:hAnsi="Swis721 Lt BT" w:cs="Swis721 Lt BT" w:eastAsia="Swis721 Lt BT"/>
                <w:sz w:val="18"/>
                <w:szCs w:val="18"/>
              </w:rPr>
            </w:pPr>
            <w:r>
              <w:rPr>
                <w:rFonts w:ascii="Swis721 Lt BT"/>
                <w:color w:val="231F20"/>
                <w:sz w:val="18"/>
              </w:rPr>
              <w:t>263,098</w:t>
            </w:r>
            <w:r>
              <w:rPr>
                <w:rFonts w:ascii="Swis721 Lt BT"/>
                <w:sz w:val="18"/>
              </w:rPr>
            </w:r>
          </w:p>
        </w:tc>
      </w:tr>
      <w:tr>
        <w:trPr>
          <w:trHeight w:val="254" w:hRule="exact"/>
        </w:trPr>
        <w:tc>
          <w:tcPr>
            <w:tcW w:w="1322" w:type="dxa"/>
            <w:tcBorders>
              <w:top w:val="nil" w:sz="6" w:space="0" w:color="auto"/>
              <w:left w:val="nil" w:sz="6" w:space="0" w:color="auto"/>
              <w:bottom w:val="single" w:sz="2" w:space="0" w:color="848B91"/>
              <w:right w:val="nil" w:sz="6" w:space="0" w:color="auto"/>
            </w:tcBorders>
          </w:tcPr>
          <w:p>
            <w:pPr>
              <w:pStyle w:val="TableParagraph"/>
              <w:spacing w:line="205" w:lineRule="exact"/>
              <w:ind w:left="55" w:right="0"/>
              <w:jc w:val="left"/>
              <w:rPr>
                <w:rFonts w:ascii="Swis721 Lt BT" w:hAnsi="Swis721 Lt BT" w:cs="Swis721 Lt BT" w:eastAsia="Swis721 Lt BT"/>
                <w:sz w:val="18"/>
                <w:szCs w:val="18"/>
              </w:rPr>
            </w:pPr>
            <w:r>
              <w:rPr>
                <w:rFonts w:ascii="Swis721 Lt BT"/>
                <w:color w:val="231F20"/>
                <w:sz w:val="18"/>
              </w:rPr>
              <w:t>270,000</w:t>
            </w:r>
            <w:r>
              <w:rPr>
                <w:rFonts w:ascii="Swis721 Lt BT"/>
                <w:sz w:val="18"/>
              </w:rPr>
            </w:r>
          </w:p>
        </w:tc>
        <w:tc>
          <w:tcPr>
            <w:tcW w:w="1068" w:type="dxa"/>
            <w:tcBorders>
              <w:top w:val="nil" w:sz="6" w:space="0" w:color="auto"/>
              <w:left w:val="nil" w:sz="6" w:space="0" w:color="auto"/>
              <w:bottom w:val="single" w:sz="2" w:space="0" w:color="848B91"/>
              <w:right w:val="nil" w:sz="6" w:space="0" w:color="auto"/>
            </w:tcBorders>
          </w:tcPr>
          <w:p>
            <w:pPr/>
          </w:p>
        </w:tc>
        <w:tc>
          <w:tcPr>
            <w:tcW w:w="1142" w:type="dxa"/>
            <w:tcBorders>
              <w:top w:val="nil" w:sz="6" w:space="0" w:color="auto"/>
              <w:left w:val="nil" w:sz="6" w:space="0" w:color="auto"/>
              <w:bottom w:val="single" w:sz="2" w:space="0" w:color="848B91"/>
              <w:right w:val="nil" w:sz="6" w:space="0" w:color="auto"/>
            </w:tcBorders>
          </w:tcPr>
          <w:p>
            <w:pPr/>
          </w:p>
        </w:tc>
        <w:tc>
          <w:tcPr>
            <w:tcW w:w="1268" w:type="dxa"/>
            <w:tcBorders>
              <w:top w:val="nil" w:sz="6" w:space="0" w:color="auto"/>
              <w:left w:val="nil" w:sz="6" w:space="0" w:color="auto"/>
              <w:bottom w:val="single" w:sz="2" w:space="0" w:color="848B91"/>
              <w:right w:val="nil" w:sz="6" w:space="0" w:color="auto"/>
            </w:tcBorders>
          </w:tcPr>
          <w:p>
            <w:pPr/>
          </w:p>
        </w:tc>
        <w:tc>
          <w:tcPr>
            <w:tcW w:w="1574" w:type="dxa"/>
            <w:tcBorders>
              <w:top w:val="nil" w:sz="6" w:space="0" w:color="auto"/>
              <w:left w:val="nil" w:sz="6" w:space="0" w:color="auto"/>
              <w:bottom w:val="single" w:sz="2" w:space="0" w:color="848B91"/>
              <w:right w:val="nil" w:sz="6" w:space="0" w:color="auto"/>
            </w:tcBorders>
          </w:tcPr>
          <w:p>
            <w:pPr/>
          </w:p>
        </w:tc>
        <w:tc>
          <w:tcPr>
            <w:tcW w:w="1675" w:type="dxa"/>
            <w:tcBorders>
              <w:top w:val="nil" w:sz="6" w:space="0" w:color="auto"/>
              <w:left w:val="nil" w:sz="6" w:space="0" w:color="auto"/>
              <w:bottom w:val="single" w:sz="2" w:space="0" w:color="848B91"/>
              <w:right w:val="nil" w:sz="6" w:space="0" w:color="auto"/>
            </w:tcBorders>
          </w:tcPr>
          <w:p>
            <w:pPr/>
          </w:p>
        </w:tc>
      </w:tr>
      <w:tr>
        <w:trPr>
          <w:trHeight w:val="292" w:hRule="exact"/>
        </w:trPr>
        <w:tc>
          <w:tcPr>
            <w:tcW w:w="1322" w:type="dxa"/>
            <w:tcBorders>
              <w:top w:val="single" w:sz="2" w:space="0" w:color="848B91"/>
              <w:left w:val="nil" w:sz="6" w:space="0" w:color="auto"/>
              <w:bottom w:val="nil" w:sz="6" w:space="0" w:color="auto"/>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z w:val="18"/>
              </w:rPr>
              <w:t>270,000-   </w:t>
            </w:r>
            <w:r>
              <w:rPr>
                <w:rFonts w:ascii="Swis721 Lt BT"/>
                <w:color w:val="231F20"/>
                <w:spacing w:val="7"/>
                <w:sz w:val="18"/>
              </w:rPr>
              <w:t> </w:t>
            </w:r>
            <w:r>
              <w:rPr>
                <w:rFonts w:ascii="Swis721 Lt BT"/>
                <w:color w:val="231F20"/>
                <w:sz w:val="18"/>
              </w:rPr>
              <w:t>1</w:t>
            </w:r>
            <w:r>
              <w:rPr>
                <w:rFonts w:ascii="Swis721 Lt BT"/>
                <w:sz w:val="18"/>
              </w:rPr>
            </w:r>
          </w:p>
        </w:tc>
        <w:tc>
          <w:tcPr>
            <w:tcW w:w="1068" w:type="dxa"/>
            <w:tcBorders>
              <w:top w:val="single" w:sz="2" w:space="0" w:color="848B91"/>
              <w:left w:val="nil" w:sz="6" w:space="0" w:color="auto"/>
              <w:bottom w:val="nil" w:sz="6" w:space="0" w:color="auto"/>
              <w:right w:val="nil" w:sz="6" w:space="0" w:color="auto"/>
            </w:tcBorders>
          </w:tcPr>
          <w:p>
            <w:pPr>
              <w:pStyle w:val="TableParagraph"/>
              <w:spacing w:line="240" w:lineRule="auto" w:before="65"/>
              <w:ind w:left="290" w:right="0"/>
              <w:jc w:val="left"/>
              <w:rPr>
                <w:rFonts w:ascii="Swis721 Lt BT" w:hAnsi="Swis721 Lt BT" w:cs="Swis721 Lt BT" w:eastAsia="Swis721 Lt BT"/>
                <w:sz w:val="18"/>
                <w:szCs w:val="18"/>
              </w:rPr>
            </w:pPr>
            <w:r>
              <w:rPr>
                <w:rFonts w:ascii="Swis721 Lt BT"/>
                <w:color w:val="231F20"/>
                <w:sz w:val="18"/>
              </w:rPr>
              <w:t>251,216</w:t>
            </w:r>
            <w:r>
              <w:rPr>
                <w:rFonts w:ascii="Swis721 Lt BT"/>
                <w:sz w:val="18"/>
              </w:rPr>
            </w:r>
          </w:p>
        </w:tc>
        <w:tc>
          <w:tcPr>
            <w:tcW w:w="1142" w:type="dxa"/>
            <w:tcBorders>
              <w:top w:val="single" w:sz="2" w:space="0" w:color="848B91"/>
              <w:left w:val="nil" w:sz="6" w:space="0" w:color="auto"/>
              <w:bottom w:val="nil" w:sz="6" w:space="0" w:color="auto"/>
              <w:right w:val="nil" w:sz="6" w:space="0" w:color="auto"/>
            </w:tcBorders>
          </w:tcPr>
          <w:p>
            <w:pPr/>
          </w:p>
        </w:tc>
        <w:tc>
          <w:tcPr>
            <w:tcW w:w="1268" w:type="dxa"/>
            <w:tcBorders>
              <w:top w:val="single" w:sz="2" w:space="0" w:color="848B91"/>
              <w:left w:val="nil" w:sz="6" w:space="0" w:color="auto"/>
              <w:bottom w:val="nil" w:sz="6" w:space="0" w:color="auto"/>
              <w:right w:val="nil" w:sz="6" w:space="0" w:color="auto"/>
            </w:tcBorders>
          </w:tcPr>
          <w:p>
            <w:pPr>
              <w:pStyle w:val="TableParagraph"/>
              <w:spacing w:line="240" w:lineRule="auto" w:before="65"/>
              <w:ind w:left="556" w:right="0"/>
              <w:jc w:val="left"/>
              <w:rPr>
                <w:rFonts w:ascii="Swis721 Lt BT" w:hAnsi="Swis721 Lt BT" w:cs="Swis721 Lt BT" w:eastAsia="Swis721 Lt BT"/>
                <w:sz w:val="18"/>
                <w:szCs w:val="18"/>
              </w:rPr>
            </w:pPr>
            <w:r>
              <w:rPr>
                <w:rFonts w:ascii="Swis721 Lt BT"/>
                <w:color w:val="231F20"/>
                <w:sz w:val="18"/>
              </w:rPr>
              <w:t>21,593</w:t>
            </w:r>
            <w:r>
              <w:rPr>
                <w:rFonts w:ascii="Swis721 Lt BT"/>
                <w:sz w:val="18"/>
              </w:rPr>
            </w:r>
          </w:p>
        </w:tc>
        <w:tc>
          <w:tcPr>
            <w:tcW w:w="1574" w:type="dxa"/>
            <w:tcBorders>
              <w:top w:val="single" w:sz="2" w:space="0" w:color="848B91"/>
              <w:left w:val="nil" w:sz="6" w:space="0" w:color="auto"/>
              <w:bottom w:val="nil" w:sz="6" w:space="0" w:color="auto"/>
              <w:right w:val="nil" w:sz="6" w:space="0" w:color="auto"/>
            </w:tcBorders>
          </w:tcPr>
          <w:p>
            <w:pPr>
              <w:pStyle w:val="TableParagraph"/>
              <w:spacing w:line="240" w:lineRule="auto" w:before="65"/>
              <w:ind w:left="184" w:right="0"/>
              <w:jc w:val="left"/>
              <w:rPr>
                <w:rFonts w:ascii="Swis721 Lt BT" w:hAnsi="Swis721 Lt BT" w:cs="Swis721 Lt BT" w:eastAsia="Swis721 Lt BT"/>
                <w:sz w:val="18"/>
                <w:szCs w:val="18"/>
              </w:rPr>
            </w:pPr>
            <w:r>
              <w:rPr>
                <w:rFonts w:ascii="Swis721 Lt BT"/>
                <w:color w:val="231F20"/>
                <w:sz w:val="18"/>
              </w:rPr>
              <w:t>3,808</w:t>
            </w:r>
            <w:r>
              <w:rPr>
                <w:rFonts w:ascii="Swis721 Lt BT"/>
                <w:sz w:val="18"/>
              </w:rPr>
            </w:r>
          </w:p>
        </w:tc>
        <w:tc>
          <w:tcPr>
            <w:tcW w:w="1675" w:type="dxa"/>
            <w:tcBorders>
              <w:top w:val="single" w:sz="2" w:space="0" w:color="848B91"/>
              <w:left w:val="nil" w:sz="6" w:space="0" w:color="auto"/>
              <w:bottom w:val="nil" w:sz="6" w:space="0" w:color="auto"/>
              <w:right w:val="nil" w:sz="6" w:space="0" w:color="auto"/>
            </w:tcBorders>
          </w:tcPr>
          <w:p>
            <w:pPr>
              <w:pStyle w:val="TableParagraph"/>
              <w:spacing w:line="240" w:lineRule="auto" w:before="65"/>
              <w:ind w:left="958" w:right="0"/>
              <w:jc w:val="left"/>
              <w:rPr>
                <w:rFonts w:ascii="Swis721 Lt BT" w:hAnsi="Swis721 Lt BT" w:cs="Swis721 Lt BT" w:eastAsia="Swis721 Lt BT"/>
                <w:sz w:val="18"/>
                <w:szCs w:val="18"/>
              </w:rPr>
            </w:pPr>
            <w:r>
              <w:rPr>
                <w:rFonts w:ascii="Swis721 Lt BT"/>
                <w:color w:val="231F20"/>
                <w:sz w:val="18"/>
              </w:rPr>
              <w:t>276,617</w:t>
            </w:r>
            <w:r>
              <w:rPr>
                <w:rFonts w:ascii="Swis721 Lt BT"/>
                <w:sz w:val="18"/>
              </w:rPr>
            </w:r>
          </w:p>
        </w:tc>
      </w:tr>
      <w:tr>
        <w:trPr>
          <w:trHeight w:val="254" w:hRule="exact"/>
        </w:trPr>
        <w:tc>
          <w:tcPr>
            <w:tcW w:w="1322" w:type="dxa"/>
            <w:tcBorders>
              <w:top w:val="nil" w:sz="6" w:space="0" w:color="auto"/>
              <w:left w:val="nil" w:sz="6" w:space="0" w:color="auto"/>
              <w:bottom w:val="single" w:sz="2" w:space="0" w:color="848B91"/>
              <w:right w:val="nil" w:sz="6" w:space="0" w:color="auto"/>
            </w:tcBorders>
          </w:tcPr>
          <w:p>
            <w:pPr>
              <w:pStyle w:val="TableParagraph"/>
              <w:spacing w:line="205" w:lineRule="exact"/>
              <w:ind w:left="55" w:right="0"/>
              <w:jc w:val="left"/>
              <w:rPr>
                <w:rFonts w:ascii="Swis721 Lt BT" w:hAnsi="Swis721 Lt BT" w:cs="Swis721 Lt BT" w:eastAsia="Swis721 Lt BT"/>
                <w:sz w:val="18"/>
                <w:szCs w:val="18"/>
              </w:rPr>
            </w:pPr>
            <w:r>
              <w:rPr>
                <w:rFonts w:ascii="Swis721 Lt BT"/>
                <w:color w:val="231F20"/>
                <w:sz w:val="18"/>
              </w:rPr>
              <w:t>295,000</w:t>
            </w:r>
            <w:r>
              <w:rPr>
                <w:rFonts w:ascii="Swis721 Lt BT"/>
                <w:sz w:val="18"/>
              </w:rPr>
            </w:r>
          </w:p>
        </w:tc>
        <w:tc>
          <w:tcPr>
            <w:tcW w:w="1068" w:type="dxa"/>
            <w:tcBorders>
              <w:top w:val="nil" w:sz="6" w:space="0" w:color="auto"/>
              <w:left w:val="nil" w:sz="6" w:space="0" w:color="auto"/>
              <w:bottom w:val="single" w:sz="2" w:space="0" w:color="848B91"/>
              <w:right w:val="nil" w:sz="6" w:space="0" w:color="auto"/>
            </w:tcBorders>
          </w:tcPr>
          <w:p>
            <w:pPr/>
          </w:p>
        </w:tc>
        <w:tc>
          <w:tcPr>
            <w:tcW w:w="1142" w:type="dxa"/>
            <w:tcBorders>
              <w:top w:val="nil" w:sz="6" w:space="0" w:color="auto"/>
              <w:left w:val="nil" w:sz="6" w:space="0" w:color="auto"/>
              <w:bottom w:val="single" w:sz="2" w:space="0" w:color="848B91"/>
              <w:right w:val="nil" w:sz="6" w:space="0" w:color="auto"/>
            </w:tcBorders>
          </w:tcPr>
          <w:p>
            <w:pPr/>
          </w:p>
        </w:tc>
        <w:tc>
          <w:tcPr>
            <w:tcW w:w="1268" w:type="dxa"/>
            <w:tcBorders>
              <w:top w:val="nil" w:sz="6" w:space="0" w:color="auto"/>
              <w:left w:val="nil" w:sz="6" w:space="0" w:color="auto"/>
              <w:bottom w:val="single" w:sz="2" w:space="0" w:color="848B91"/>
              <w:right w:val="nil" w:sz="6" w:space="0" w:color="auto"/>
            </w:tcBorders>
          </w:tcPr>
          <w:p>
            <w:pPr/>
          </w:p>
        </w:tc>
        <w:tc>
          <w:tcPr>
            <w:tcW w:w="1574" w:type="dxa"/>
            <w:tcBorders>
              <w:top w:val="nil" w:sz="6" w:space="0" w:color="auto"/>
              <w:left w:val="nil" w:sz="6" w:space="0" w:color="auto"/>
              <w:bottom w:val="single" w:sz="2" w:space="0" w:color="848B91"/>
              <w:right w:val="nil" w:sz="6" w:space="0" w:color="auto"/>
            </w:tcBorders>
          </w:tcPr>
          <w:p>
            <w:pPr/>
          </w:p>
        </w:tc>
        <w:tc>
          <w:tcPr>
            <w:tcW w:w="1675" w:type="dxa"/>
            <w:tcBorders>
              <w:top w:val="nil" w:sz="6" w:space="0" w:color="auto"/>
              <w:left w:val="nil" w:sz="6" w:space="0" w:color="auto"/>
              <w:bottom w:val="single" w:sz="2" w:space="0" w:color="848B91"/>
              <w:right w:val="nil" w:sz="6" w:space="0" w:color="auto"/>
            </w:tcBorders>
          </w:tcPr>
          <w:p>
            <w:pPr/>
          </w:p>
        </w:tc>
      </w:tr>
    </w:tbl>
    <w:p>
      <w:pPr>
        <w:spacing w:line="240" w:lineRule="auto" w:before="0"/>
        <w:rPr>
          <w:rFonts w:ascii="Swis721 Md BT" w:hAnsi="Swis721 Md BT" w:cs="Swis721 Md BT" w:eastAsia="Swis721 Md BT"/>
          <w:sz w:val="20"/>
          <w:szCs w:val="20"/>
        </w:rPr>
      </w:pPr>
    </w:p>
    <w:p>
      <w:pPr>
        <w:spacing w:line="240" w:lineRule="auto" w:before="9"/>
        <w:rPr>
          <w:rFonts w:ascii="Swis721 Md BT" w:hAnsi="Swis721 Md BT" w:cs="Swis721 Md BT" w:eastAsia="Swis721 Md BT"/>
          <w:sz w:val="24"/>
          <w:szCs w:val="24"/>
        </w:rPr>
      </w:pPr>
    </w:p>
    <w:p>
      <w:pPr>
        <w:spacing w:after="0" w:line="240" w:lineRule="auto"/>
        <w:rPr>
          <w:rFonts w:ascii="Swis721 Md BT" w:hAnsi="Swis721 Md BT" w:cs="Swis721 Md BT" w:eastAsia="Swis721 Md BT"/>
          <w:sz w:val="24"/>
          <w:szCs w:val="24"/>
        </w:rPr>
        <w:sectPr>
          <w:footerReference w:type="default" r:id="rId60"/>
          <w:footerReference w:type="even" r:id="rId61"/>
          <w:pgSz w:w="9980" w:h="14180"/>
          <w:pgMar w:footer="452" w:header="0" w:top="360" w:bottom="640" w:left="960" w:right="740"/>
          <w:pgNumType w:start="35"/>
        </w:sectPr>
      </w:pPr>
    </w:p>
    <w:p>
      <w:pPr>
        <w:spacing w:line="241" w:lineRule="auto" w:before="61"/>
        <w:ind w:left="173" w:right="126" w:firstLine="0"/>
        <w:jc w:val="left"/>
        <w:rPr>
          <w:rFonts w:ascii="Swis721 BT" w:hAnsi="Swis721 BT" w:cs="Swis721 BT" w:eastAsia="Swis721 BT"/>
          <w:sz w:val="24"/>
          <w:szCs w:val="24"/>
        </w:rPr>
      </w:pPr>
      <w:r>
        <w:rPr>
          <w:rFonts w:ascii="Swis721 BT"/>
          <w:b/>
          <w:color w:val="005E63"/>
          <w:sz w:val="24"/>
        </w:rPr>
        <w:t>RECOGNISING AND MANAGING RISK</w:t>
      </w:r>
      <w:r>
        <w:rPr>
          <w:rFonts w:ascii="Swis721 BT"/>
          <w:sz w:val="24"/>
        </w:rPr>
      </w:r>
    </w:p>
    <w:p>
      <w:pPr>
        <w:pStyle w:val="BodyText"/>
        <w:spacing w:line="240" w:lineRule="auto" w:before="213"/>
        <w:ind w:left="173" w:right="0"/>
        <w:jc w:val="left"/>
      </w:pPr>
      <w:r>
        <w:rPr>
          <w:color w:val="231F20"/>
        </w:rPr>
        <w:t>AITSL’s risk management policy and framework communicates the principles, tolerance, appetite and responsibilities with regard to risk management throughout AITSL.</w:t>
      </w:r>
      <w:r>
        <w:rPr>
          <w:color w:val="231F20"/>
          <w:spacing w:val="25"/>
        </w:rPr>
        <w:t> </w:t>
      </w:r>
      <w:r>
        <w:rPr>
          <w:color w:val="231F20"/>
        </w:rPr>
        <w:t>Risk management has been integrated into</w:t>
      </w:r>
      <w:r>
        <w:rPr>
          <w:color w:val="231F20"/>
        </w:rPr>
        <w:t> AITSL’s governance, planning and reporting framework.</w:t>
      </w:r>
      <w:r>
        <w:rPr/>
      </w:r>
    </w:p>
    <w:p>
      <w:pPr>
        <w:spacing w:line="240" w:lineRule="auto" w:before="0"/>
        <w:rPr>
          <w:rFonts w:ascii="Swis721 Lt BT" w:hAnsi="Swis721 Lt BT" w:cs="Swis721 Lt BT" w:eastAsia="Swis721 Lt BT"/>
          <w:sz w:val="18"/>
          <w:szCs w:val="18"/>
        </w:rPr>
      </w:pPr>
    </w:p>
    <w:p>
      <w:pPr>
        <w:pStyle w:val="Heading8"/>
        <w:spacing w:line="240" w:lineRule="auto"/>
        <w:ind w:left="173" w:right="0"/>
        <w:jc w:val="left"/>
      </w:pPr>
      <w:r>
        <w:rPr>
          <w:color w:val="00757A"/>
        </w:rPr>
        <w:t>Internal control framework</w:t>
      </w:r>
      <w:r>
        <w:rPr/>
      </w:r>
    </w:p>
    <w:p>
      <w:pPr>
        <w:pStyle w:val="BodyText"/>
        <w:spacing w:line="240" w:lineRule="auto" w:before="106"/>
        <w:ind w:left="173" w:right="19"/>
        <w:jc w:val="left"/>
      </w:pPr>
      <w:r>
        <w:rPr>
          <w:color w:val="231F20"/>
        </w:rPr>
        <w:t>The Board is responsible for the overall internal control framework and for reviewing its effectiveness. The framework is intended to provide assurance that appropriate internal controls have been implemented to </w:t>
      </w:r>
      <w:r>
        <w:rPr>
          <w:color w:val="231F20"/>
          <w:spacing w:val="-2"/>
        </w:rPr>
        <w:t>identify,</w:t>
      </w:r>
      <w:r>
        <w:rPr>
          <w:color w:val="231F20"/>
          <w:spacing w:val="23"/>
        </w:rPr>
        <w:t> </w:t>
      </w:r>
      <w:r>
        <w:rPr>
          <w:color w:val="231F20"/>
        </w:rPr>
        <w:t>evaluate</w:t>
      </w:r>
      <w:r>
        <w:rPr>
          <w:color w:val="231F20"/>
          <w:spacing w:val="-2"/>
        </w:rPr>
        <w:t> </w:t>
      </w:r>
      <w:r>
        <w:rPr>
          <w:color w:val="231F20"/>
        </w:rPr>
        <w:t>and</w:t>
      </w:r>
      <w:r>
        <w:rPr>
          <w:color w:val="231F20"/>
          <w:spacing w:val="-1"/>
        </w:rPr>
        <w:t> </w:t>
      </w:r>
      <w:r>
        <w:rPr>
          <w:color w:val="231F20"/>
        </w:rPr>
        <w:t>manage</w:t>
      </w:r>
      <w:r>
        <w:rPr>
          <w:color w:val="231F20"/>
          <w:spacing w:val="-2"/>
        </w:rPr>
        <w:t> </w:t>
      </w:r>
      <w:r>
        <w:rPr>
          <w:color w:val="231F20"/>
        </w:rPr>
        <w:t>significant</w:t>
      </w:r>
      <w:r>
        <w:rPr>
          <w:color w:val="231F20"/>
          <w:spacing w:val="-1"/>
        </w:rPr>
        <w:t> </w:t>
      </w:r>
      <w:r>
        <w:rPr>
          <w:color w:val="231F20"/>
        </w:rPr>
        <w:t>risks</w:t>
      </w:r>
      <w:r>
        <w:rPr>
          <w:color w:val="231F20"/>
          <w:spacing w:val="-1"/>
        </w:rPr>
        <w:t> </w:t>
      </w:r>
      <w:r>
        <w:rPr>
          <w:color w:val="231F20"/>
        </w:rPr>
        <w:t>to</w:t>
      </w:r>
      <w:r>
        <w:rPr>
          <w:color w:val="231F20"/>
          <w:spacing w:val="-2"/>
        </w:rPr>
        <w:t> </w:t>
      </w:r>
      <w:r>
        <w:rPr>
          <w:color w:val="231F20"/>
        </w:rPr>
        <w:t>the</w:t>
      </w:r>
      <w:r>
        <w:rPr>
          <w:color w:val="231F20"/>
        </w:rPr>
        <w:t> achievement of AITSL’s objectives. These internal</w:t>
      </w:r>
      <w:r>
        <w:rPr>
          <w:color w:val="231F20"/>
          <w:spacing w:val="-2"/>
        </w:rPr>
        <w:t> </w:t>
      </w:r>
      <w:r>
        <w:rPr>
          <w:color w:val="231F20"/>
        </w:rPr>
        <w:t>controls</w:t>
      </w:r>
      <w:r>
        <w:rPr>
          <w:color w:val="231F20"/>
          <w:spacing w:val="-2"/>
        </w:rPr>
        <w:t> </w:t>
      </w:r>
      <w:r>
        <w:rPr>
          <w:color w:val="231F20"/>
        </w:rPr>
        <w:t>cover</w:t>
      </w:r>
      <w:r>
        <w:rPr>
          <w:color w:val="231F20"/>
          <w:spacing w:val="-2"/>
        </w:rPr>
        <w:t> </w:t>
      </w:r>
      <w:r>
        <w:rPr>
          <w:color w:val="231F20"/>
        </w:rPr>
        <w:t>strategic,</w:t>
      </w:r>
      <w:r>
        <w:rPr>
          <w:color w:val="231F20"/>
          <w:spacing w:val="-2"/>
        </w:rPr>
        <w:t> </w:t>
      </w:r>
      <w:r>
        <w:rPr>
          <w:color w:val="231F20"/>
        </w:rPr>
        <w:t>financial,</w:t>
      </w:r>
      <w:r>
        <w:rPr>
          <w:color w:val="231F20"/>
          <w:w w:val="99"/>
        </w:rPr>
        <w:t> </w:t>
      </w:r>
      <w:r>
        <w:rPr>
          <w:color w:val="231F20"/>
        </w:rPr>
        <w:t>operational, information technology and</w:t>
      </w:r>
      <w:r>
        <w:rPr>
          <w:color w:val="231F20"/>
        </w:rPr>
        <w:t> compliance risk, and take the form of appropriate</w:t>
      </w:r>
      <w:r>
        <w:rPr>
          <w:color w:val="231F20"/>
          <w:spacing w:val="-5"/>
        </w:rPr>
        <w:t> </w:t>
      </w:r>
      <w:r>
        <w:rPr>
          <w:color w:val="231F20"/>
        </w:rPr>
        <w:t>financial</w:t>
      </w:r>
      <w:r>
        <w:rPr>
          <w:color w:val="231F20"/>
          <w:spacing w:val="-4"/>
        </w:rPr>
        <w:t> </w:t>
      </w:r>
      <w:r>
        <w:rPr>
          <w:color w:val="231F20"/>
        </w:rPr>
        <w:t>delegations,</w:t>
      </w:r>
      <w:r>
        <w:rPr>
          <w:color w:val="231F20"/>
          <w:spacing w:val="-5"/>
        </w:rPr>
        <w:t> </w:t>
      </w:r>
      <w:r>
        <w:rPr>
          <w:color w:val="231F20"/>
        </w:rPr>
        <w:t>financial</w:t>
      </w:r>
      <w:r>
        <w:rPr>
          <w:color w:val="231F20"/>
          <w:w w:val="99"/>
        </w:rPr>
        <w:t> </w:t>
      </w:r>
      <w:r>
        <w:rPr>
          <w:color w:val="231F20"/>
        </w:rPr>
        <w:t>planning and reporting, strategic and</w:t>
      </w:r>
      <w:r>
        <w:rPr>
          <w:color w:val="231F20"/>
        </w:rPr>
        <w:t> operational planning, and internal audit practices.</w:t>
      </w:r>
      <w:r>
        <w:rPr/>
      </w:r>
    </w:p>
    <w:p>
      <w:pPr>
        <w:pStyle w:val="Heading8"/>
        <w:spacing w:line="240" w:lineRule="auto" w:before="65"/>
        <w:ind w:left="173" w:right="0"/>
        <w:jc w:val="left"/>
      </w:pPr>
      <w:r>
        <w:rPr/>
        <w:br w:type="column"/>
      </w:r>
      <w:r>
        <w:rPr>
          <w:color w:val="00757A"/>
        </w:rPr>
        <w:t>Risk management</w:t>
      </w:r>
      <w:r>
        <w:rPr/>
      </w:r>
    </w:p>
    <w:p>
      <w:pPr>
        <w:spacing w:before="106"/>
        <w:ind w:left="173" w:right="155"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AITSL operates under a risk management policy that is consistent with the </w:t>
      </w:r>
      <w:r>
        <w:rPr>
          <w:rFonts w:ascii="Swis721 Lt BT" w:hAnsi="Swis721 Lt BT" w:cs="Swis721 Lt BT" w:eastAsia="Swis721 Lt BT"/>
          <w:i/>
          <w:color w:val="231F20"/>
          <w:sz w:val="19"/>
          <w:szCs w:val="19"/>
        </w:rPr>
        <w:t>Australian</w:t>
      </w:r>
      <w:r>
        <w:rPr>
          <w:rFonts w:ascii="Swis721 Lt BT" w:hAnsi="Swis721 Lt BT" w:cs="Swis721 Lt BT" w:eastAsia="Swis721 Lt BT"/>
          <w:i/>
          <w:color w:val="231F20"/>
          <w:sz w:val="19"/>
          <w:szCs w:val="19"/>
        </w:rPr>
        <w:t> Standard: AS ISO 31000:2018 risk management – Guidelines</w:t>
      </w:r>
      <w:r>
        <w:rPr>
          <w:rFonts w:ascii="Swis721 Lt BT" w:hAnsi="Swis721 Lt BT" w:cs="Swis721 Lt BT" w:eastAsia="Swis721 Lt BT"/>
          <w:color w:val="231F20"/>
          <w:sz w:val="19"/>
          <w:szCs w:val="19"/>
        </w:rPr>
        <w:t>. The policy allows</w:t>
      </w:r>
      <w:r>
        <w:rPr>
          <w:rFonts w:ascii="Swis721 Lt BT" w:hAnsi="Swis721 Lt BT" w:cs="Swis721 Lt BT" w:eastAsia="Swis721 Lt BT"/>
          <w:color w:val="231F20"/>
          <w:sz w:val="19"/>
          <w:szCs w:val="19"/>
        </w:rPr>
        <w:t> for</w:t>
      </w:r>
      <w:r>
        <w:rPr>
          <w:rFonts w:ascii="Swis721 Lt BT" w:hAnsi="Swis721 Lt BT" w:cs="Swis721 Lt BT" w:eastAsia="Swis721 Lt BT"/>
          <w:color w:val="231F20"/>
          <w:spacing w:val="-3"/>
          <w:sz w:val="19"/>
          <w:szCs w:val="19"/>
        </w:rPr>
        <w:t> </w:t>
      </w:r>
      <w:r>
        <w:rPr>
          <w:rFonts w:ascii="Swis721 Lt BT" w:hAnsi="Swis721 Lt BT" w:cs="Swis721 Lt BT" w:eastAsia="Swis721 Lt BT"/>
          <w:color w:val="231F20"/>
          <w:sz w:val="19"/>
          <w:szCs w:val="19"/>
        </w:rPr>
        <w:t>the</w:t>
      </w:r>
      <w:r>
        <w:rPr>
          <w:rFonts w:ascii="Swis721 Lt BT" w:hAnsi="Swis721 Lt BT" w:cs="Swis721 Lt BT" w:eastAsia="Swis721 Lt BT"/>
          <w:color w:val="231F20"/>
          <w:spacing w:val="-3"/>
          <w:sz w:val="19"/>
          <w:szCs w:val="19"/>
        </w:rPr>
        <w:t> </w:t>
      </w:r>
      <w:r>
        <w:rPr>
          <w:rFonts w:ascii="Swis721 Lt BT" w:hAnsi="Swis721 Lt BT" w:cs="Swis721 Lt BT" w:eastAsia="Swis721 Lt BT"/>
          <w:color w:val="231F20"/>
          <w:sz w:val="19"/>
          <w:szCs w:val="19"/>
        </w:rPr>
        <w:t>proactive</w:t>
      </w:r>
      <w:r>
        <w:rPr>
          <w:rFonts w:ascii="Swis721 Lt BT" w:hAnsi="Swis721 Lt BT" w:cs="Swis721 Lt BT" w:eastAsia="Swis721 Lt BT"/>
          <w:color w:val="231F20"/>
          <w:spacing w:val="-3"/>
          <w:sz w:val="19"/>
          <w:szCs w:val="19"/>
        </w:rPr>
        <w:t> </w:t>
      </w:r>
      <w:r>
        <w:rPr>
          <w:rFonts w:ascii="Swis721 Lt BT" w:hAnsi="Swis721 Lt BT" w:cs="Swis721 Lt BT" w:eastAsia="Swis721 Lt BT"/>
          <w:color w:val="231F20"/>
          <w:sz w:val="19"/>
          <w:szCs w:val="19"/>
        </w:rPr>
        <w:t>identification,</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assessment</w:t>
      </w:r>
      <w:r>
        <w:rPr>
          <w:rFonts w:ascii="Swis721 Lt BT" w:hAnsi="Swis721 Lt BT" w:cs="Swis721 Lt BT" w:eastAsia="Swis721 Lt BT"/>
          <w:color w:val="231F20"/>
          <w:sz w:val="19"/>
          <w:szCs w:val="19"/>
        </w:rPr>
        <w:t> and management of risks.</w:t>
      </w:r>
      <w:r>
        <w:rPr>
          <w:rFonts w:ascii="Swis721 Lt BT" w:hAnsi="Swis721 Lt BT" w:cs="Swis721 Lt BT" w:eastAsia="Swis721 Lt BT"/>
          <w:sz w:val="19"/>
          <w:szCs w:val="19"/>
        </w:rPr>
      </w:r>
    </w:p>
    <w:p>
      <w:pPr>
        <w:pStyle w:val="BodyText"/>
        <w:spacing w:line="240" w:lineRule="auto"/>
        <w:ind w:left="173" w:right="0"/>
        <w:jc w:val="left"/>
      </w:pPr>
      <w:r>
        <w:rPr>
          <w:color w:val="231F20"/>
        </w:rPr>
        <w:t>The Board is ultimately accountable for the management of risk and ensuring effective risk management practices are in place across AITSL.</w:t>
      </w:r>
      <w:r>
        <w:rPr>
          <w:color w:val="231F20"/>
          <w:spacing w:val="-1"/>
        </w:rPr>
        <w:t> </w:t>
      </w:r>
      <w:r>
        <w:rPr>
          <w:color w:val="231F20"/>
        </w:rPr>
        <w:t>In order</w:t>
      </w:r>
      <w:r>
        <w:rPr>
          <w:color w:val="231F20"/>
          <w:spacing w:val="-1"/>
        </w:rPr>
        <w:t> </w:t>
      </w:r>
      <w:r>
        <w:rPr>
          <w:color w:val="231F20"/>
        </w:rPr>
        <w:t>to fulfil</w:t>
      </w:r>
      <w:r>
        <w:rPr>
          <w:color w:val="231F20"/>
          <w:spacing w:val="-1"/>
        </w:rPr>
        <w:t> </w:t>
      </w:r>
      <w:r>
        <w:rPr>
          <w:color w:val="231F20"/>
        </w:rPr>
        <w:t>its risk</w:t>
      </w:r>
      <w:r>
        <w:rPr>
          <w:color w:val="231F20"/>
          <w:spacing w:val="-1"/>
        </w:rPr>
        <w:t> </w:t>
      </w:r>
      <w:r>
        <w:rPr>
          <w:color w:val="231F20"/>
        </w:rPr>
        <w:t>management</w:t>
      </w:r>
      <w:r>
        <w:rPr>
          <w:color w:val="231F20"/>
          <w:spacing w:val="25"/>
        </w:rPr>
        <w:t> </w:t>
      </w:r>
      <w:r>
        <w:rPr>
          <w:color w:val="231F20"/>
        </w:rPr>
        <w:t>responsibilities, the Board is assisted by the</w:t>
      </w:r>
      <w:r>
        <w:rPr>
          <w:color w:val="231F20"/>
        </w:rPr>
        <w:t> Audit and Risk Committee.</w:t>
      </w:r>
      <w:r>
        <w:rPr/>
      </w:r>
    </w:p>
    <w:p>
      <w:pPr>
        <w:pStyle w:val="BodyText"/>
        <w:spacing w:line="240" w:lineRule="auto"/>
        <w:ind w:left="173" w:right="150"/>
        <w:jc w:val="left"/>
      </w:pPr>
      <w:r>
        <w:rPr>
          <w:color w:val="231F20"/>
        </w:rPr>
        <w:t>In order to ensure that the AITSL risk management</w:t>
      </w:r>
      <w:r>
        <w:rPr>
          <w:color w:val="231F20"/>
          <w:spacing w:val="-1"/>
        </w:rPr>
        <w:t> </w:t>
      </w:r>
      <w:r>
        <w:rPr>
          <w:color w:val="231F20"/>
        </w:rPr>
        <w:t>framework is not</w:t>
      </w:r>
      <w:r>
        <w:rPr>
          <w:color w:val="231F20"/>
          <w:spacing w:val="-1"/>
        </w:rPr>
        <w:t> </w:t>
      </w:r>
      <w:r>
        <w:rPr>
          <w:color w:val="231F20"/>
        </w:rPr>
        <w:t>only </w:t>
      </w:r>
      <w:r>
        <w:rPr>
          <w:color w:val="231F20"/>
          <w:spacing w:val="-2"/>
        </w:rPr>
        <w:t>fit-for-</w:t>
      </w:r>
      <w:r>
        <w:rPr>
          <w:color w:val="231F20"/>
          <w:spacing w:val="21"/>
        </w:rPr>
        <w:t> </w:t>
      </w:r>
      <w:r>
        <w:rPr>
          <w:color w:val="231F20"/>
        </w:rPr>
        <w:t>purpose but also meets the requirements of a</w:t>
      </w:r>
      <w:r>
        <w:rPr>
          <w:color w:val="231F20"/>
        </w:rPr>
        <w:t> maturing business, AITSL worked with Deloitte and Comcover to grow and further develop AITSL’s risk management framework.</w:t>
      </w:r>
      <w:r>
        <w:rPr/>
      </w:r>
    </w:p>
    <w:p>
      <w:pPr>
        <w:spacing w:after="0" w:line="240" w:lineRule="auto"/>
        <w:jc w:val="left"/>
        <w:sectPr>
          <w:type w:val="continuous"/>
          <w:pgSz w:w="9980" w:h="14180"/>
          <w:pgMar w:top="0" w:bottom="280" w:left="960" w:right="740"/>
          <w:cols w:num="2" w:equalWidth="0">
            <w:col w:w="3923" w:space="244"/>
            <w:col w:w="4113"/>
          </w:cols>
        </w:sectPr>
      </w:pPr>
    </w:p>
    <w:p>
      <w:pPr>
        <w:spacing w:before="48"/>
        <w:ind w:left="110" w:right="0" w:firstLine="0"/>
        <w:jc w:val="left"/>
        <w:rPr>
          <w:rFonts w:ascii="Swis721 Lt BT" w:hAnsi="Swis721 Lt BT" w:cs="Swis721 Lt BT" w:eastAsia="Swis721 Lt BT"/>
          <w:sz w:val="16"/>
          <w:szCs w:val="16"/>
        </w:rPr>
      </w:pPr>
      <w:r>
        <w:rPr>
          <w:rFonts w:ascii="Swis721 BT"/>
          <w:b/>
          <w:color w:val="00757A"/>
          <w:spacing w:val="-1"/>
          <w:sz w:val="16"/>
        </w:rPr>
        <w:t>CORPORATE</w:t>
      </w:r>
      <w:r>
        <w:rPr>
          <w:rFonts w:ascii="Swis721 BT"/>
          <w:b/>
          <w:color w:val="00757A"/>
          <w:sz w:val="16"/>
        </w:rPr>
        <w:t> </w:t>
      </w:r>
      <w:r>
        <w:rPr>
          <w:rFonts w:ascii="Swis721 BT"/>
          <w:b/>
          <w:color w:val="00757A"/>
          <w:spacing w:val="-1"/>
          <w:sz w:val="16"/>
        </w:rPr>
        <w:t>GOVERNANCE</w:t>
      </w:r>
      <w:r>
        <w:rPr>
          <w:rFonts w:ascii="Swis721 BT"/>
          <w:b/>
          <w:color w:val="00757A"/>
          <w:sz w:val="16"/>
        </w:rPr>
        <w:t> </w:t>
      </w:r>
      <w:r>
        <w:rPr>
          <w:rFonts w:ascii="Swis721 BT"/>
          <w:b/>
          <w:color w:val="00757A"/>
          <w:spacing w:val="-2"/>
          <w:sz w:val="16"/>
        </w:rPr>
        <w:t>STATEMENT</w:t>
      </w:r>
      <w:r>
        <w:rPr>
          <w:rFonts w:ascii="Swis721 BT"/>
          <w:b/>
          <w:color w:val="00757A"/>
          <w:sz w:val="16"/>
        </w:rPr>
        <w:t> </w:t>
      </w:r>
      <w:r>
        <w:rPr>
          <w:rFonts w:ascii="Swis721 Lt BT"/>
          <w:color w:val="00757A"/>
          <w:sz w:val="16"/>
        </w:rPr>
        <w:t>CONTINUED</w:t>
      </w:r>
      <w:r>
        <w:rPr>
          <w:rFonts w:ascii="Swis721 Lt BT"/>
          <w:sz w:val="16"/>
        </w:rPr>
      </w:r>
    </w:p>
    <w:p>
      <w:pPr>
        <w:spacing w:line="240" w:lineRule="auto" w:before="0"/>
        <w:rPr>
          <w:rFonts w:ascii="Swis721 Lt BT" w:hAnsi="Swis721 Lt BT" w:cs="Swis721 Lt BT" w:eastAsia="Swis721 Lt BT"/>
          <w:sz w:val="20"/>
          <w:szCs w:val="20"/>
        </w:rPr>
      </w:pPr>
    </w:p>
    <w:p>
      <w:pPr>
        <w:spacing w:line="240" w:lineRule="auto" w:before="8"/>
        <w:rPr>
          <w:rFonts w:ascii="Swis721 Lt BT" w:hAnsi="Swis721 Lt BT" w:cs="Swis721 Lt BT" w:eastAsia="Swis721 Lt BT"/>
          <w:sz w:val="25"/>
          <w:szCs w:val="25"/>
        </w:rPr>
      </w:pPr>
    </w:p>
    <w:p>
      <w:pPr>
        <w:spacing w:after="0" w:line="240" w:lineRule="auto"/>
        <w:rPr>
          <w:rFonts w:ascii="Swis721 Lt BT" w:hAnsi="Swis721 Lt BT" w:cs="Swis721 Lt BT" w:eastAsia="Swis721 Lt BT"/>
          <w:sz w:val="25"/>
          <w:szCs w:val="25"/>
        </w:rPr>
        <w:sectPr>
          <w:pgSz w:w="9980" w:h="14180"/>
          <w:pgMar w:header="0" w:footer="452" w:top="800" w:bottom="640" w:left="740" w:right="1040"/>
        </w:sectPr>
      </w:pPr>
    </w:p>
    <w:p>
      <w:pPr>
        <w:pStyle w:val="BodyText"/>
        <w:spacing w:line="240" w:lineRule="auto" w:before="69"/>
        <w:ind w:right="229"/>
        <w:jc w:val="left"/>
      </w:pPr>
      <w:r>
        <w:rPr>
          <w:color w:val="231F20"/>
        </w:rPr>
        <w:t>As part of this process, AITSL will be working with Deloitte and the Audit and Risk</w:t>
      </w:r>
      <w:r>
        <w:rPr/>
      </w:r>
    </w:p>
    <w:p>
      <w:pPr>
        <w:pStyle w:val="BodyText"/>
        <w:spacing w:line="240" w:lineRule="auto" w:before="0"/>
        <w:ind w:right="51"/>
        <w:jc w:val="left"/>
      </w:pPr>
      <w:r>
        <w:rPr>
          <w:color w:val="231F20"/>
        </w:rPr>
        <w:t>Committee over the next 18 months to embed risk in the company and develop a standard framework across the organisation.</w:t>
      </w:r>
      <w:r>
        <w:rPr/>
      </w:r>
    </w:p>
    <w:p>
      <w:pPr>
        <w:spacing w:line="240" w:lineRule="auto" w:before="0"/>
        <w:rPr>
          <w:rFonts w:ascii="Swis721 Lt BT" w:hAnsi="Swis721 Lt BT" w:cs="Swis721 Lt BT" w:eastAsia="Swis721 Lt BT"/>
          <w:sz w:val="18"/>
          <w:szCs w:val="18"/>
        </w:rPr>
      </w:pPr>
    </w:p>
    <w:p>
      <w:pPr>
        <w:pStyle w:val="Heading8"/>
        <w:spacing w:line="240" w:lineRule="auto"/>
        <w:ind w:right="0"/>
        <w:jc w:val="left"/>
      </w:pPr>
      <w:r>
        <w:rPr>
          <w:color w:val="00757A"/>
          <w:spacing w:val="-1"/>
        </w:rPr>
        <w:t>Fraud</w:t>
      </w:r>
      <w:r>
        <w:rPr>
          <w:color w:val="00757A"/>
        </w:rPr>
        <w:t> control</w:t>
      </w:r>
      <w:r>
        <w:rPr/>
      </w:r>
    </w:p>
    <w:p>
      <w:pPr>
        <w:spacing w:before="106"/>
        <w:ind w:left="110" w:right="51" w:firstLine="0"/>
        <w:jc w:val="left"/>
        <w:rPr>
          <w:rFonts w:ascii="Swis721 Lt BT" w:hAnsi="Swis721 Lt BT" w:cs="Swis721 Lt BT" w:eastAsia="Swis721 Lt BT"/>
          <w:sz w:val="19"/>
          <w:szCs w:val="19"/>
        </w:rPr>
      </w:pPr>
      <w:r>
        <w:rPr>
          <w:rFonts w:ascii="Swis721 Lt BT"/>
          <w:color w:val="231F20"/>
          <w:sz w:val="19"/>
        </w:rPr>
        <w:t>AITSL maintains appropriate fraud prevention detection, investigation and reporting procedures and processes that are compliant and aligned to section 10 of the </w:t>
      </w:r>
      <w:r>
        <w:rPr>
          <w:rFonts w:ascii="Swis721 Lt BT"/>
          <w:i/>
          <w:color w:val="231F20"/>
          <w:sz w:val="19"/>
        </w:rPr>
        <w:t>Public</w:t>
      </w:r>
      <w:r>
        <w:rPr>
          <w:rFonts w:ascii="Swis721 Lt BT"/>
          <w:i/>
          <w:color w:val="231F20"/>
          <w:spacing w:val="21"/>
          <w:sz w:val="19"/>
        </w:rPr>
        <w:t> </w:t>
      </w:r>
      <w:r>
        <w:rPr>
          <w:rFonts w:ascii="Swis721 Lt BT"/>
          <w:i/>
          <w:color w:val="231F20"/>
          <w:sz w:val="19"/>
        </w:rPr>
        <w:t>Governance, Performance and Accountability</w:t>
      </w:r>
      <w:r>
        <w:rPr>
          <w:rFonts w:ascii="Swis721 Lt BT"/>
          <w:i/>
          <w:color w:val="231F20"/>
          <w:spacing w:val="21"/>
          <w:sz w:val="19"/>
        </w:rPr>
        <w:t> </w:t>
      </w:r>
      <w:r>
        <w:rPr>
          <w:rFonts w:ascii="Swis721 Lt BT"/>
          <w:i/>
          <w:color w:val="231F20"/>
          <w:sz w:val="19"/>
        </w:rPr>
        <w:t>Rule 2014 </w:t>
      </w:r>
      <w:r>
        <w:rPr>
          <w:rFonts w:ascii="Swis721 Lt BT"/>
          <w:color w:val="231F20"/>
          <w:sz w:val="19"/>
        </w:rPr>
        <w:t>and the </w:t>
      </w:r>
      <w:r>
        <w:rPr>
          <w:rFonts w:ascii="Swis721 Lt BT"/>
          <w:i/>
          <w:color w:val="231F20"/>
          <w:sz w:val="19"/>
        </w:rPr>
        <w:t>Commonwealth Fraud</w:t>
      </w:r>
      <w:r>
        <w:rPr>
          <w:rFonts w:ascii="Swis721 Lt BT"/>
          <w:i/>
          <w:color w:val="231F20"/>
          <w:sz w:val="19"/>
        </w:rPr>
        <w:t> Control Guidelines 2017</w:t>
      </w:r>
      <w:r>
        <w:rPr>
          <w:rFonts w:ascii="Swis721 Lt BT"/>
          <w:color w:val="231F20"/>
          <w:sz w:val="19"/>
        </w:rPr>
        <w:t>.</w:t>
      </w:r>
      <w:r>
        <w:rPr>
          <w:rFonts w:ascii="Swis721 Lt BT"/>
          <w:sz w:val="19"/>
        </w:rPr>
      </w:r>
    </w:p>
    <w:p>
      <w:pPr>
        <w:pStyle w:val="BodyText"/>
        <w:spacing w:line="240" w:lineRule="auto"/>
        <w:ind w:right="0"/>
        <w:jc w:val="left"/>
      </w:pPr>
      <w:r>
        <w:rPr>
          <w:color w:val="231F20"/>
        </w:rPr>
        <w:t>AITSL has an online fraud learning module that must be successfully completed by all staff </w:t>
      </w:r>
      <w:r>
        <w:rPr>
          <w:color w:val="231F20"/>
          <w:spacing w:val="-2"/>
        </w:rPr>
        <w:t>annually.</w:t>
      </w:r>
      <w:r>
        <w:rPr/>
      </w:r>
    </w:p>
    <w:p>
      <w:pPr>
        <w:pStyle w:val="BodyText"/>
        <w:spacing w:line="240" w:lineRule="auto"/>
        <w:ind w:right="51"/>
        <w:jc w:val="left"/>
      </w:pPr>
      <w:r>
        <w:rPr>
          <w:color w:val="231F20"/>
        </w:rPr>
        <w:t>There</w:t>
      </w:r>
      <w:r>
        <w:rPr>
          <w:color w:val="231F20"/>
          <w:spacing w:val="-2"/>
        </w:rPr>
        <w:t> </w:t>
      </w:r>
      <w:r>
        <w:rPr>
          <w:color w:val="231F20"/>
        </w:rPr>
        <w:t>have</w:t>
      </w:r>
      <w:r>
        <w:rPr>
          <w:color w:val="231F20"/>
          <w:spacing w:val="-1"/>
        </w:rPr>
        <w:t> </w:t>
      </w:r>
      <w:r>
        <w:rPr>
          <w:color w:val="231F20"/>
        </w:rPr>
        <w:t>been</w:t>
      </w:r>
      <w:r>
        <w:rPr>
          <w:color w:val="231F20"/>
          <w:spacing w:val="-2"/>
        </w:rPr>
        <w:t> </w:t>
      </w:r>
      <w:r>
        <w:rPr>
          <w:color w:val="231F20"/>
        </w:rPr>
        <w:t>no</w:t>
      </w:r>
      <w:r>
        <w:rPr>
          <w:color w:val="231F20"/>
          <w:spacing w:val="-1"/>
        </w:rPr>
        <w:t> </w:t>
      </w:r>
      <w:r>
        <w:rPr>
          <w:color w:val="231F20"/>
        </w:rPr>
        <w:t>significant</w:t>
      </w:r>
      <w:r>
        <w:rPr>
          <w:color w:val="231F20"/>
          <w:spacing w:val="-1"/>
        </w:rPr>
        <w:t> </w:t>
      </w:r>
      <w:r>
        <w:rPr>
          <w:color w:val="231F20"/>
        </w:rPr>
        <w:t>fraud</w:t>
      </w:r>
      <w:r>
        <w:rPr>
          <w:color w:val="231F20"/>
          <w:spacing w:val="-2"/>
        </w:rPr>
        <w:t> </w:t>
      </w:r>
      <w:r>
        <w:rPr>
          <w:color w:val="231F20"/>
        </w:rPr>
        <w:t>risks</w:t>
      </w:r>
      <w:r>
        <w:rPr>
          <w:color w:val="231F20"/>
        </w:rPr>
        <w:t> identified</w:t>
      </w:r>
      <w:r>
        <w:rPr>
          <w:color w:val="231F20"/>
          <w:spacing w:val="-4"/>
        </w:rPr>
        <w:t> </w:t>
      </w:r>
      <w:r>
        <w:rPr>
          <w:color w:val="231F20"/>
        </w:rPr>
        <w:t>in</w:t>
      </w:r>
      <w:r>
        <w:rPr>
          <w:color w:val="231F20"/>
          <w:spacing w:val="-4"/>
        </w:rPr>
        <w:t> </w:t>
      </w:r>
      <w:r>
        <w:rPr>
          <w:color w:val="231F20"/>
        </w:rPr>
        <w:t>this</w:t>
      </w:r>
      <w:r>
        <w:rPr>
          <w:color w:val="231F20"/>
          <w:spacing w:val="-3"/>
        </w:rPr>
        <w:t> </w:t>
      </w:r>
      <w:r>
        <w:rPr>
          <w:color w:val="231F20"/>
        </w:rPr>
        <w:t>financial</w:t>
      </w:r>
      <w:r>
        <w:rPr>
          <w:color w:val="231F20"/>
          <w:spacing w:val="-4"/>
        </w:rPr>
        <w:t> year.</w:t>
      </w:r>
      <w:r>
        <w:rPr/>
      </w:r>
    </w:p>
    <w:p>
      <w:pPr>
        <w:spacing w:line="240" w:lineRule="auto" w:before="0"/>
        <w:rPr>
          <w:rFonts w:ascii="Swis721 Lt BT" w:hAnsi="Swis721 Lt BT" w:cs="Swis721 Lt BT" w:eastAsia="Swis721 Lt BT"/>
          <w:sz w:val="18"/>
          <w:szCs w:val="18"/>
        </w:rPr>
      </w:pPr>
    </w:p>
    <w:p>
      <w:pPr>
        <w:pStyle w:val="Heading8"/>
        <w:spacing w:line="240" w:lineRule="auto"/>
        <w:ind w:right="0"/>
        <w:jc w:val="left"/>
      </w:pPr>
      <w:r>
        <w:rPr>
          <w:color w:val="00757A"/>
        </w:rPr>
        <w:t>Internal audit</w:t>
      </w:r>
      <w:r>
        <w:rPr/>
      </w:r>
    </w:p>
    <w:p>
      <w:pPr>
        <w:pStyle w:val="BodyText"/>
        <w:spacing w:line="240" w:lineRule="auto" w:before="106"/>
        <w:ind w:right="310"/>
        <w:jc w:val="left"/>
      </w:pPr>
      <w:r>
        <w:rPr>
          <w:color w:val="231F20"/>
        </w:rPr>
        <w:t>Internal audit is a key component of AITSL’s governance framework. It provides independent and objective assurance and consulting activities designed to add value and improve AITSL’s operations.</w:t>
      </w:r>
      <w:r>
        <w:rPr/>
      </w:r>
    </w:p>
    <w:p>
      <w:pPr>
        <w:pStyle w:val="BodyText"/>
        <w:spacing w:line="240" w:lineRule="auto"/>
        <w:ind w:right="0"/>
        <w:jc w:val="left"/>
      </w:pPr>
      <w:r>
        <w:rPr>
          <w:color w:val="231F20"/>
        </w:rPr>
        <w:t>The internal audit function is an independent, outsourced function, overseen by the Board through the Audit and Risk Committee. Internal audit reports are provided to the Audit and Risk Committee for review in compliance with Section 28 of the </w:t>
      </w:r>
      <w:r>
        <w:rPr>
          <w:color w:val="231F20"/>
          <w:spacing w:val="-4"/>
        </w:rPr>
        <w:t>PGPA</w:t>
      </w:r>
      <w:r>
        <w:rPr>
          <w:color w:val="231F20"/>
        </w:rPr>
        <w:t> Rule. The Audit and</w:t>
      </w:r>
      <w:r>
        <w:rPr>
          <w:color w:val="231F20"/>
          <w:spacing w:val="21"/>
        </w:rPr>
        <w:t> </w:t>
      </w:r>
      <w:r>
        <w:rPr>
          <w:color w:val="231F20"/>
        </w:rPr>
        <w:t>Risk Committee then advises the Board on</w:t>
      </w:r>
      <w:r>
        <w:rPr>
          <w:color w:val="231F20"/>
        </w:rPr>
        <w:t> any recommendations and actions.</w:t>
      </w:r>
      <w:r>
        <w:rPr/>
      </w:r>
    </w:p>
    <w:p>
      <w:pPr>
        <w:spacing w:line="240" w:lineRule="auto" w:before="0"/>
        <w:rPr>
          <w:rFonts w:ascii="Swis721 Lt BT" w:hAnsi="Swis721 Lt BT" w:cs="Swis721 Lt BT" w:eastAsia="Swis721 Lt BT"/>
          <w:sz w:val="18"/>
          <w:szCs w:val="18"/>
        </w:rPr>
      </w:pPr>
    </w:p>
    <w:p>
      <w:pPr>
        <w:pStyle w:val="Heading8"/>
        <w:spacing w:line="240" w:lineRule="auto"/>
        <w:ind w:right="0"/>
        <w:jc w:val="left"/>
      </w:pPr>
      <w:r>
        <w:rPr>
          <w:color w:val="00757A"/>
        </w:rPr>
        <w:t>External audit</w:t>
      </w:r>
      <w:r>
        <w:rPr/>
      </w:r>
    </w:p>
    <w:p>
      <w:pPr>
        <w:pStyle w:val="BodyText"/>
        <w:spacing w:line="240" w:lineRule="auto" w:before="106"/>
        <w:ind w:right="0"/>
        <w:jc w:val="both"/>
      </w:pPr>
      <w:r>
        <w:rPr>
          <w:color w:val="231F20"/>
        </w:rPr>
        <w:t>Under Section 98 of the </w:t>
      </w:r>
      <w:r>
        <w:rPr>
          <w:color w:val="231F20"/>
          <w:spacing w:val="-4"/>
        </w:rPr>
        <w:t>PGPA</w:t>
      </w:r>
      <w:r>
        <w:rPr>
          <w:color w:val="231F20"/>
        </w:rPr>
        <w:t> Act, the </w:t>
      </w:r>
      <w:r>
        <w:rPr>
          <w:color w:val="231F20"/>
          <w:spacing w:val="-2"/>
        </w:rPr>
        <w:t>Auditor-</w:t>
      </w:r>
      <w:r>
        <w:rPr>
          <w:color w:val="231F20"/>
          <w:spacing w:val="26"/>
        </w:rPr>
        <w:t> </w:t>
      </w:r>
      <w:r>
        <w:rPr>
          <w:color w:val="231F20"/>
        </w:rPr>
        <w:t>General</w:t>
      </w:r>
      <w:r>
        <w:rPr>
          <w:color w:val="231F20"/>
          <w:spacing w:val="-4"/>
        </w:rPr>
        <w:t> </w:t>
      </w:r>
      <w:r>
        <w:rPr>
          <w:color w:val="231F20"/>
        </w:rPr>
        <w:t>is</w:t>
      </w:r>
      <w:r>
        <w:rPr>
          <w:color w:val="231F20"/>
          <w:spacing w:val="-3"/>
        </w:rPr>
        <w:t> </w:t>
      </w:r>
      <w:r>
        <w:rPr>
          <w:color w:val="231F20"/>
        </w:rPr>
        <w:t>responsible</w:t>
      </w:r>
      <w:r>
        <w:rPr>
          <w:color w:val="231F20"/>
          <w:spacing w:val="-3"/>
        </w:rPr>
        <w:t> </w:t>
      </w:r>
      <w:r>
        <w:rPr>
          <w:color w:val="231F20"/>
        </w:rPr>
        <w:t>for</w:t>
      </w:r>
      <w:r>
        <w:rPr>
          <w:color w:val="231F20"/>
          <w:spacing w:val="-3"/>
        </w:rPr>
        <w:t> </w:t>
      </w:r>
      <w:r>
        <w:rPr>
          <w:color w:val="231F20"/>
        </w:rPr>
        <w:t>auditing</w:t>
      </w:r>
      <w:r>
        <w:rPr>
          <w:color w:val="231F20"/>
          <w:spacing w:val="-3"/>
        </w:rPr>
        <w:t> </w:t>
      </w:r>
      <w:r>
        <w:rPr>
          <w:color w:val="231F20"/>
        </w:rPr>
        <w:t>the</w:t>
      </w:r>
      <w:r>
        <w:rPr>
          <w:color w:val="231F20"/>
          <w:spacing w:val="-3"/>
        </w:rPr>
        <w:t> </w:t>
      </w:r>
      <w:r>
        <w:rPr>
          <w:color w:val="231F20"/>
        </w:rPr>
        <w:t>financial</w:t>
      </w:r>
      <w:r>
        <w:rPr>
          <w:color w:val="231F20"/>
          <w:w w:val="99"/>
        </w:rPr>
        <w:t> </w:t>
      </w:r>
      <w:r>
        <w:rPr>
          <w:color w:val="231F20"/>
        </w:rPr>
        <w:t>statements of Commonwealth companies.</w:t>
      </w:r>
      <w:r>
        <w:rPr/>
      </w:r>
    </w:p>
    <w:p>
      <w:pPr>
        <w:pStyle w:val="Heading5"/>
        <w:spacing w:line="240" w:lineRule="auto" w:before="61"/>
        <w:ind w:right="0"/>
        <w:jc w:val="left"/>
        <w:rPr>
          <w:b w:val="0"/>
          <w:bCs w:val="0"/>
        </w:rPr>
      </w:pPr>
      <w:r>
        <w:rPr>
          <w:b w:val="0"/>
        </w:rPr>
        <w:br w:type="column"/>
      </w:r>
      <w:r>
        <w:rPr>
          <w:color w:val="005E63"/>
          <w:spacing w:val="-1"/>
        </w:rPr>
        <w:t>GOVERNANCE</w:t>
      </w:r>
      <w:r>
        <w:rPr>
          <w:color w:val="005E63"/>
        </w:rPr>
        <w:t> POLICIES</w:t>
      </w:r>
      <w:r>
        <w:rPr>
          <w:b w:val="0"/>
        </w:rPr>
      </w:r>
    </w:p>
    <w:p>
      <w:pPr>
        <w:pStyle w:val="BodyText"/>
        <w:spacing w:line="240" w:lineRule="auto" w:before="215"/>
        <w:ind w:right="203"/>
        <w:jc w:val="left"/>
      </w:pPr>
      <w:r>
        <w:rPr>
          <w:color w:val="231F20"/>
        </w:rPr>
        <w:t>The Board and employees of AITSL are expected to behave honestly and with integrity in their relationships with all AITSL’s stakeholders and to uphold the good reputation of AITSL. A number of governance</w:t>
      </w:r>
      <w:r>
        <w:rPr>
          <w:color w:val="231F20"/>
          <w:spacing w:val="25"/>
        </w:rPr>
        <w:t> </w:t>
      </w:r>
      <w:r>
        <w:rPr>
          <w:color w:val="231F20"/>
        </w:rPr>
        <w:t>policies have been developed to assist</w:t>
      </w:r>
      <w:r>
        <w:rPr>
          <w:color w:val="231F20"/>
        </w:rPr>
        <w:t> Directors and employees to understand what is expected of them. Core policies include: standards of conduct, fraud control, gifts and</w:t>
      </w:r>
      <w:r>
        <w:rPr/>
      </w:r>
    </w:p>
    <w:p>
      <w:pPr>
        <w:pStyle w:val="BodyText"/>
        <w:spacing w:line="240" w:lineRule="auto" w:before="0"/>
        <w:ind w:right="110"/>
        <w:jc w:val="both"/>
      </w:pPr>
      <w:r>
        <w:rPr>
          <w:color w:val="231F20"/>
          <w:spacing w:val="-2"/>
        </w:rPr>
        <w:t>hospitality,</w:t>
      </w:r>
      <w:r>
        <w:rPr>
          <w:color w:val="231F20"/>
        </w:rPr>
        <w:t> instruments of delegations, </w:t>
      </w:r>
      <w:r>
        <w:rPr>
          <w:color w:val="231F20"/>
          <w:spacing w:val="-2"/>
        </w:rPr>
        <w:t>privacy,</w:t>
      </w:r>
      <w:r>
        <w:rPr>
          <w:color w:val="231F20"/>
          <w:spacing w:val="20"/>
        </w:rPr>
        <w:t> </w:t>
      </w:r>
      <w:r>
        <w:rPr>
          <w:color w:val="231F20"/>
        </w:rPr>
        <w:t>public interest disclosure, valuing diversity and</w:t>
      </w:r>
      <w:r>
        <w:rPr>
          <w:color w:val="231F20"/>
        </w:rPr>
        <w:t> inclusion, and work health and </w:t>
      </w:r>
      <w:r>
        <w:rPr>
          <w:color w:val="231F20"/>
          <w:spacing w:val="-3"/>
        </w:rPr>
        <w:t>safety.</w:t>
      </w:r>
      <w:r>
        <w:rPr/>
      </w:r>
    </w:p>
    <w:p>
      <w:pPr>
        <w:pStyle w:val="BodyText"/>
        <w:spacing w:line="240" w:lineRule="auto"/>
        <w:ind w:right="111"/>
        <w:jc w:val="left"/>
      </w:pPr>
      <w:r>
        <w:rPr>
          <w:color w:val="231F20"/>
        </w:rPr>
        <w:t>AITSL has also implemented a set of values that underpin and guide AITSL’s work as individuals and an organisation. The values established are excellence, ethical </w:t>
      </w:r>
      <w:r>
        <w:rPr>
          <w:color w:val="231F20"/>
          <w:spacing w:val="-2"/>
        </w:rPr>
        <w:t>behaviour,</w:t>
      </w:r>
      <w:r>
        <w:rPr>
          <w:color w:val="231F20"/>
          <w:spacing w:val="22"/>
        </w:rPr>
        <w:t> </w:t>
      </w:r>
      <w:r>
        <w:rPr>
          <w:color w:val="231F20"/>
        </w:rPr>
        <w:t>engagement, expertise and effectiveness.</w:t>
      </w:r>
      <w:r>
        <w:rPr/>
      </w:r>
    </w:p>
    <w:p>
      <w:pPr>
        <w:spacing w:line="240" w:lineRule="auto" w:before="0"/>
        <w:rPr>
          <w:rFonts w:ascii="Swis721 Lt BT" w:hAnsi="Swis721 Lt BT" w:cs="Swis721 Lt BT" w:eastAsia="Swis721 Lt BT"/>
          <w:sz w:val="18"/>
          <w:szCs w:val="18"/>
        </w:rPr>
      </w:pPr>
    </w:p>
    <w:p>
      <w:pPr>
        <w:spacing w:line="240" w:lineRule="auto" w:before="9"/>
        <w:rPr>
          <w:rFonts w:ascii="Swis721 Lt BT" w:hAnsi="Swis721 Lt BT" w:cs="Swis721 Lt BT" w:eastAsia="Swis721 Lt BT"/>
          <w:sz w:val="25"/>
          <w:szCs w:val="25"/>
        </w:rPr>
      </w:pPr>
    </w:p>
    <w:p>
      <w:pPr>
        <w:pStyle w:val="Heading5"/>
        <w:spacing w:line="240" w:lineRule="auto"/>
        <w:ind w:right="0"/>
        <w:jc w:val="left"/>
        <w:rPr>
          <w:b w:val="0"/>
          <w:bCs w:val="0"/>
        </w:rPr>
      </w:pPr>
      <w:r>
        <w:rPr>
          <w:color w:val="005E63"/>
          <w:spacing w:val="-3"/>
        </w:rPr>
        <w:t>LOCATION</w:t>
      </w:r>
      <w:r>
        <w:rPr>
          <w:b w:val="0"/>
        </w:rPr>
      </w:r>
    </w:p>
    <w:p>
      <w:pPr>
        <w:pStyle w:val="BodyText"/>
        <w:spacing w:line="240" w:lineRule="auto" w:before="215"/>
        <w:ind w:right="259"/>
        <w:jc w:val="left"/>
      </w:pPr>
      <w:r>
        <w:rPr>
          <w:color w:val="231F20"/>
        </w:rPr>
        <w:t>The organisation is located in Melbourne. The</w:t>
      </w:r>
      <w:r>
        <w:rPr>
          <w:color w:val="231F20"/>
          <w:spacing w:val="-1"/>
        </w:rPr>
        <w:t> </w:t>
      </w:r>
      <w:r>
        <w:rPr>
          <w:color w:val="231F20"/>
        </w:rPr>
        <w:t>organisation</w:t>
      </w:r>
      <w:r>
        <w:rPr>
          <w:color w:val="231F20"/>
          <w:spacing w:val="-1"/>
        </w:rPr>
        <w:t> </w:t>
      </w:r>
      <w:r>
        <w:rPr>
          <w:color w:val="231F20"/>
        </w:rPr>
        <w:t>had</w:t>
      </w:r>
      <w:r>
        <w:rPr>
          <w:color w:val="231F20"/>
          <w:spacing w:val="-1"/>
        </w:rPr>
        <w:t> </w:t>
      </w:r>
      <w:r>
        <w:rPr>
          <w:color w:val="231F20"/>
        </w:rPr>
        <w:t>an office</w:t>
      </w:r>
      <w:r>
        <w:rPr>
          <w:color w:val="231F20"/>
          <w:spacing w:val="-1"/>
        </w:rPr>
        <w:t> </w:t>
      </w:r>
      <w:r>
        <w:rPr>
          <w:color w:val="231F20"/>
        </w:rPr>
        <w:t>in</w:t>
      </w:r>
      <w:r>
        <w:rPr>
          <w:color w:val="231F20"/>
          <w:spacing w:val="-1"/>
        </w:rPr>
        <w:t> </w:t>
      </w:r>
      <w:r>
        <w:rPr>
          <w:color w:val="231F20"/>
        </w:rPr>
        <w:t>Canberra</w:t>
      </w:r>
      <w:r>
        <w:rPr>
          <w:color w:val="231F20"/>
        </w:rPr>
        <w:t> which closed 14 June 2019.</w:t>
      </w:r>
      <w:r>
        <w:rPr/>
      </w:r>
    </w:p>
    <w:p>
      <w:pPr>
        <w:spacing w:line="240" w:lineRule="auto" w:before="0"/>
        <w:rPr>
          <w:rFonts w:ascii="Swis721 Lt BT" w:hAnsi="Swis721 Lt BT" w:cs="Swis721 Lt BT" w:eastAsia="Swis721 Lt BT"/>
          <w:sz w:val="18"/>
          <w:szCs w:val="18"/>
        </w:rPr>
      </w:pPr>
    </w:p>
    <w:p>
      <w:pPr>
        <w:spacing w:line="240" w:lineRule="auto" w:before="9"/>
        <w:rPr>
          <w:rFonts w:ascii="Swis721 Lt BT" w:hAnsi="Swis721 Lt BT" w:cs="Swis721 Lt BT" w:eastAsia="Swis721 Lt BT"/>
          <w:sz w:val="25"/>
          <w:szCs w:val="25"/>
        </w:rPr>
      </w:pPr>
    </w:p>
    <w:p>
      <w:pPr>
        <w:pStyle w:val="Heading5"/>
        <w:spacing w:line="240" w:lineRule="auto"/>
        <w:ind w:right="0"/>
        <w:jc w:val="left"/>
        <w:rPr>
          <w:b w:val="0"/>
          <w:bCs w:val="0"/>
        </w:rPr>
      </w:pPr>
      <w:r>
        <w:rPr>
          <w:color w:val="005E63"/>
        </w:rPr>
        <w:t>FUNDING</w:t>
      </w:r>
      <w:r>
        <w:rPr>
          <w:b w:val="0"/>
        </w:rPr>
      </w:r>
    </w:p>
    <w:p>
      <w:pPr>
        <w:spacing w:line="240" w:lineRule="auto" w:before="2"/>
        <w:rPr>
          <w:rFonts w:ascii="Swis721 BT" w:hAnsi="Swis721 BT" w:cs="Swis721 BT" w:eastAsia="Swis721 BT"/>
          <w:b/>
          <w:bCs/>
          <w:sz w:val="23"/>
          <w:szCs w:val="23"/>
        </w:rPr>
      </w:pPr>
    </w:p>
    <w:p>
      <w:pPr>
        <w:pStyle w:val="BodyText"/>
        <w:spacing w:line="240" w:lineRule="auto" w:before="0"/>
        <w:ind w:right="0"/>
        <w:jc w:val="left"/>
      </w:pPr>
      <w:r>
        <w:rPr>
          <w:color w:val="231F20"/>
        </w:rPr>
        <w:t>AITSL is funded by the Australian Government.</w:t>
      </w:r>
      <w:r>
        <w:rPr/>
      </w:r>
    </w:p>
    <w:p>
      <w:pPr>
        <w:spacing w:after="0" w:line="240" w:lineRule="auto"/>
        <w:jc w:val="left"/>
        <w:sectPr>
          <w:type w:val="continuous"/>
          <w:pgSz w:w="9980" w:h="14180"/>
          <w:pgMar w:top="0" w:bottom="280" w:left="740" w:right="1040"/>
          <w:cols w:num="2" w:equalWidth="0">
            <w:col w:w="3938" w:space="229"/>
            <w:col w:w="4033"/>
          </w:cols>
        </w:sect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1"/>
        <w:rPr>
          <w:rFonts w:ascii="Swis721 Lt BT" w:hAnsi="Swis721 Lt BT" w:cs="Swis721 Lt BT" w:eastAsia="Swis721 Lt BT"/>
          <w:sz w:val="25"/>
          <w:szCs w:val="25"/>
        </w:rPr>
      </w:pPr>
    </w:p>
    <w:p>
      <w:pPr>
        <w:pStyle w:val="Heading5"/>
        <w:spacing w:line="240" w:lineRule="auto" w:before="61"/>
        <w:ind w:left="1133" w:right="0"/>
        <w:jc w:val="left"/>
        <w:rPr>
          <w:b w:val="0"/>
          <w:bCs w:val="0"/>
        </w:rPr>
      </w:pPr>
      <w:r>
        <w:rPr/>
        <w:pict>
          <v:group style="position:absolute;margin-left:0pt;margin-top:-279.957092pt;width:498.9pt;height:239.9pt;mso-position-horizontal-relative:page;mso-position-vertical-relative:paragraph;z-index:3424" coordorigin="0,-5599" coordsize="9978,4798">
            <v:group style="position:absolute;left:0;top:-5599;width:9978;height:1018" coordorigin="0,-5599" coordsize="9978,1018">
              <v:shape style="position:absolute;left:0;top:-5599;width:9978;height:1018" coordorigin="0,-5599" coordsize="9978,1018" path="m0,-4581l9978,-4581,9978,-5599,0,-5599,0,-4581xe" filled="true" fillcolor="#003b45" stroked="false">
                <v:path arrowok="t"/>
                <v:fill type="solid"/>
              </v:shape>
            </v:group>
            <v:group style="position:absolute;left:0;top:-4581;width:9978;height:3780" coordorigin="0,-4581" coordsize="9978,3780">
              <v:shape style="position:absolute;left:0;top:-4581;width:9978;height:3780" coordorigin="0,-4581" coordsize="9978,3780" path="m9978,-4581l0,-4581,0,-802,9978,-3624,9978,-4581xe" filled="true" fillcolor="#bfd22b" stroked="false">
                <v:path arrowok="t"/>
                <v:fill type="solid"/>
              </v:shape>
              <v:shape style="position:absolute;left:7468;top:-5146;width:1660;height:140" type="#_x0000_t202" filled="false" stroked="false">
                <v:textbox inset="0,0,0,0">
                  <w:txbxContent>
                    <w:p>
                      <w:pPr>
                        <w:spacing w:line="140" w:lineRule="exact" w:before="0"/>
                        <w:ind w:left="0" w:right="0" w:firstLine="0"/>
                        <w:jc w:val="left"/>
                        <w:rPr>
                          <w:rFonts w:ascii="Swis721 Lt BT" w:hAnsi="Swis721 Lt BT" w:cs="Swis721 Lt BT" w:eastAsia="Swis721 Lt BT"/>
                          <w:sz w:val="14"/>
                          <w:szCs w:val="14"/>
                        </w:rPr>
                      </w:pPr>
                      <w:r>
                        <w:rPr>
                          <w:rFonts w:ascii="Swis721 Lt BT" w:hAnsi="Swis721 Lt BT" w:cs="Swis721 Lt BT" w:eastAsia="Swis721 Lt BT"/>
                          <w:color w:val="FFFFFF"/>
                          <w:spacing w:val="-1"/>
                          <w:sz w:val="14"/>
                          <w:szCs w:val="14"/>
                        </w:rPr>
                        <w:t>ANNUAL</w:t>
                      </w:r>
                      <w:r>
                        <w:rPr>
                          <w:rFonts w:ascii="Swis721 Lt BT" w:hAnsi="Swis721 Lt BT" w:cs="Swis721 Lt BT" w:eastAsia="Swis721 Lt BT"/>
                          <w:color w:val="FFFFFF"/>
                          <w:sz w:val="14"/>
                          <w:szCs w:val="14"/>
                        </w:rPr>
                        <w:t> REPORT 2018–19</w:t>
                      </w:r>
                      <w:r>
                        <w:rPr>
                          <w:rFonts w:ascii="Swis721 Lt BT" w:hAnsi="Swis721 Lt BT" w:cs="Swis721 Lt BT" w:eastAsia="Swis721 Lt BT"/>
                          <w:sz w:val="14"/>
                          <w:szCs w:val="14"/>
                        </w:rPr>
                      </w:r>
                    </w:p>
                  </w:txbxContent>
                </v:textbox>
                <w10:wrap type="none"/>
              </v:shape>
              <v:shape style="position:absolute;left:1134;top:-3898;width:2468;height:880" type="#_x0000_t202" filled="false" stroked="false">
                <v:textbox inset="0,0,0,0">
                  <w:txbxContent>
                    <w:p>
                      <w:pPr>
                        <w:spacing w:line="416" w:lineRule="exact" w:before="0"/>
                        <w:ind w:left="0" w:right="0" w:firstLine="0"/>
                        <w:jc w:val="left"/>
                        <w:rPr>
                          <w:rFonts w:ascii="Swis721 BT" w:hAnsi="Swis721 BT" w:cs="Swis721 BT" w:eastAsia="Swis721 BT"/>
                          <w:sz w:val="40"/>
                          <w:szCs w:val="40"/>
                        </w:rPr>
                      </w:pPr>
                      <w:r>
                        <w:rPr>
                          <w:rFonts w:ascii="Swis721 BT" w:hAnsi="Swis721 BT" w:cs="Swis721 BT" w:eastAsia="Swis721 BT"/>
                          <w:b/>
                          <w:bCs/>
                          <w:color w:val="005E63"/>
                          <w:sz w:val="40"/>
                          <w:szCs w:val="40"/>
                        </w:rPr>
                        <w:t>DIRECTORS’</w:t>
                      </w:r>
                      <w:r>
                        <w:rPr>
                          <w:rFonts w:ascii="Swis721 BT" w:hAnsi="Swis721 BT" w:cs="Swis721 BT" w:eastAsia="Swis721 BT"/>
                          <w:sz w:val="40"/>
                          <w:szCs w:val="40"/>
                        </w:rPr>
                      </w:r>
                    </w:p>
                    <w:p>
                      <w:pPr>
                        <w:spacing w:line="464" w:lineRule="exact" w:before="0"/>
                        <w:ind w:left="0" w:right="0" w:firstLine="0"/>
                        <w:jc w:val="left"/>
                        <w:rPr>
                          <w:rFonts w:ascii="Swis721 BT" w:hAnsi="Swis721 BT" w:cs="Swis721 BT" w:eastAsia="Swis721 BT"/>
                          <w:sz w:val="40"/>
                          <w:szCs w:val="40"/>
                        </w:rPr>
                      </w:pPr>
                      <w:r>
                        <w:rPr>
                          <w:rFonts w:ascii="Swis721 BT"/>
                          <w:b/>
                          <w:color w:val="005E63"/>
                          <w:sz w:val="40"/>
                        </w:rPr>
                        <w:t>REPORT</w:t>
                      </w:r>
                      <w:r>
                        <w:rPr>
                          <w:rFonts w:ascii="Swis721 BT"/>
                          <w:sz w:val="40"/>
                        </w:rPr>
                      </w:r>
                    </w:p>
                  </w:txbxContent>
                </v:textbox>
                <w10:wrap type="none"/>
              </v:shape>
            </v:group>
            <w10:wrap type="none"/>
          </v:group>
        </w:pict>
      </w:r>
      <w:bookmarkStart w:name="DIRECTORS’ REPORT" w:id="16"/>
      <w:bookmarkEnd w:id="16"/>
      <w:r>
        <w:rPr>
          <w:b w:val="0"/>
          <w:bCs w:val="0"/>
        </w:rPr>
      </w:r>
      <w:r>
        <w:rPr>
          <w:color w:val="005E63"/>
        </w:rPr>
        <w:t>BOARD OF DIRECTORS DURING 2018–19</w:t>
      </w:r>
      <w:r>
        <w:rPr>
          <w:b w:val="0"/>
          <w:bCs w:val="0"/>
        </w:rPr>
      </w:r>
    </w:p>
    <w:p>
      <w:pPr>
        <w:spacing w:line="240" w:lineRule="auto" w:before="3"/>
        <w:rPr>
          <w:rFonts w:ascii="Swis721 BT" w:hAnsi="Swis721 BT" w:cs="Swis721 BT" w:eastAsia="Swis721 BT"/>
          <w:b/>
          <w:bCs/>
          <w:sz w:val="18"/>
          <w:szCs w:val="18"/>
        </w:rPr>
      </w:pPr>
    </w:p>
    <w:p>
      <w:pPr>
        <w:pStyle w:val="Heading8"/>
        <w:spacing w:line="240" w:lineRule="auto" w:before="0"/>
        <w:ind w:left="1133" w:right="0"/>
        <w:jc w:val="left"/>
      </w:pPr>
      <w:r>
        <w:rPr>
          <w:color w:val="00757A"/>
        </w:rPr>
        <w:t>Directors’</w:t>
      </w:r>
      <w:r>
        <w:rPr>
          <w:color w:val="00757A"/>
          <w:spacing w:val="-5"/>
        </w:rPr>
        <w:t> </w:t>
      </w:r>
      <w:r>
        <w:rPr>
          <w:color w:val="00757A"/>
        </w:rPr>
        <w:t>qualifications</w:t>
      </w:r>
      <w:r>
        <w:rPr>
          <w:color w:val="00757A"/>
          <w:spacing w:val="-4"/>
        </w:rPr>
        <w:t> </w:t>
      </w:r>
      <w:r>
        <w:rPr>
          <w:color w:val="00757A"/>
        </w:rPr>
        <w:t>and</w:t>
      </w:r>
      <w:r>
        <w:rPr>
          <w:color w:val="00757A"/>
          <w:spacing w:val="-5"/>
        </w:rPr>
        <w:t> </w:t>
      </w:r>
      <w:r>
        <w:rPr>
          <w:color w:val="00757A"/>
        </w:rPr>
        <w:t>experience</w:t>
      </w:r>
      <w:r>
        <w:rPr/>
      </w:r>
    </w:p>
    <w:p>
      <w:pPr>
        <w:spacing w:line="240" w:lineRule="auto" w:before="8"/>
        <w:rPr>
          <w:rFonts w:ascii="Swis721 Md BT" w:hAnsi="Swis721 Md BT" w:cs="Swis721 Md BT" w:eastAsia="Swis721 Md BT"/>
          <w:sz w:val="17"/>
          <w:szCs w:val="17"/>
        </w:rPr>
      </w:pPr>
    </w:p>
    <w:p>
      <w:pPr>
        <w:spacing w:after="0" w:line="240" w:lineRule="auto"/>
        <w:rPr>
          <w:rFonts w:ascii="Swis721 Md BT" w:hAnsi="Swis721 Md BT" w:cs="Swis721 Md BT" w:eastAsia="Swis721 Md BT"/>
          <w:sz w:val="17"/>
          <w:szCs w:val="17"/>
        </w:rPr>
        <w:sectPr>
          <w:pgSz w:w="9980" w:h="14180"/>
          <w:pgMar w:header="0" w:footer="452" w:top="0" w:bottom="640" w:left="0" w:right="0"/>
        </w:sectPr>
      </w:pPr>
    </w:p>
    <w:p>
      <w:pPr>
        <w:spacing w:line="240" w:lineRule="auto" w:before="0"/>
        <w:rPr>
          <w:rFonts w:ascii="Swis721 Md BT" w:hAnsi="Swis721 Md BT" w:cs="Swis721 Md BT" w:eastAsia="Swis721 Md BT"/>
          <w:sz w:val="16"/>
          <w:szCs w:val="16"/>
        </w:rPr>
      </w:pPr>
    </w:p>
    <w:p>
      <w:pPr>
        <w:spacing w:line="240" w:lineRule="auto" w:before="0"/>
        <w:rPr>
          <w:rFonts w:ascii="Swis721 Md BT" w:hAnsi="Swis721 Md BT" w:cs="Swis721 Md BT" w:eastAsia="Swis721 Md BT"/>
          <w:sz w:val="16"/>
          <w:szCs w:val="16"/>
        </w:rPr>
      </w:pPr>
    </w:p>
    <w:p>
      <w:pPr>
        <w:spacing w:line="240" w:lineRule="auto" w:before="0"/>
        <w:rPr>
          <w:rFonts w:ascii="Swis721 Md BT" w:hAnsi="Swis721 Md BT" w:cs="Swis721 Md BT" w:eastAsia="Swis721 Md BT"/>
          <w:sz w:val="16"/>
          <w:szCs w:val="16"/>
        </w:rPr>
      </w:pPr>
    </w:p>
    <w:p>
      <w:pPr>
        <w:spacing w:line="240" w:lineRule="auto" w:before="0"/>
        <w:rPr>
          <w:rFonts w:ascii="Swis721 Md BT" w:hAnsi="Swis721 Md BT" w:cs="Swis721 Md BT" w:eastAsia="Swis721 Md BT"/>
          <w:sz w:val="16"/>
          <w:szCs w:val="16"/>
        </w:rPr>
      </w:pPr>
    </w:p>
    <w:p>
      <w:pPr>
        <w:spacing w:line="240" w:lineRule="auto" w:before="0"/>
        <w:rPr>
          <w:rFonts w:ascii="Swis721 Md BT" w:hAnsi="Swis721 Md BT" w:cs="Swis721 Md BT" w:eastAsia="Swis721 Md BT"/>
          <w:sz w:val="16"/>
          <w:szCs w:val="16"/>
        </w:rPr>
      </w:pPr>
    </w:p>
    <w:p>
      <w:pPr>
        <w:spacing w:line="240" w:lineRule="auto" w:before="0"/>
        <w:rPr>
          <w:rFonts w:ascii="Swis721 Md BT" w:hAnsi="Swis721 Md BT" w:cs="Swis721 Md BT" w:eastAsia="Swis721 Md BT"/>
          <w:sz w:val="16"/>
          <w:szCs w:val="16"/>
        </w:rPr>
      </w:pPr>
    </w:p>
    <w:p>
      <w:pPr>
        <w:spacing w:line="240" w:lineRule="auto" w:before="0"/>
        <w:rPr>
          <w:rFonts w:ascii="Swis721 Md BT" w:hAnsi="Swis721 Md BT" w:cs="Swis721 Md BT" w:eastAsia="Swis721 Md BT"/>
          <w:sz w:val="16"/>
          <w:szCs w:val="16"/>
        </w:rPr>
      </w:pPr>
    </w:p>
    <w:p>
      <w:pPr>
        <w:spacing w:line="240" w:lineRule="auto" w:before="0"/>
        <w:rPr>
          <w:rFonts w:ascii="Swis721 Md BT" w:hAnsi="Swis721 Md BT" w:cs="Swis721 Md BT" w:eastAsia="Swis721 Md BT"/>
          <w:sz w:val="16"/>
          <w:szCs w:val="16"/>
        </w:rPr>
      </w:pPr>
    </w:p>
    <w:p>
      <w:pPr>
        <w:spacing w:line="240" w:lineRule="auto" w:before="0"/>
        <w:rPr>
          <w:rFonts w:ascii="Swis721 Md BT" w:hAnsi="Swis721 Md BT" w:cs="Swis721 Md BT" w:eastAsia="Swis721 Md BT"/>
          <w:sz w:val="16"/>
          <w:szCs w:val="16"/>
        </w:rPr>
      </w:pPr>
    </w:p>
    <w:p>
      <w:pPr>
        <w:spacing w:line="240" w:lineRule="auto" w:before="0"/>
        <w:rPr>
          <w:rFonts w:ascii="Swis721 Md BT" w:hAnsi="Swis721 Md BT" w:cs="Swis721 Md BT" w:eastAsia="Swis721 Md BT"/>
          <w:sz w:val="16"/>
          <w:szCs w:val="16"/>
        </w:rPr>
      </w:pPr>
    </w:p>
    <w:p>
      <w:pPr>
        <w:spacing w:line="240" w:lineRule="auto" w:before="0"/>
        <w:rPr>
          <w:rFonts w:ascii="Swis721 Md BT" w:hAnsi="Swis721 Md BT" w:cs="Swis721 Md BT" w:eastAsia="Swis721 Md BT"/>
          <w:sz w:val="16"/>
          <w:szCs w:val="16"/>
        </w:rPr>
      </w:pPr>
    </w:p>
    <w:p>
      <w:pPr>
        <w:spacing w:line="240" w:lineRule="auto" w:before="0"/>
        <w:rPr>
          <w:rFonts w:ascii="Swis721 Md BT" w:hAnsi="Swis721 Md BT" w:cs="Swis721 Md BT" w:eastAsia="Swis721 Md BT"/>
          <w:sz w:val="16"/>
          <w:szCs w:val="16"/>
        </w:rPr>
      </w:pPr>
    </w:p>
    <w:p>
      <w:pPr>
        <w:spacing w:line="240" w:lineRule="auto" w:before="0"/>
        <w:rPr>
          <w:rFonts w:ascii="Swis721 Md BT" w:hAnsi="Swis721 Md BT" w:cs="Swis721 Md BT" w:eastAsia="Swis721 Md BT"/>
          <w:sz w:val="16"/>
          <w:szCs w:val="16"/>
        </w:rPr>
      </w:pPr>
    </w:p>
    <w:p>
      <w:pPr>
        <w:spacing w:line="240" w:lineRule="auto" w:before="0"/>
        <w:rPr>
          <w:rFonts w:ascii="Swis721 Md BT" w:hAnsi="Swis721 Md BT" w:cs="Swis721 Md BT" w:eastAsia="Swis721 Md BT"/>
          <w:sz w:val="16"/>
          <w:szCs w:val="16"/>
        </w:rPr>
      </w:pPr>
    </w:p>
    <w:p>
      <w:pPr>
        <w:spacing w:line="240" w:lineRule="auto" w:before="4"/>
        <w:rPr>
          <w:rFonts w:ascii="Swis721 Md BT" w:hAnsi="Swis721 Md BT" w:cs="Swis721 Md BT" w:eastAsia="Swis721 Md BT"/>
          <w:sz w:val="23"/>
          <w:szCs w:val="23"/>
        </w:rPr>
      </w:pPr>
    </w:p>
    <w:p>
      <w:pPr>
        <w:spacing w:line="250" w:lineRule="auto" w:before="0"/>
        <w:ind w:left="1303" w:right="203" w:firstLine="0"/>
        <w:jc w:val="left"/>
        <w:rPr>
          <w:rFonts w:ascii="Swis721 Md BT" w:hAnsi="Swis721 Md BT" w:cs="Swis721 Md BT" w:eastAsia="Swis721 Md BT"/>
          <w:sz w:val="16"/>
          <w:szCs w:val="16"/>
        </w:rPr>
      </w:pPr>
      <w:r>
        <w:rPr>
          <w:rFonts w:ascii="Swis721 Md BT"/>
          <w:i/>
          <w:color w:val="303B41"/>
          <w:sz w:val="16"/>
        </w:rPr>
        <w:t>Laureate </w:t>
      </w:r>
      <w:r>
        <w:rPr>
          <w:rFonts w:ascii="Swis721 Md BT"/>
          <w:i/>
          <w:color w:val="303B41"/>
          <w:spacing w:val="-1"/>
          <w:sz w:val="16"/>
        </w:rPr>
        <w:t>Professor</w:t>
      </w:r>
      <w:r>
        <w:rPr>
          <w:rFonts w:ascii="Swis721 Md BT"/>
          <w:i/>
          <w:color w:val="303B41"/>
          <w:spacing w:val="24"/>
          <w:sz w:val="16"/>
        </w:rPr>
        <w:t> </w:t>
      </w:r>
      <w:r>
        <w:rPr>
          <w:rFonts w:ascii="Swis721 Md BT"/>
          <w:i/>
          <w:color w:val="303B41"/>
          <w:sz w:val="16"/>
        </w:rPr>
        <w:t>John Hattie was</w:t>
      </w:r>
      <w:r>
        <w:rPr>
          <w:rFonts w:ascii="Swis721 Md BT"/>
          <w:i/>
          <w:color w:val="303B41"/>
          <w:sz w:val="16"/>
        </w:rPr>
        <w:t> appointed Chair of the AITSL Board on 1 July 2014, and reappointed</w:t>
      </w:r>
      <w:r>
        <w:rPr>
          <w:rFonts w:ascii="Swis721 Md BT"/>
          <w:sz w:val="16"/>
        </w:rPr>
      </w:r>
    </w:p>
    <w:p>
      <w:pPr>
        <w:spacing w:before="0"/>
        <w:ind w:left="1303" w:right="0" w:firstLine="0"/>
        <w:jc w:val="left"/>
        <w:rPr>
          <w:rFonts w:ascii="Swis721 Md BT" w:hAnsi="Swis721 Md BT" w:cs="Swis721 Md BT" w:eastAsia="Swis721 Md BT"/>
          <w:sz w:val="16"/>
          <w:szCs w:val="16"/>
        </w:rPr>
      </w:pPr>
      <w:r>
        <w:rPr>
          <w:rFonts w:ascii="Swis721 Md BT"/>
          <w:i/>
          <w:color w:val="303B41"/>
          <w:sz w:val="16"/>
        </w:rPr>
        <w:t>effective from 1 July 2017</w:t>
      </w:r>
      <w:r>
        <w:rPr>
          <w:rFonts w:ascii="Swis721 Md BT"/>
          <w:sz w:val="16"/>
        </w:rPr>
      </w:r>
    </w:p>
    <w:p>
      <w:pPr>
        <w:pStyle w:val="Heading8"/>
        <w:spacing w:line="240" w:lineRule="auto" w:before="65"/>
        <w:ind w:left="374" w:right="0"/>
        <w:jc w:val="left"/>
      </w:pPr>
      <w:r>
        <w:rPr/>
        <w:br w:type="column"/>
      </w:r>
      <w:r>
        <w:rPr>
          <w:color w:val="00757A"/>
        </w:rPr>
        <w:t>Laureate Professor John Hattie</w:t>
      </w:r>
      <w:r>
        <w:rPr/>
      </w:r>
    </w:p>
    <w:p>
      <w:pPr>
        <w:spacing w:before="34"/>
        <w:ind w:left="374" w:right="0" w:firstLine="0"/>
        <w:jc w:val="left"/>
        <w:rPr>
          <w:rFonts w:ascii="Swis721 Lt BT" w:hAnsi="Swis721 Lt BT" w:cs="Swis721 Lt BT" w:eastAsia="Swis721 Lt BT"/>
          <w:sz w:val="18"/>
          <w:szCs w:val="18"/>
        </w:rPr>
      </w:pPr>
      <w:r>
        <w:rPr/>
        <w:pict>
          <v:group style="position:absolute;margin-left:56.693001pt;margin-top:-19.975992pt;width:399.7pt;height:283.2pt;mso-position-horizontal-relative:page;mso-position-vertical-relative:paragraph;z-index:-182200" coordorigin="1134,-400" coordsize="7994,5664">
            <v:group style="position:absolute;left:1134;top:-400;width:2277;height:5664" coordorigin="1134,-400" coordsize="2277,5664">
              <v:shape style="position:absolute;left:1134;top:-400;width:2277;height:5664" coordorigin="1134,-400" coordsize="2277,5664" path="m3410,-400l1134,-400,1134,5264,3410,5264,3410,-400xe" filled="true" fillcolor="#dae7e8" stroked="false">
                <v:path arrowok="t"/>
                <v:fill type="solid"/>
              </v:shape>
            </v:group>
            <v:group style="position:absolute;left:3410;top:-400;width:5718;height:5664" coordorigin="3410,-400" coordsize="5718,5664">
              <v:shape style="position:absolute;left:3410;top:-400;width:5718;height:5664" coordorigin="3410,-400" coordsize="5718,5664" path="m9128,-400l3410,-400,3410,5264,9128,5264,9128,-400xe" filled="true" fillcolor="#dae7e8" stroked="false">
                <v:path arrowok="t"/>
                <v:fill type="solid"/>
              </v:shape>
              <v:shape style="position:absolute;left:1307;top:-226;width:2024;height:2530" type="#_x0000_t75" stroked="false">
                <v:imagedata r:id="rId62" o:title=""/>
              </v:shape>
            </v:group>
            <v:group style="position:absolute;left:1307;top:-226;width:2024;height:2530" coordorigin="1307,-226" coordsize="2024,2530">
              <v:shape style="position:absolute;left:1307;top:-226;width:2024;height:2530" coordorigin="1307,-226" coordsize="2024,2530" path="m1307,2303l3331,2303,3331,-226,1307,-226,1307,2303xe" filled="false" stroked="true" strokeweight=".3pt" strokecolor="#71797f">
                <v:path arrowok="t"/>
              </v:shape>
            </v:group>
            <w10:wrap type="none"/>
          </v:group>
        </w:pict>
      </w:r>
      <w:r>
        <w:rPr>
          <w:rFonts w:ascii="Swis721 Lt BT"/>
          <w:i/>
          <w:color w:val="00757A"/>
          <w:sz w:val="18"/>
        </w:rPr>
        <w:t>BEd DipEd Med PhD</w:t>
      </w:r>
      <w:r>
        <w:rPr>
          <w:rFonts w:ascii="Swis721 Lt BT"/>
          <w:sz w:val="18"/>
        </w:rPr>
      </w:r>
    </w:p>
    <w:p>
      <w:pPr>
        <w:pStyle w:val="BodyText"/>
        <w:spacing w:line="240" w:lineRule="auto" w:before="104"/>
        <w:ind w:left="374" w:right="0"/>
        <w:jc w:val="left"/>
        <w:rPr>
          <w:rFonts w:ascii="Swis721 Md BT" w:hAnsi="Swis721 Md BT" w:cs="Swis721 Md BT" w:eastAsia="Swis721 Md BT"/>
        </w:rPr>
      </w:pPr>
      <w:r>
        <w:rPr>
          <w:rFonts w:ascii="Swis721 Md BT"/>
          <w:color w:val="303B41"/>
        </w:rPr>
        <w:t>Chair/Non-Executive Director</w:t>
      </w:r>
      <w:r>
        <w:rPr>
          <w:rFonts w:ascii="Swis721 Md BT"/>
        </w:rPr>
      </w:r>
    </w:p>
    <w:p>
      <w:pPr>
        <w:pStyle w:val="BodyText"/>
        <w:spacing w:line="240" w:lineRule="auto"/>
        <w:ind w:left="374" w:right="1052"/>
        <w:jc w:val="left"/>
      </w:pPr>
      <w:r>
        <w:rPr>
          <w:color w:val="231F20"/>
        </w:rPr>
        <w:t>Laureate Professor John Hattie’s work is internationally acclaimed.</w:t>
      </w:r>
      <w:r>
        <w:rPr>
          <w:color w:val="231F20"/>
          <w:spacing w:val="-1"/>
        </w:rPr>
        <w:t> </w:t>
      </w:r>
      <w:r>
        <w:rPr>
          <w:color w:val="231F20"/>
        </w:rPr>
        <w:t>His</w:t>
      </w:r>
      <w:r>
        <w:rPr>
          <w:color w:val="231F20"/>
          <w:spacing w:val="-1"/>
        </w:rPr>
        <w:t> </w:t>
      </w:r>
      <w:r>
        <w:rPr>
          <w:color w:val="231F20"/>
        </w:rPr>
        <w:t>influential</w:t>
      </w:r>
      <w:r>
        <w:rPr>
          <w:color w:val="231F20"/>
          <w:spacing w:val="-1"/>
        </w:rPr>
        <w:t> </w:t>
      </w:r>
      <w:r>
        <w:rPr>
          <w:color w:val="231F20"/>
        </w:rPr>
        <w:t>2008</w:t>
      </w:r>
      <w:r>
        <w:rPr>
          <w:color w:val="231F20"/>
          <w:spacing w:val="-1"/>
        </w:rPr>
        <w:t> </w:t>
      </w:r>
      <w:r>
        <w:rPr>
          <w:color w:val="231F20"/>
        </w:rPr>
        <w:t>book</w:t>
      </w:r>
      <w:r>
        <w:rPr>
          <w:color w:val="231F20"/>
          <w:spacing w:val="-1"/>
        </w:rPr>
        <w:t> </w:t>
      </w:r>
      <w:r>
        <w:rPr>
          <w:rFonts w:ascii="Swis721 Lt BT" w:hAnsi="Swis721 Lt BT" w:cs="Swis721 Lt BT" w:eastAsia="Swis721 Lt BT"/>
          <w:i/>
          <w:color w:val="231F20"/>
        </w:rPr>
        <w:t>Visible</w:t>
      </w:r>
      <w:r>
        <w:rPr>
          <w:rFonts w:ascii="Swis721 Lt BT" w:hAnsi="Swis721 Lt BT" w:cs="Swis721 Lt BT" w:eastAsia="Swis721 Lt BT"/>
          <w:i/>
          <w:color w:val="231F20"/>
          <w:spacing w:val="-1"/>
        </w:rPr>
        <w:t> </w:t>
      </w:r>
      <w:r>
        <w:rPr>
          <w:rFonts w:ascii="Swis721 Lt BT" w:hAnsi="Swis721 Lt BT" w:cs="Swis721 Lt BT" w:eastAsia="Swis721 Lt BT"/>
          <w:i/>
          <w:color w:val="231F20"/>
        </w:rPr>
        <w:t>Learning:</w:t>
      </w:r>
      <w:r>
        <w:rPr>
          <w:rFonts w:ascii="Swis721 Lt BT" w:hAnsi="Swis721 Lt BT" w:cs="Swis721 Lt BT" w:eastAsia="Swis721 Lt BT"/>
          <w:i/>
          <w:color w:val="231F20"/>
          <w:spacing w:val="-1"/>
        </w:rPr>
        <w:t> </w:t>
      </w:r>
      <w:r>
        <w:rPr>
          <w:rFonts w:ascii="Swis721 Lt BT" w:hAnsi="Swis721 Lt BT" w:cs="Swis721 Lt BT" w:eastAsia="Swis721 Lt BT"/>
          <w:i/>
          <w:color w:val="231F20"/>
        </w:rPr>
        <w:t>A</w:t>
      </w:r>
      <w:r>
        <w:rPr>
          <w:rFonts w:ascii="Swis721 Lt BT" w:hAnsi="Swis721 Lt BT" w:cs="Swis721 Lt BT" w:eastAsia="Swis721 Lt BT"/>
          <w:i/>
          <w:color w:val="231F20"/>
          <w:spacing w:val="-1"/>
        </w:rPr>
        <w:t> </w:t>
      </w:r>
      <w:r>
        <w:rPr>
          <w:rFonts w:ascii="Swis721 Lt BT" w:hAnsi="Swis721 Lt BT" w:cs="Swis721 Lt BT" w:eastAsia="Swis721 Lt BT"/>
          <w:i/>
          <w:color w:val="231F20"/>
        </w:rPr>
        <w:t>synthesis</w:t>
      </w:r>
      <w:r>
        <w:rPr>
          <w:rFonts w:ascii="Swis721 Lt BT" w:hAnsi="Swis721 Lt BT" w:cs="Swis721 Lt BT" w:eastAsia="Swis721 Lt BT"/>
          <w:i/>
          <w:color w:val="231F20"/>
        </w:rPr>
        <w:t> of over 800 meta-analyses relating to achievement </w:t>
      </w:r>
      <w:r>
        <w:rPr>
          <w:color w:val="231F20"/>
        </w:rPr>
        <w:t>is believed to</w:t>
      </w:r>
      <w:r>
        <w:rPr>
          <w:color w:val="231F20"/>
        </w:rPr>
        <w:t> be the world’s largest evidence-based study into the factors that improve student learning. This ground-breaking study involved more than 300 million students from around the world and brought together 50,000 smaller studies.</w:t>
      </w:r>
      <w:r>
        <w:rPr/>
      </w:r>
    </w:p>
    <w:p>
      <w:pPr>
        <w:pStyle w:val="BodyText"/>
        <w:spacing w:line="240" w:lineRule="auto"/>
        <w:ind w:left="374" w:right="1052"/>
        <w:jc w:val="left"/>
      </w:pPr>
      <w:r>
        <w:rPr>
          <w:color w:val="231F20"/>
        </w:rPr>
        <w:t>Through his role as </w:t>
      </w:r>
      <w:r>
        <w:rPr>
          <w:color w:val="231F20"/>
          <w:spacing w:val="-3"/>
        </w:rPr>
        <w:t>Chair,</w:t>
      </w:r>
      <w:r>
        <w:rPr>
          <w:color w:val="231F20"/>
        </w:rPr>
        <w:t> John is able to provide national</w:t>
      </w:r>
      <w:r>
        <w:rPr>
          <w:color w:val="231F20"/>
          <w:spacing w:val="20"/>
        </w:rPr>
        <w:t> </w:t>
      </w:r>
      <w:r>
        <w:rPr>
          <w:color w:val="231F20"/>
        </w:rPr>
        <w:t>leadership in promoting excellence so teachers and school</w:t>
      </w:r>
      <w:r>
        <w:rPr>
          <w:color w:val="231F20"/>
        </w:rPr>
        <w:t> leaders have maximum impact on learning.</w:t>
      </w:r>
      <w:r>
        <w:rPr/>
      </w:r>
    </w:p>
    <w:p>
      <w:pPr>
        <w:pStyle w:val="BodyText"/>
        <w:spacing w:line="240" w:lineRule="auto"/>
        <w:ind w:left="374" w:right="1040"/>
        <w:jc w:val="both"/>
      </w:pPr>
      <w:r>
        <w:rPr>
          <w:color w:val="231F20"/>
        </w:rPr>
        <w:t>In addition, John is a Laureate </w:t>
      </w:r>
      <w:r>
        <w:rPr>
          <w:color w:val="231F20"/>
          <w:spacing w:val="-2"/>
        </w:rPr>
        <w:t>Professor,</w:t>
      </w:r>
      <w:r>
        <w:rPr>
          <w:color w:val="231F20"/>
        </w:rPr>
        <w:t> and has been a Director</w:t>
      </w:r>
      <w:r>
        <w:rPr>
          <w:color w:val="231F20"/>
          <w:spacing w:val="22"/>
        </w:rPr>
        <w:t> </w:t>
      </w:r>
      <w:r>
        <w:rPr>
          <w:color w:val="231F20"/>
        </w:rPr>
        <w:t>of the Melbourne Education Research Institute since 2011 and he</w:t>
      </w:r>
      <w:r>
        <w:rPr>
          <w:color w:val="231F20"/>
        </w:rPr>
        <w:t> is also the past president of the International </w:t>
      </w:r>
      <w:r>
        <w:rPr>
          <w:color w:val="231F20"/>
          <w:spacing w:val="-7"/>
        </w:rPr>
        <w:t>Test</w:t>
      </w:r>
      <w:r>
        <w:rPr>
          <w:color w:val="231F20"/>
        </w:rPr>
        <w:t> Commission.</w:t>
      </w:r>
      <w:r>
        <w:rPr/>
      </w:r>
    </w:p>
    <w:p>
      <w:pPr>
        <w:pStyle w:val="BodyText"/>
        <w:spacing w:line="240" w:lineRule="auto"/>
        <w:ind w:left="374" w:right="1263"/>
        <w:jc w:val="left"/>
      </w:pPr>
      <w:r>
        <w:rPr>
          <w:color w:val="231F20"/>
        </w:rPr>
        <w:t>John was awarded the New Zealand Order of Merit in the 2011 Queen’s Birthday Honours, is a fellow of the Australian Council for Educational Leaders and the American </w:t>
      </w:r>
      <w:r>
        <w:rPr>
          <w:color w:val="231F20"/>
          <w:spacing w:val="-1"/>
        </w:rPr>
        <w:t>Psychological</w:t>
      </w:r>
      <w:r>
        <w:rPr>
          <w:color w:val="231F20"/>
          <w:spacing w:val="27"/>
        </w:rPr>
        <w:t> </w:t>
      </w:r>
      <w:r>
        <w:rPr>
          <w:color w:val="231F20"/>
        </w:rPr>
        <w:t>Association, and has published and presented more than</w:t>
      </w:r>
      <w:r>
        <w:rPr>
          <w:color w:val="231F20"/>
        </w:rPr>
        <w:t> 1,200 papers, and supervised over 200 thesis students.</w:t>
      </w:r>
      <w:r>
        <w:rPr/>
      </w:r>
    </w:p>
    <w:p>
      <w:pPr>
        <w:spacing w:after="0" w:line="240" w:lineRule="auto"/>
        <w:jc w:val="left"/>
        <w:sectPr>
          <w:type w:val="continuous"/>
          <w:pgSz w:w="9980" w:h="14180"/>
          <w:pgMar w:top="0" w:bottom="280" w:left="0" w:right="0"/>
          <w:cols w:num="2" w:equalWidth="0">
            <w:col w:w="3166" w:space="40"/>
            <w:col w:w="6774"/>
          </w:cols>
        </w:sectPr>
      </w:pPr>
    </w:p>
    <w:p>
      <w:pPr>
        <w:spacing w:before="48"/>
        <w:ind w:left="110" w:right="0" w:firstLine="0"/>
        <w:jc w:val="left"/>
        <w:rPr>
          <w:rFonts w:ascii="Swis721 Lt BT" w:hAnsi="Swis721 Lt BT" w:cs="Swis721 Lt BT" w:eastAsia="Swis721 Lt BT"/>
          <w:sz w:val="16"/>
          <w:szCs w:val="16"/>
        </w:rPr>
      </w:pPr>
      <w:r>
        <w:rPr>
          <w:rFonts w:ascii="Swis721 BT" w:hAnsi="Swis721 BT" w:cs="Swis721 BT" w:eastAsia="Swis721 BT"/>
          <w:b/>
          <w:bCs/>
          <w:color w:val="00757A"/>
          <w:sz w:val="16"/>
          <w:szCs w:val="16"/>
        </w:rPr>
        <w:t>DIRECTORS’ REPORT </w:t>
      </w:r>
      <w:r>
        <w:rPr>
          <w:rFonts w:ascii="Swis721 Lt BT" w:hAnsi="Swis721 Lt BT" w:cs="Swis721 Lt BT" w:eastAsia="Swis721 Lt BT"/>
          <w:color w:val="00757A"/>
          <w:sz w:val="16"/>
          <w:szCs w:val="16"/>
        </w:rPr>
        <w:t>CONTINUED</w:t>
      </w:r>
      <w:r>
        <w:rPr>
          <w:rFonts w:ascii="Swis721 Lt BT" w:hAnsi="Swis721 Lt BT" w:cs="Swis721 Lt BT" w:eastAsia="Swis721 Lt BT"/>
          <w:sz w:val="16"/>
          <w:szCs w:val="16"/>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0"/>
        <w:rPr>
          <w:rFonts w:ascii="Swis721 Lt BT" w:hAnsi="Swis721 Lt BT" w:cs="Swis721 Lt BT" w:eastAsia="Swis721 Lt BT"/>
          <w:sz w:val="19"/>
          <w:szCs w:val="19"/>
        </w:rPr>
      </w:pPr>
    </w:p>
    <w:p>
      <w:pPr>
        <w:spacing w:after="0" w:line="240" w:lineRule="auto"/>
        <w:rPr>
          <w:rFonts w:ascii="Swis721 Lt BT" w:hAnsi="Swis721 Lt BT" w:cs="Swis721 Lt BT" w:eastAsia="Swis721 Lt BT"/>
          <w:sz w:val="19"/>
          <w:szCs w:val="19"/>
        </w:rPr>
        <w:sectPr>
          <w:pgSz w:w="9980" w:h="14180"/>
          <w:pgMar w:header="0" w:footer="452" w:top="800" w:bottom="640" w:left="740" w:right="1020"/>
        </w:sect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4"/>
        <w:rPr>
          <w:rFonts w:ascii="Swis721 Lt BT" w:hAnsi="Swis721 Lt BT" w:cs="Swis721 Lt BT" w:eastAsia="Swis721 Lt BT"/>
          <w:sz w:val="23"/>
          <w:szCs w:val="23"/>
        </w:rPr>
      </w:pPr>
    </w:p>
    <w:p>
      <w:pPr>
        <w:spacing w:line="250" w:lineRule="auto" w:before="0"/>
        <w:ind w:left="280" w:right="0" w:firstLine="0"/>
        <w:jc w:val="left"/>
        <w:rPr>
          <w:rFonts w:ascii="Swis721 Md BT" w:hAnsi="Swis721 Md BT" w:cs="Swis721 Md BT" w:eastAsia="Swis721 Md BT"/>
          <w:sz w:val="16"/>
          <w:szCs w:val="16"/>
        </w:rPr>
      </w:pPr>
      <w:r>
        <w:rPr>
          <w:rFonts w:ascii="Swis721 Md BT"/>
          <w:i/>
          <w:color w:val="303B41"/>
          <w:sz w:val="16"/>
        </w:rPr>
        <w:t>Mr Christopher </w:t>
      </w:r>
      <w:r>
        <w:rPr>
          <w:rFonts w:ascii="Swis721 Md BT"/>
          <w:i/>
          <w:color w:val="303B41"/>
          <w:spacing w:val="-1"/>
          <w:sz w:val="16"/>
        </w:rPr>
        <w:t>Wardlaw</w:t>
      </w:r>
      <w:r>
        <w:rPr>
          <w:rFonts w:ascii="Swis721 Md BT"/>
          <w:i/>
          <w:color w:val="303B41"/>
          <w:spacing w:val="21"/>
          <w:sz w:val="16"/>
        </w:rPr>
        <w:t> </w:t>
      </w:r>
      <w:r>
        <w:rPr>
          <w:rFonts w:ascii="Swis721 Md BT"/>
          <w:i/>
          <w:color w:val="303B41"/>
          <w:sz w:val="16"/>
        </w:rPr>
        <w:t>PSM was appointed to the</w:t>
      </w:r>
      <w:r>
        <w:rPr>
          <w:rFonts w:ascii="Swis721 Md BT"/>
          <w:i/>
          <w:color w:val="303B41"/>
          <w:sz w:val="16"/>
        </w:rPr>
        <w:t> AITSL Board as Deputy Chair on 2 May 2016, and reappointed effective from 2 May 2019</w:t>
      </w:r>
      <w:r>
        <w:rPr>
          <w:rFonts w:ascii="Swis721 Md BT"/>
          <w:sz w:val="16"/>
        </w:rPr>
      </w:r>
    </w:p>
    <w:p>
      <w:pPr>
        <w:pStyle w:val="Heading8"/>
        <w:spacing w:line="240" w:lineRule="auto" w:before="65"/>
        <w:ind w:left="280" w:right="0"/>
        <w:jc w:val="left"/>
      </w:pPr>
      <w:r>
        <w:rPr/>
        <w:br w:type="column"/>
      </w:r>
      <w:r>
        <w:rPr>
          <w:color w:val="00757A"/>
        </w:rPr>
        <w:t>Mr Christopher </w:t>
      </w:r>
      <w:r>
        <w:rPr>
          <w:color w:val="00757A"/>
          <w:spacing w:val="-1"/>
        </w:rPr>
        <w:t>Wardlaw</w:t>
      </w:r>
      <w:r>
        <w:rPr>
          <w:color w:val="00757A"/>
        </w:rPr>
        <w:t> PSM</w:t>
      </w:r>
      <w:r>
        <w:rPr/>
      </w:r>
    </w:p>
    <w:p>
      <w:pPr>
        <w:spacing w:before="34"/>
        <w:ind w:left="280" w:right="0" w:firstLine="0"/>
        <w:jc w:val="left"/>
        <w:rPr>
          <w:rFonts w:ascii="Swis721 Lt BT" w:hAnsi="Swis721 Lt BT" w:cs="Swis721 Lt BT" w:eastAsia="Swis721 Lt BT"/>
          <w:sz w:val="18"/>
          <w:szCs w:val="18"/>
        </w:rPr>
      </w:pPr>
      <w:r>
        <w:rPr/>
        <w:pict>
          <v:group style="position:absolute;margin-left:42.52pt;margin-top:-20.02676pt;width:399.7pt;height:277.650pt;mso-position-horizontal-relative:page;mso-position-vertical-relative:paragraph;z-index:-182104" coordorigin="850,-401" coordsize="7994,5553">
            <v:group style="position:absolute;left:850;top:-400;width:2277;height:5551" coordorigin="850,-400" coordsize="2277,5551">
              <v:shape style="position:absolute;left:850;top:-400;width:2277;height:5551" coordorigin="850,-400" coordsize="2277,5551" path="m3127,-400l850,-400,850,5151,3127,5151,3127,-400xe" filled="true" fillcolor="#dae7e8" stroked="false">
                <v:path arrowok="t"/>
                <v:fill type="solid"/>
              </v:shape>
            </v:group>
            <v:group style="position:absolute;left:3127;top:-400;width:2;height:5551" coordorigin="3127,-400" coordsize="2,5551">
              <v:shape style="position:absolute;left:3127;top:-400;width:2;height:5551" coordorigin="3127,-400" coordsize="0,5551" path="m3127,-400l3127,5151e" filled="false" stroked="true" strokeweight=".101pt" strokecolor="#dae7e8">
                <v:path arrowok="t"/>
              </v:shape>
            </v:group>
            <v:group style="position:absolute;left:3127;top:-400;width:5718;height:5551" coordorigin="3127,-400" coordsize="5718,5551">
              <v:shape style="position:absolute;left:3127;top:-400;width:5718;height:5551" coordorigin="3127,-400" coordsize="5718,5551" path="m8844,-400l3127,-400,3127,5151,8844,5151,8844,-400xe" filled="true" fillcolor="#dae7e8" stroked="false">
                <v:path arrowok="t"/>
                <v:fill type="solid"/>
              </v:shape>
              <v:shape style="position:absolute;left:1023;top:-226;width:2024;height:2530" type="#_x0000_t75" stroked="false">
                <v:imagedata r:id="rId63" o:title=""/>
              </v:shape>
            </v:group>
            <v:group style="position:absolute;left:1023;top:-226;width:2024;height:2530" coordorigin="1023,-226" coordsize="2024,2530">
              <v:shape style="position:absolute;left:1023;top:-226;width:2024;height:2530" coordorigin="1023,-226" coordsize="2024,2530" path="m1023,2303l3047,2303,3047,-226,1023,-226,1023,2303xe" filled="false" stroked="true" strokeweight=".3pt" strokecolor="#71797f">
                <v:path arrowok="t"/>
              </v:shape>
            </v:group>
            <w10:wrap type="none"/>
          </v:group>
        </w:pict>
      </w:r>
      <w:r>
        <w:rPr>
          <w:rFonts w:ascii="Swis721 Lt BT"/>
          <w:i/>
          <w:color w:val="00757A"/>
          <w:sz w:val="18"/>
        </w:rPr>
        <w:t>BEc (Hons) DipEd</w:t>
      </w:r>
      <w:r>
        <w:rPr>
          <w:rFonts w:ascii="Swis721 Lt BT"/>
          <w:sz w:val="18"/>
        </w:rPr>
      </w:r>
    </w:p>
    <w:p>
      <w:pPr>
        <w:pStyle w:val="BodyText"/>
        <w:spacing w:line="240" w:lineRule="auto" w:before="104"/>
        <w:ind w:left="280" w:right="0"/>
        <w:jc w:val="left"/>
        <w:rPr>
          <w:rFonts w:ascii="Swis721 Md BT" w:hAnsi="Swis721 Md BT" w:cs="Swis721 Md BT" w:eastAsia="Swis721 Md BT"/>
        </w:rPr>
      </w:pPr>
      <w:r>
        <w:rPr>
          <w:rFonts w:ascii="Swis721 Md BT"/>
          <w:color w:val="303B41"/>
        </w:rPr>
        <w:t>Deputy Chair/Non-Executive Director</w:t>
      </w:r>
      <w:r>
        <w:rPr>
          <w:rFonts w:ascii="Swis721 Md BT"/>
        </w:rPr>
      </w:r>
    </w:p>
    <w:p>
      <w:pPr>
        <w:pStyle w:val="BodyText"/>
        <w:spacing w:line="240" w:lineRule="auto"/>
        <w:ind w:left="280" w:right="485"/>
        <w:jc w:val="left"/>
      </w:pPr>
      <w:r>
        <w:rPr>
          <w:color w:val="231F20"/>
        </w:rPr>
        <w:t>Mr Christopher </w:t>
      </w:r>
      <w:r>
        <w:rPr>
          <w:color w:val="231F20"/>
          <w:spacing w:val="-1"/>
        </w:rPr>
        <w:t>Wardlaw</w:t>
      </w:r>
      <w:r>
        <w:rPr>
          <w:color w:val="231F20"/>
        </w:rPr>
        <w:t> is currently Chair of the Victorian</w:t>
      </w:r>
      <w:r>
        <w:rPr>
          <w:color w:val="231F20"/>
          <w:spacing w:val="23"/>
        </w:rPr>
        <w:t> </w:t>
      </w:r>
      <w:r>
        <w:rPr>
          <w:color w:val="231F20"/>
        </w:rPr>
        <w:t>Curriculum and Assessment </w:t>
      </w:r>
      <w:r>
        <w:rPr>
          <w:color w:val="231F20"/>
          <w:spacing w:val="-2"/>
        </w:rPr>
        <w:t>Authority.</w:t>
      </w:r>
      <w:r>
        <w:rPr>
          <w:color w:val="231F20"/>
        </w:rPr>
        <w:t> With an early career as</w:t>
      </w:r>
      <w:r>
        <w:rPr>
          <w:color w:val="231F20"/>
          <w:spacing w:val="28"/>
        </w:rPr>
        <w:t> </w:t>
      </w:r>
      <w:r>
        <w:rPr>
          <w:color w:val="231F20"/>
        </w:rPr>
        <w:t>a teaching fellow at university and then as a secondary </w:t>
      </w:r>
      <w:r>
        <w:rPr>
          <w:color w:val="231F20"/>
          <w:spacing w:val="-3"/>
        </w:rPr>
        <w:t>teacher,</w:t>
      </w:r>
      <w:r>
        <w:rPr>
          <w:color w:val="231F20"/>
          <w:spacing w:val="26"/>
        </w:rPr>
        <w:t> </w:t>
      </w:r>
      <w:r>
        <w:rPr>
          <w:color w:val="231F20"/>
        </w:rPr>
        <w:t>Chris has gained extensive experience relating to curriculum,</w:t>
      </w:r>
      <w:r>
        <w:rPr>
          <w:color w:val="231F20"/>
        </w:rPr>
        <w:t> assessment and quality assurance for </w:t>
      </w:r>
      <w:r>
        <w:rPr>
          <w:color w:val="231F20"/>
          <w:spacing w:val="-2"/>
        </w:rPr>
        <w:t>pre-primary,</w:t>
      </w:r>
      <w:r>
        <w:rPr>
          <w:color w:val="231F20"/>
        </w:rPr>
        <w:t> basic and</w:t>
      </w:r>
      <w:r>
        <w:rPr>
          <w:color w:val="231F20"/>
          <w:spacing w:val="29"/>
        </w:rPr>
        <w:t> </w:t>
      </w:r>
      <w:r>
        <w:rPr>
          <w:color w:val="231F20"/>
        </w:rPr>
        <w:t>senior secondary education. Chris also has vast experience in</w:t>
      </w:r>
      <w:r>
        <w:rPr>
          <w:color w:val="231F20"/>
        </w:rPr>
        <w:t> the government and education sectors as a result of working in senior leadership roles in Australia and Hong </w:t>
      </w:r>
      <w:r>
        <w:rPr>
          <w:color w:val="231F20"/>
          <w:spacing w:val="-1"/>
        </w:rPr>
        <w:t>Kong.</w:t>
      </w:r>
      <w:r>
        <w:rPr/>
      </w:r>
    </w:p>
    <w:p>
      <w:pPr>
        <w:pStyle w:val="BodyText"/>
        <w:spacing w:line="240" w:lineRule="auto"/>
        <w:ind w:left="280" w:right="328"/>
        <w:jc w:val="left"/>
      </w:pPr>
      <w:r>
        <w:rPr>
          <w:color w:val="231F20"/>
        </w:rPr>
        <w:t>Chris was awarded the Public Service Medal in the 2013 Queen’s</w:t>
      </w:r>
      <w:r>
        <w:rPr>
          <w:color w:val="231F20"/>
          <w:spacing w:val="21"/>
        </w:rPr>
        <w:t> </w:t>
      </w:r>
      <w:r>
        <w:rPr>
          <w:color w:val="231F20"/>
        </w:rPr>
        <w:t>Birthday Honours and was made a </w:t>
      </w:r>
      <w:r>
        <w:rPr>
          <w:color w:val="231F20"/>
          <w:spacing w:val="-1"/>
        </w:rPr>
        <w:t>Fellow</w:t>
      </w:r>
      <w:r>
        <w:rPr>
          <w:color w:val="231F20"/>
        </w:rPr>
        <w:t> of Monash University</w:t>
      </w:r>
      <w:r>
        <w:rPr>
          <w:color w:val="231F20"/>
          <w:spacing w:val="21"/>
        </w:rPr>
        <w:t> </w:t>
      </w:r>
      <w:r>
        <w:rPr>
          <w:color w:val="231F20"/>
        </w:rPr>
        <w:t>in 2013.</w:t>
      </w:r>
      <w:r>
        <w:rPr/>
      </w:r>
    </w:p>
    <w:p>
      <w:pPr>
        <w:pStyle w:val="BodyText"/>
        <w:spacing w:line="240" w:lineRule="auto"/>
        <w:ind w:left="280" w:right="452"/>
        <w:jc w:val="left"/>
      </w:pPr>
      <w:r>
        <w:rPr>
          <w:color w:val="231F20"/>
        </w:rPr>
        <w:t>During a parallel sporting </w:t>
      </w:r>
      <w:r>
        <w:rPr>
          <w:color w:val="231F20"/>
          <w:spacing w:val="-3"/>
        </w:rPr>
        <w:t>career,</w:t>
      </w:r>
      <w:r>
        <w:rPr>
          <w:color w:val="231F20"/>
        </w:rPr>
        <w:t> Chris is an Olympian who</w:t>
      </w:r>
      <w:r>
        <w:rPr>
          <w:color w:val="231F20"/>
          <w:spacing w:val="23"/>
        </w:rPr>
        <w:t> </w:t>
      </w:r>
      <w:r>
        <w:rPr>
          <w:color w:val="231F20"/>
        </w:rPr>
        <w:t>represented Australia in long-distance running in 1976 and</w:t>
      </w:r>
      <w:r>
        <w:rPr>
          <w:color w:val="231F20"/>
        </w:rPr>
        <w:t> 1980.</w:t>
      </w:r>
      <w:r>
        <w:rPr>
          <w:color w:val="231F20"/>
          <w:spacing w:val="-1"/>
        </w:rPr>
        <w:t> </w:t>
      </w:r>
      <w:r>
        <w:rPr>
          <w:color w:val="231F20"/>
        </w:rPr>
        <w:t>He was also</w:t>
      </w:r>
      <w:r>
        <w:rPr>
          <w:color w:val="231F20"/>
          <w:spacing w:val="-1"/>
        </w:rPr>
        <w:t> </w:t>
      </w:r>
      <w:r>
        <w:rPr>
          <w:color w:val="231F20"/>
        </w:rPr>
        <w:t>head coach of</w:t>
      </w:r>
      <w:r>
        <w:rPr>
          <w:color w:val="231F20"/>
          <w:spacing w:val="-1"/>
        </w:rPr>
        <w:t> </w:t>
      </w:r>
      <w:r>
        <w:rPr>
          <w:color w:val="231F20"/>
        </w:rPr>
        <w:t>the Australian track</w:t>
      </w:r>
      <w:r>
        <w:rPr>
          <w:color w:val="231F20"/>
          <w:spacing w:val="-1"/>
        </w:rPr>
        <w:t> </w:t>
      </w:r>
      <w:r>
        <w:rPr>
          <w:color w:val="231F20"/>
        </w:rPr>
        <w:t>and field</w:t>
      </w:r>
      <w:r>
        <w:rPr>
          <w:color w:val="231F20"/>
          <w:w w:val="99"/>
        </w:rPr>
        <w:t> </w:t>
      </w:r>
      <w:r>
        <w:rPr>
          <w:color w:val="231F20"/>
        </w:rPr>
        <w:t>team at the Sydney Olympics Games in 2000 and has coached</w:t>
      </w:r>
      <w:r>
        <w:rPr>
          <w:color w:val="231F20"/>
        </w:rPr>
        <w:t> a range of elite distance runners. In 2000, Chris was awarded the Australian Sports Medal. He joined the Board of Athletics Australia in 2016.</w:t>
      </w:r>
      <w:r>
        <w:rPr/>
      </w:r>
    </w:p>
    <w:p>
      <w:pPr>
        <w:spacing w:after="0" w:line="240" w:lineRule="auto"/>
        <w:jc w:val="left"/>
        <w:sectPr>
          <w:type w:val="continuous"/>
          <w:pgSz w:w="9980" w:h="14180"/>
          <w:pgMar w:top="0" w:bottom="280" w:left="740" w:right="1020"/>
          <w:cols w:num="2" w:equalWidth="0">
            <w:col w:w="2208" w:space="68"/>
            <w:col w:w="5944"/>
          </w:cols>
        </w:sectPr>
      </w:pPr>
    </w:p>
    <w:p>
      <w:pPr>
        <w:spacing w:line="240" w:lineRule="auto" w:before="6"/>
        <w:rPr>
          <w:rFonts w:ascii="Swis721 Lt BT" w:hAnsi="Swis721 Lt BT" w:cs="Swis721 Lt BT" w:eastAsia="Swis721 Lt BT"/>
          <w:sz w:val="26"/>
          <w:szCs w:val="26"/>
        </w:rPr>
      </w:pPr>
    </w:p>
    <w:p>
      <w:pPr>
        <w:spacing w:line="200" w:lineRule="atLeast"/>
        <w:ind w:left="110"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399.7pt;height:254.85pt;mso-position-horizontal-relative:char;mso-position-vertical-relative:line" coordorigin="0,0" coordsize="7994,5097">
            <v:group style="position:absolute;left:0;top:1;width:2277;height:5095" coordorigin="0,1" coordsize="2277,5095">
              <v:shape style="position:absolute;left:0;top:1;width:2277;height:5095" coordorigin="0,1" coordsize="2277,5095" path="m2277,1l0,1,0,5095,2277,5095,2277,1xe" filled="true" fillcolor="#dae7e8" stroked="false">
                <v:path arrowok="t"/>
                <v:fill type="solid"/>
              </v:shape>
            </v:group>
            <v:group style="position:absolute;left:2277;top:1;width:2;height:5095" coordorigin="2277,1" coordsize="2,5095">
              <v:shape style="position:absolute;left:2277;top:1;width:2;height:5095" coordorigin="2277,1" coordsize="0,5095" path="m2277,1l2277,5095e" filled="false" stroked="true" strokeweight=".101pt" strokecolor="#dae7e8">
                <v:path arrowok="t"/>
              </v:shape>
            </v:group>
            <v:group style="position:absolute;left:2277;top:1;width:5718;height:5095" coordorigin="2277,1" coordsize="5718,5095">
              <v:shape style="position:absolute;left:2277;top:1;width:5718;height:5095" coordorigin="2277,1" coordsize="5718,5095" path="m7994,1l2277,1,2277,5095,7994,5095,7994,1xe" filled="true" fillcolor="#dae7e8" stroked="false">
                <v:path arrowok="t"/>
                <v:fill type="solid"/>
              </v:shape>
              <v:shape style="position:absolute;left:173;top:174;width:2024;height:2530" type="#_x0000_t75" stroked="false">
                <v:imagedata r:id="rId64" o:title=""/>
              </v:shape>
            </v:group>
            <v:group style="position:absolute;left:173;top:174;width:2024;height:2530" coordorigin="173,174" coordsize="2024,2530">
              <v:shape style="position:absolute;left:173;top:174;width:2024;height:2530" coordorigin="173,174" coordsize="2024,2530" path="m173,2704l2197,2704,2197,174,173,174,173,2704xe" filled="false" stroked="true" strokeweight=".3pt" strokecolor="#71797f">
                <v:path arrowok="t"/>
              </v:shape>
              <v:shape style="position:absolute;left:0;top:1;width:2277;height:5095" type="#_x0000_t202" filled="false" stroked="false">
                <v:textbox inset="0,0,0,0">
                  <w:txbxContent>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2"/>
                        <w:rPr>
                          <w:rFonts w:ascii="Swis721 Lt BT" w:hAnsi="Swis721 Lt BT" w:cs="Swis721 Lt BT" w:eastAsia="Swis721 Lt BT"/>
                          <w:sz w:val="13"/>
                          <w:szCs w:val="13"/>
                        </w:rPr>
                      </w:pPr>
                    </w:p>
                    <w:p>
                      <w:pPr>
                        <w:spacing w:line="250" w:lineRule="auto" w:before="0"/>
                        <w:ind w:left="170" w:right="309" w:firstLine="0"/>
                        <w:jc w:val="left"/>
                        <w:rPr>
                          <w:rFonts w:ascii="Swis721 Md BT" w:hAnsi="Swis721 Md BT" w:cs="Swis721 Md BT" w:eastAsia="Swis721 Md BT"/>
                          <w:sz w:val="16"/>
                          <w:szCs w:val="16"/>
                        </w:rPr>
                      </w:pPr>
                      <w:r>
                        <w:rPr>
                          <w:rFonts w:ascii="Swis721 Md BT"/>
                          <w:i/>
                          <w:color w:val="303B41"/>
                          <w:sz w:val="16"/>
                        </w:rPr>
                        <w:t>Ms Beth Blackwood was appointed to the AITSL Board on 17 June 2018</w:t>
                      </w:r>
                      <w:r>
                        <w:rPr>
                          <w:rFonts w:ascii="Swis721 Md BT"/>
                          <w:sz w:val="16"/>
                        </w:rPr>
                      </w:r>
                    </w:p>
                  </w:txbxContent>
                </v:textbox>
                <w10:wrap type="none"/>
              </v:shape>
              <v:shape style="position:absolute;left:0;top:0;width:7994;height:5097" type="#_x0000_t202" filled="false" stroked="false">
                <v:textbox inset="0,0,0,0">
                  <w:txbxContent>
                    <w:p>
                      <w:pPr>
                        <w:spacing w:before="136"/>
                        <w:ind w:left="2446" w:right="0" w:firstLine="0"/>
                        <w:jc w:val="left"/>
                        <w:rPr>
                          <w:rFonts w:ascii="Swis721 Md BT" w:hAnsi="Swis721 Md BT" w:cs="Swis721 Md BT" w:eastAsia="Swis721 Md BT"/>
                          <w:sz w:val="22"/>
                          <w:szCs w:val="22"/>
                        </w:rPr>
                      </w:pPr>
                      <w:r>
                        <w:rPr>
                          <w:rFonts w:ascii="Swis721 Md BT"/>
                          <w:color w:val="00757A"/>
                          <w:sz w:val="22"/>
                        </w:rPr>
                        <w:t>Ms Beth Blackwood</w:t>
                      </w:r>
                      <w:r>
                        <w:rPr>
                          <w:rFonts w:ascii="Swis721 Md BT"/>
                          <w:sz w:val="22"/>
                        </w:rPr>
                      </w:r>
                    </w:p>
                    <w:p>
                      <w:pPr>
                        <w:spacing w:before="34"/>
                        <w:ind w:left="2446" w:right="0" w:firstLine="0"/>
                        <w:jc w:val="left"/>
                        <w:rPr>
                          <w:rFonts w:ascii="Swis721 Lt BT" w:hAnsi="Swis721 Lt BT" w:cs="Swis721 Lt BT" w:eastAsia="Swis721 Lt BT"/>
                          <w:sz w:val="18"/>
                          <w:szCs w:val="18"/>
                        </w:rPr>
                      </w:pPr>
                      <w:r>
                        <w:rPr>
                          <w:rFonts w:ascii="Swis721 Lt BT"/>
                          <w:i/>
                          <w:color w:val="00757A"/>
                          <w:sz w:val="18"/>
                        </w:rPr>
                        <w:t>BA DipEd</w:t>
                      </w:r>
                      <w:r>
                        <w:rPr>
                          <w:rFonts w:ascii="Swis721 Lt BT"/>
                          <w:sz w:val="18"/>
                        </w:rPr>
                      </w:r>
                    </w:p>
                    <w:p>
                      <w:pPr>
                        <w:spacing w:before="104"/>
                        <w:ind w:left="2446" w:right="0" w:firstLine="0"/>
                        <w:jc w:val="left"/>
                        <w:rPr>
                          <w:rFonts w:ascii="Swis721 Md BT" w:hAnsi="Swis721 Md BT" w:cs="Swis721 Md BT" w:eastAsia="Swis721 Md BT"/>
                          <w:sz w:val="19"/>
                          <w:szCs w:val="19"/>
                        </w:rPr>
                      </w:pPr>
                      <w:r>
                        <w:rPr>
                          <w:rFonts w:ascii="Swis721 Md BT"/>
                          <w:color w:val="303B41"/>
                          <w:sz w:val="19"/>
                        </w:rPr>
                        <w:t>Non-Executive Director</w:t>
                      </w:r>
                      <w:r>
                        <w:rPr>
                          <w:rFonts w:ascii="Swis721 Md BT"/>
                          <w:sz w:val="19"/>
                        </w:rPr>
                      </w:r>
                    </w:p>
                    <w:p>
                      <w:pPr>
                        <w:spacing w:before="113"/>
                        <w:ind w:left="2446" w:right="219" w:firstLine="0"/>
                        <w:jc w:val="left"/>
                        <w:rPr>
                          <w:rFonts w:ascii="Swis721 Lt BT" w:hAnsi="Swis721 Lt BT" w:cs="Swis721 Lt BT" w:eastAsia="Swis721 Lt BT"/>
                          <w:sz w:val="19"/>
                          <w:szCs w:val="19"/>
                        </w:rPr>
                      </w:pPr>
                      <w:r>
                        <w:rPr>
                          <w:rFonts w:ascii="Swis721 Lt BT"/>
                          <w:color w:val="231F20"/>
                          <w:sz w:val="19"/>
                        </w:rPr>
                        <w:t>Ms Beth Blackwood was appointed as the CEO of the Association of Heads of Independent Schools of Australia in 2016. Prior to this she had a 30-year career in the education </w:t>
                      </w:r>
                      <w:r>
                        <w:rPr>
                          <w:rFonts w:ascii="Swis721 Lt BT"/>
                          <w:color w:val="231F20"/>
                          <w:spacing w:val="-3"/>
                          <w:sz w:val="19"/>
                        </w:rPr>
                        <w:t>sector,</w:t>
                      </w:r>
                      <w:r>
                        <w:rPr>
                          <w:rFonts w:ascii="Swis721 Lt BT"/>
                          <w:color w:val="231F20"/>
                          <w:sz w:val="19"/>
                        </w:rPr>
                        <w:t> as </w:t>
                      </w:r>
                      <w:r>
                        <w:rPr>
                          <w:rFonts w:ascii="Swis721 Lt BT"/>
                          <w:color w:val="231F20"/>
                          <w:spacing w:val="-3"/>
                          <w:sz w:val="19"/>
                        </w:rPr>
                        <w:t>teacher,</w:t>
                      </w:r>
                      <w:r>
                        <w:rPr>
                          <w:rFonts w:ascii="Swis721 Lt BT"/>
                          <w:color w:val="231F20"/>
                          <w:sz w:val="19"/>
                        </w:rPr>
                        <w:t> head, deputy principal and principal of various</w:t>
                      </w:r>
                      <w:r>
                        <w:rPr>
                          <w:rFonts w:ascii="Swis721 Lt BT"/>
                          <w:color w:val="231F20"/>
                          <w:spacing w:val="30"/>
                          <w:sz w:val="19"/>
                        </w:rPr>
                        <w:t> </w:t>
                      </w:r>
                      <w:r>
                        <w:rPr>
                          <w:rFonts w:ascii="Swis721 Lt BT"/>
                          <w:color w:val="231F20"/>
                          <w:sz w:val="19"/>
                        </w:rPr>
                        <w:t>schools throughout Australia.</w:t>
                      </w:r>
                      <w:r>
                        <w:rPr>
                          <w:rFonts w:ascii="Swis721 Lt BT"/>
                          <w:sz w:val="19"/>
                        </w:rPr>
                      </w:r>
                    </w:p>
                    <w:p>
                      <w:pPr>
                        <w:spacing w:before="113"/>
                        <w:ind w:left="2446" w:right="168"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Beth</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is</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committed</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to</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the</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education</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and</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equality</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of</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young</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women,</w:t>
                      </w:r>
                      <w:r>
                        <w:rPr>
                          <w:rFonts w:ascii="Swis721 Lt BT" w:hAnsi="Swis721 Lt BT" w:cs="Swis721 Lt BT" w:eastAsia="Swis721 Lt BT"/>
                          <w:color w:val="231F20"/>
                          <w:sz w:val="19"/>
                          <w:szCs w:val="19"/>
                        </w:rPr>
                        <w:t> and has served previously as President and Executive Board member of the Alliance of All Girls’ Schools Australasia. Beth has been a member of many committees and working parties for</w:t>
                      </w:r>
                      <w:r>
                        <w:rPr>
                          <w:rFonts w:ascii="Swis721 Lt BT" w:hAnsi="Swis721 Lt BT" w:cs="Swis721 Lt BT" w:eastAsia="Swis721 Lt BT"/>
                          <w:sz w:val="19"/>
                          <w:szCs w:val="19"/>
                        </w:rPr>
                      </w:r>
                    </w:p>
                    <w:p>
                      <w:pPr>
                        <w:spacing w:before="0"/>
                        <w:ind w:left="2446" w:right="410" w:firstLine="0"/>
                        <w:jc w:val="left"/>
                        <w:rPr>
                          <w:rFonts w:ascii="Swis721 Lt BT" w:hAnsi="Swis721 Lt BT" w:cs="Swis721 Lt BT" w:eastAsia="Swis721 Lt BT"/>
                          <w:sz w:val="19"/>
                          <w:szCs w:val="19"/>
                        </w:rPr>
                      </w:pPr>
                      <w:r>
                        <w:rPr>
                          <w:rFonts w:ascii="Swis721 Lt BT"/>
                          <w:color w:val="231F20"/>
                          <w:sz w:val="19"/>
                        </w:rPr>
                        <w:t>the Association of Independent Schools of </w:t>
                      </w:r>
                      <w:r>
                        <w:rPr>
                          <w:rFonts w:ascii="Swis721 Lt BT"/>
                          <w:color w:val="231F20"/>
                          <w:spacing w:val="-1"/>
                          <w:sz w:val="19"/>
                        </w:rPr>
                        <w:t>Western</w:t>
                      </w:r>
                      <w:r>
                        <w:rPr>
                          <w:rFonts w:ascii="Swis721 Lt BT"/>
                          <w:color w:val="231F20"/>
                          <w:sz w:val="19"/>
                        </w:rPr>
                        <w:t> Australia.</w:t>
                      </w:r>
                      <w:r>
                        <w:rPr>
                          <w:rFonts w:ascii="Swis721 Lt BT"/>
                          <w:color w:val="231F20"/>
                          <w:spacing w:val="23"/>
                          <w:sz w:val="19"/>
                        </w:rPr>
                        <w:t> </w:t>
                      </w:r>
                      <w:r>
                        <w:rPr>
                          <w:rFonts w:ascii="Swis721 Lt BT"/>
                          <w:color w:val="231F20"/>
                          <w:sz w:val="19"/>
                        </w:rPr>
                        <w:t>She is currently a Director of the Australian Council on Children</w:t>
                      </w:r>
                      <w:r>
                        <w:rPr>
                          <w:rFonts w:ascii="Swis721 Lt BT"/>
                          <w:color w:val="231F20"/>
                          <w:sz w:val="19"/>
                        </w:rPr>
                        <w:t> and the Media.</w:t>
                      </w:r>
                      <w:r>
                        <w:rPr>
                          <w:rFonts w:ascii="Swis721 Lt BT"/>
                          <w:sz w:val="19"/>
                        </w:rPr>
                      </w:r>
                    </w:p>
                    <w:p>
                      <w:pPr>
                        <w:spacing w:before="113"/>
                        <w:ind w:left="2446" w:right="744"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Other areas of interest include the education of Indigenous students, international baccalaureate programs, positive </w:t>
                      </w:r>
                      <w:r>
                        <w:rPr>
                          <w:rFonts w:ascii="Swis721 Lt BT" w:hAnsi="Swis721 Lt BT" w:cs="Swis721 Lt BT" w:eastAsia="Swis721 Lt BT"/>
                          <w:color w:val="231F20"/>
                          <w:spacing w:val="-2"/>
                          <w:sz w:val="19"/>
                          <w:szCs w:val="19"/>
                        </w:rPr>
                        <w:t>psychology,</w:t>
                      </w:r>
                      <w:r>
                        <w:rPr>
                          <w:rFonts w:ascii="Swis721 Lt BT" w:hAnsi="Swis721 Lt BT" w:cs="Swis721 Lt BT" w:eastAsia="Swis721 Lt BT"/>
                          <w:color w:val="231F20"/>
                          <w:sz w:val="19"/>
                          <w:szCs w:val="19"/>
                        </w:rPr>
                        <w:t> technology as an educational tool and</w:t>
                      </w:r>
                      <w:r>
                        <w:rPr>
                          <w:rFonts w:ascii="Swis721 Lt BT" w:hAnsi="Swis721 Lt BT" w:cs="Swis721 Lt BT" w:eastAsia="Swis721 Lt BT"/>
                          <w:color w:val="231F20"/>
                          <w:spacing w:val="27"/>
                          <w:sz w:val="19"/>
                          <w:szCs w:val="19"/>
                        </w:rPr>
                        <w:t> </w:t>
                      </w:r>
                      <w:r>
                        <w:rPr>
                          <w:rFonts w:ascii="Swis721 Lt BT" w:hAnsi="Swis721 Lt BT" w:cs="Swis721 Lt BT" w:eastAsia="Swis721 Lt BT"/>
                          <w:color w:val="231F20"/>
                          <w:sz w:val="19"/>
                          <w:szCs w:val="19"/>
                        </w:rPr>
                        <w:t>women’s leadership.</w:t>
                      </w:r>
                      <w:r>
                        <w:rPr>
                          <w:rFonts w:ascii="Swis721 Lt BT" w:hAnsi="Swis721 Lt BT" w:cs="Swis721 Lt BT" w:eastAsia="Swis721 Lt BT"/>
                          <w:sz w:val="19"/>
                          <w:szCs w:val="19"/>
                        </w:rPr>
                      </w:r>
                    </w:p>
                  </w:txbxContent>
                </v:textbox>
                <w10:wrap type="none"/>
              </v:shape>
            </v:group>
          </v:group>
        </w:pict>
      </w:r>
      <w:r>
        <w:rPr>
          <w:rFonts w:ascii="Swis721 Lt BT" w:hAnsi="Swis721 Lt BT" w:cs="Swis721 Lt BT" w:eastAsia="Swis721 Lt BT"/>
          <w:sz w:val="20"/>
          <w:szCs w:val="20"/>
        </w:rPr>
      </w:r>
    </w:p>
    <w:p>
      <w:pPr>
        <w:spacing w:after="0" w:line="200" w:lineRule="atLeast"/>
        <w:rPr>
          <w:rFonts w:ascii="Swis721 Lt BT" w:hAnsi="Swis721 Lt BT" w:cs="Swis721 Lt BT" w:eastAsia="Swis721 Lt BT"/>
          <w:sz w:val="20"/>
          <w:szCs w:val="20"/>
        </w:rPr>
        <w:sectPr>
          <w:type w:val="continuous"/>
          <w:pgSz w:w="9980" w:h="14180"/>
          <w:pgMar w:top="0" w:bottom="280" w:left="740" w:right="1020"/>
        </w:sectPr>
      </w:pPr>
    </w:p>
    <w:p>
      <w:pPr>
        <w:spacing w:before="58"/>
        <w:ind w:left="0" w:right="10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1"/>
        <w:rPr>
          <w:rFonts w:ascii="Swis721 Lt BT" w:hAnsi="Swis721 Lt BT" w:cs="Swis721 Lt BT" w:eastAsia="Swis721 Lt BT"/>
          <w:sz w:val="11"/>
          <w:szCs w:val="11"/>
        </w:rPr>
      </w:pPr>
    </w:p>
    <w:p>
      <w:pPr>
        <w:spacing w:line="200" w:lineRule="atLeast"/>
        <w:ind w:left="113"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399.7pt;height:214.9pt;mso-position-horizontal-relative:char;mso-position-vertical-relative:line" coordorigin="0,0" coordsize="7994,4298">
            <v:group style="position:absolute;left:0;top:0;width:2277;height:4298" coordorigin="0,0" coordsize="2277,4298">
              <v:shape style="position:absolute;left:0;top:0;width:2277;height:4298" coordorigin="0,0" coordsize="2277,4298" path="m2277,0l0,0,0,4297,2277,4297,2277,0xe" filled="true" fillcolor="#dae7e8" stroked="false">
                <v:path arrowok="t"/>
                <v:fill type="solid"/>
              </v:shape>
            </v:group>
            <v:group style="position:absolute;left:2277;top:0;width:5718;height:4298" coordorigin="2277,0" coordsize="5718,4298">
              <v:shape style="position:absolute;left:2277;top:0;width:5718;height:4298" coordorigin="2277,0" coordsize="5718,4298" path="m7994,0l2277,0,2277,4297,7994,4297,7994,0xe" filled="true" fillcolor="#dae7e8" stroked="false">
                <v:path arrowok="t"/>
                <v:fill type="solid"/>
              </v:shape>
              <v:shape style="position:absolute;left:173;top:173;width:2024;height:2530" type="#_x0000_t75" stroked="false">
                <v:imagedata r:id="rId65" o:title=""/>
              </v:shape>
            </v:group>
            <v:group style="position:absolute;left:173;top:173;width:2024;height:2530" coordorigin="173,173" coordsize="2024,2530">
              <v:shape style="position:absolute;left:173;top:173;width:2024;height:2530" coordorigin="173,173" coordsize="2024,2530" path="m173,2703l2197,2703,2197,173,173,173,173,2703xe" filled="false" stroked="true" strokeweight=".3pt" strokecolor="#71797f">
                <v:path arrowok="t"/>
              </v:shape>
              <v:shape style="position:absolute;left:170;top:3061;width:1928;height:960" type="#_x0000_t202" filled="false" stroked="false">
                <v:textbox inset="0,0,0,0">
                  <w:txbxContent>
                    <w:p>
                      <w:pPr>
                        <w:spacing w:line="166" w:lineRule="exact" w:before="0"/>
                        <w:ind w:left="0" w:right="0" w:firstLine="0"/>
                        <w:jc w:val="left"/>
                        <w:rPr>
                          <w:rFonts w:ascii="Swis721 Md BT" w:hAnsi="Swis721 Md BT" w:cs="Swis721 Md BT" w:eastAsia="Swis721 Md BT"/>
                          <w:sz w:val="16"/>
                          <w:szCs w:val="16"/>
                        </w:rPr>
                      </w:pPr>
                      <w:r>
                        <w:rPr>
                          <w:rFonts w:ascii="Swis721 Md BT"/>
                          <w:i/>
                          <w:color w:val="303B41"/>
                          <w:sz w:val="16"/>
                        </w:rPr>
                        <w:t>Dr Jennifer Buckingham</w:t>
                      </w:r>
                      <w:r>
                        <w:rPr>
                          <w:rFonts w:ascii="Swis721 Md BT"/>
                          <w:sz w:val="16"/>
                        </w:rPr>
                      </w:r>
                    </w:p>
                    <w:p>
                      <w:pPr>
                        <w:spacing w:line="250" w:lineRule="auto" w:before="8"/>
                        <w:ind w:left="0" w:right="256" w:firstLine="0"/>
                        <w:jc w:val="left"/>
                        <w:rPr>
                          <w:rFonts w:ascii="Swis721 Md BT" w:hAnsi="Swis721 Md BT" w:cs="Swis721 Md BT" w:eastAsia="Swis721 Md BT"/>
                          <w:sz w:val="16"/>
                          <w:szCs w:val="16"/>
                        </w:rPr>
                      </w:pPr>
                      <w:r>
                        <w:rPr>
                          <w:rFonts w:ascii="Swis721 Md BT"/>
                          <w:i/>
                          <w:color w:val="303B41"/>
                          <w:sz w:val="16"/>
                        </w:rPr>
                        <w:t>was appointed to the AITSL Board on 2 June 2015, and reappointed</w:t>
                      </w:r>
                      <w:r>
                        <w:rPr>
                          <w:rFonts w:ascii="Swis721 Md BT"/>
                          <w:sz w:val="16"/>
                        </w:rPr>
                      </w:r>
                    </w:p>
                    <w:p>
                      <w:pPr>
                        <w:spacing w:line="185" w:lineRule="exact" w:before="0"/>
                        <w:ind w:left="0" w:right="0" w:firstLine="0"/>
                        <w:jc w:val="left"/>
                        <w:rPr>
                          <w:rFonts w:ascii="Swis721 Md BT" w:hAnsi="Swis721 Md BT" w:cs="Swis721 Md BT" w:eastAsia="Swis721 Md BT"/>
                          <w:sz w:val="16"/>
                          <w:szCs w:val="16"/>
                        </w:rPr>
                      </w:pPr>
                      <w:r>
                        <w:rPr>
                          <w:rFonts w:ascii="Swis721 Md BT"/>
                          <w:i/>
                          <w:color w:val="303B41"/>
                          <w:sz w:val="16"/>
                        </w:rPr>
                        <w:t>effective from 2 June 2018</w:t>
                      </w:r>
                      <w:r>
                        <w:rPr>
                          <w:rFonts w:ascii="Swis721 Md BT"/>
                          <w:sz w:val="16"/>
                        </w:rPr>
                      </w:r>
                    </w:p>
                  </w:txbxContent>
                </v:textbox>
                <w10:wrap type="none"/>
              </v:shape>
              <v:shape style="position:absolute;left:2447;top:170;width:5216;height:3995" type="#_x0000_t202" filled="false" stroked="false">
                <v:textbox inset="0,0,0,0">
                  <w:txbxContent>
                    <w:p>
                      <w:pPr>
                        <w:spacing w:line="229" w:lineRule="exact" w:before="0"/>
                        <w:ind w:left="0" w:right="0" w:firstLine="0"/>
                        <w:jc w:val="left"/>
                        <w:rPr>
                          <w:rFonts w:ascii="Swis721 Md BT" w:hAnsi="Swis721 Md BT" w:cs="Swis721 Md BT" w:eastAsia="Swis721 Md BT"/>
                          <w:sz w:val="22"/>
                          <w:szCs w:val="22"/>
                        </w:rPr>
                      </w:pPr>
                      <w:r>
                        <w:rPr>
                          <w:rFonts w:ascii="Swis721 Md BT"/>
                          <w:color w:val="00757A"/>
                          <w:sz w:val="22"/>
                        </w:rPr>
                        <w:t>Dr Jennifer Buckingham</w:t>
                      </w:r>
                      <w:r>
                        <w:rPr>
                          <w:rFonts w:ascii="Swis721 Md BT"/>
                          <w:sz w:val="22"/>
                        </w:rPr>
                      </w:r>
                    </w:p>
                    <w:p>
                      <w:pPr>
                        <w:spacing w:before="34"/>
                        <w:ind w:left="0" w:right="0" w:firstLine="0"/>
                        <w:jc w:val="left"/>
                        <w:rPr>
                          <w:rFonts w:ascii="Swis721 Lt BT" w:hAnsi="Swis721 Lt BT" w:cs="Swis721 Lt BT" w:eastAsia="Swis721 Lt BT"/>
                          <w:sz w:val="18"/>
                          <w:szCs w:val="18"/>
                        </w:rPr>
                      </w:pPr>
                      <w:r>
                        <w:rPr>
                          <w:rFonts w:ascii="Swis721 Lt BT"/>
                          <w:i/>
                          <w:color w:val="00757A"/>
                          <w:spacing w:val="3"/>
                          <w:sz w:val="18"/>
                        </w:rPr>
                        <w:t>B</w:t>
                      </w:r>
                      <w:r>
                        <w:rPr>
                          <w:rFonts w:ascii="Swis721 Lt BT"/>
                          <w:i/>
                          <w:color w:val="00757A"/>
                          <w:sz w:val="18"/>
                        </w:rPr>
                        <w:t>Sc (Hons) PhD</w:t>
                      </w:r>
                      <w:r>
                        <w:rPr>
                          <w:rFonts w:ascii="Swis721 Lt BT"/>
                          <w:sz w:val="18"/>
                        </w:rPr>
                      </w:r>
                    </w:p>
                    <w:p>
                      <w:pPr>
                        <w:spacing w:before="104"/>
                        <w:ind w:left="0" w:right="0" w:firstLine="0"/>
                        <w:jc w:val="left"/>
                        <w:rPr>
                          <w:rFonts w:ascii="Swis721 Md BT" w:hAnsi="Swis721 Md BT" w:cs="Swis721 Md BT" w:eastAsia="Swis721 Md BT"/>
                          <w:sz w:val="19"/>
                          <w:szCs w:val="19"/>
                        </w:rPr>
                      </w:pPr>
                      <w:r>
                        <w:rPr>
                          <w:rFonts w:ascii="Swis721 Md BT"/>
                          <w:color w:val="303B41"/>
                          <w:sz w:val="19"/>
                        </w:rPr>
                        <w:t>Non-Executive Director</w:t>
                      </w:r>
                      <w:r>
                        <w:rPr>
                          <w:rFonts w:ascii="Swis721 Md BT"/>
                          <w:sz w:val="19"/>
                        </w:rPr>
                      </w:r>
                    </w:p>
                    <w:p>
                      <w:pPr>
                        <w:spacing w:before="113"/>
                        <w:ind w:left="0" w:right="171" w:firstLine="0"/>
                        <w:jc w:val="left"/>
                        <w:rPr>
                          <w:rFonts w:ascii="Swis721 Lt BT" w:hAnsi="Swis721 Lt BT" w:cs="Swis721 Lt BT" w:eastAsia="Swis721 Lt BT"/>
                          <w:sz w:val="19"/>
                          <w:szCs w:val="19"/>
                        </w:rPr>
                      </w:pPr>
                      <w:r>
                        <w:rPr>
                          <w:rFonts w:ascii="Swis721 Lt BT"/>
                          <w:color w:val="231F20"/>
                          <w:sz w:val="19"/>
                        </w:rPr>
                        <w:t>Dr Jennifer Buckingham is Director of Strategy and Senior Research </w:t>
                      </w:r>
                      <w:r>
                        <w:rPr>
                          <w:rFonts w:ascii="Swis721 Lt BT"/>
                          <w:color w:val="231F20"/>
                          <w:spacing w:val="-1"/>
                          <w:sz w:val="19"/>
                        </w:rPr>
                        <w:t>Fellow</w:t>
                      </w:r>
                      <w:r>
                        <w:rPr>
                          <w:rFonts w:ascii="Swis721 Lt BT"/>
                          <w:color w:val="231F20"/>
                          <w:sz w:val="19"/>
                        </w:rPr>
                        <w:t> at MultiLit. She is also the founder of the</w:t>
                      </w:r>
                      <w:r>
                        <w:rPr>
                          <w:rFonts w:ascii="Swis721 Lt BT"/>
                          <w:color w:val="231F20"/>
                          <w:spacing w:val="21"/>
                          <w:sz w:val="19"/>
                        </w:rPr>
                        <w:t> </w:t>
                      </w:r>
                      <w:r>
                        <w:rPr>
                          <w:rFonts w:ascii="Swis721 Lt BT"/>
                          <w:color w:val="231F20"/>
                          <w:sz w:val="19"/>
                        </w:rPr>
                        <w:t>FIVE from FIVE reading project, which aims to bridge the gap</w:t>
                      </w:r>
                      <w:r>
                        <w:rPr>
                          <w:rFonts w:ascii="Swis721 Lt BT"/>
                          <w:color w:val="231F20"/>
                          <w:sz w:val="19"/>
                        </w:rPr>
                        <w:t> between research and practice in reading instruction. Jennifer</w:t>
                      </w:r>
                      <w:r>
                        <w:rPr>
                          <w:rFonts w:ascii="Swis721 Lt BT"/>
                          <w:sz w:val="19"/>
                        </w:rPr>
                      </w:r>
                    </w:p>
                    <w:p>
                      <w:pPr>
                        <w:spacing w:before="0"/>
                        <w:ind w:left="0" w:right="91" w:firstLine="0"/>
                        <w:jc w:val="left"/>
                        <w:rPr>
                          <w:rFonts w:ascii="Swis721 Lt BT" w:hAnsi="Swis721 Lt BT" w:cs="Swis721 Lt BT" w:eastAsia="Swis721 Lt BT"/>
                          <w:sz w:val="19"/>
                          <w:szCs w:val="19"/>
                        </w:rPr>
                      </w:pPr>
                      <w:r>
                        <w:rPr>
                          <w:rFonts w:ascii="Swis721 Lt BT"/>
                          <w:color w:val="231F20"/>
                          <w:sz w:val="19"/>
                        </w:rPr>
                        <w:t>was previously Senior Research </w:t>
                      </w:r>
                      <w:r>
                        <w:rPr>
                          <w:rFonts w:ascii="Swis721 Lt BT"/>
                          <w:color w:val="231F20"/>
                          <w:spacing w:val="-1"/>
                          <w:sz w:val="19"/>
                        </w:rPr>
                        <w:t>Fellow</w:t>
                      </w:r>
                      <w:r>
                        <w:rPr>
                          <w:rFonts w:ascii="Swis721 Lt BT"/>
                          <w:color w:val="231F20"/>
                          <w:sz w:val="19"/>
                        </w:rPr>
                        <w:t> and Head of Education</w:t>
                      </w:r>
                      <w:r>
                        <w:rPr>
                          <w:rFonts w:ascii="Swis721 Lt BT"/>
                          <w:color w:val="231F20"/>
                          <w:spacing w:val="21"/>
                          <w:sz w:val="19"/>
                        </w:rPr>
                        <w:t> </w:t>
                      </w:r>
                      <w:r>
                        <w:rPr>
                          <w:rFonts w:ascii="Swis721 Lt BT"/>
                          <w:color w:val="231F20"/>
                          <w:sz w:val="19"/>
                        </w:rPr>
                        <w:t>Research at the Centre for Independent Studies (CIS).</w:t>
                      </w:r>
                      <w:r>
                        <w:rPr>
                          <w:rFonts w:ascii="Swis721 Lt BT"/>
                          <w:sz w:val="19"/>
                        </w:rPr>
                      </w:r>
                    </w:p>
                    <w:p>
                      <w:pPr>
                        <w:spacing w:before="113"/>
                        <w:ind w:left="0" w:right="0"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Jennifer has published papers and articles on </w:t>
                      </w:r>
                      <w:r>
                        <w:rPr>
                          <w:rFonts w:ascii="Swis721 Lt BT" w:hAnsi="Swis721 Lt BT" w:cs="Swis721 Lt BT" w:eastAsia="Swis721 Lt BT"/>
                          <w:color w:val="231F20"/>
                          <w:spacing w:val="-2"/>
                          <w:sz w:val="19"/>
                          <w:szCs w:val="19"/>
                        </w:rPr>
                        <w:t>literacy,</w:t>
                      </w:r>
                      <w:r>
                        <w:rPr>
                          <w:rFonts w:ascii="Swis721 Lt BT" w:hAnsi="Swis721 Lt BT" w:cs="Swis721 Lt BT" w:eastAsia="Swis721 Lt BT"/>
                          <w:color w:val="231F20"/>
                          <w:sz w:val="19"/>
                          <w:szCs w:val="19"/>
                        </w:rPr>
                        <w:t> teacher</w:t>
                      </w:r>
                      <w:r>
                        <w:rPr>
                          <w:rFonts w:ascii="Swis721 Lt BT" w:hAnsi="Swis721 Lt BT" w:cs="Swis721 Lt BT" w:eastAsia="Swis721 Lt BT"/>
                          <w:color w:val="231F20"/>
                          <w:spacing w:val="23"/>
                          <w:sz w:val="19"/>
                          <w:szCs w:val="19"/>
                        </w:rPr>
                        <w:t> </w:t>
                      </w:r>
                      <w:r>
                        <w:rPr>
                          <w:rFonts w:ascii="Swis721 Lt BT" w:hAnsi="Swis721 Lt BT" w:cs="Swis721 Lt BT" w:eastAsia="Swis721 Lt BT"/>
                          <w:color w:val="231F20"/>
                          <w:sz w:val="19"/>
                          <w:szCs w:val="19"/>
                        </w:rPr>
                        <w:t>education, school funding, international assessments, NAPLAN</w:t>
                      </w:r>
                      <w:r>
                        <w:rPr>
                          <w:rFonts w:ascii="Swis721 Lt BT" w:hAnsi="Swis721 Lt BT" w:cs="Swis721 Lt BT" w:eastAsia="Swis721 Lt BT"/>
                          <w:color w:val="231F20"/>
                          <w:sz w:val="19"/>
                          <w:szCs w:val="19"/>
                        </w:rPr>
                        <w:t> and My School, class size, and educational disadvantage. In early 2017, Jennifer chaired an expert advisory panel for the Australian Government on the introduction of a national </w:t>
                      </w:r>
                      <w:r>
                        <w:rPr>
                          <w:rFonts w:ascii="Swis721 Lt BT" w:hAnsi="Swis721 Lt BT" w:cs="Swis721 Lt BT" w:eastAsia="Swis721 Lt BT"/>
                          <w:color w:val="231F20"/>
                          <w:spacing w:val="-5"/>
                          <w:sz w:val="19"/>
                          <w:szCs w:val="19"/>
                        </w:rPr>
                        <w:t>Year</w:t>
                      </w:r>
                      <w:r>
                        <w:rPr>
                          <w:rFonts w:ascii="Swis721 Lt BT" w:hAnsi="Swis721 Lt BT" w:cs="Swis721 Lt BT" w:eastAsia="Swis721 Lt BT"/>
                          <w:color w:val="231F20"/>
                          <w:sz w:val="19"/>
                          <w:szCs w:val="19"/>
                        </w:rPr>
                        <w:t> 1</w:t>
                      </w:r>
                      <w:r>
                        <w:rPr>
                          <w:rFonts w:ascii="Swis721 Lt BT" w:hAnsi="Swis721 Lt BT" w:cs="Swis721 Lt BT" w:eastAsia="Swis721 Lt BT"/>
                          <w:color w:val="231F20"/>
                          <w:spacing w:val="22"/>
                          <w:sz w:val="19"/>
                          <w:szCs w:val="19"/>
                        </w:rPr>
                        <w:t> </w:t>
                      </w:r>
                      <w:r>
                        <w:rPr>
                          <w:rFonts w:ascii="Swis721 Lt BT" w:hAnsi="Swis721 Lt BT" w:cs="Swis721 Lt BT" w:eastAsia="Swis721 Lt BT"/>
                          <w:color w:val="231F20"/>
                          <w:sz w:val="19"/>
                          <w:szCs w:val="19"/>
                        </w:rPr>
                        <w:t>literacy and numeracy assessment. Jennifer’s doctoral research</w:t>
                      </w:r>
                      <w:r>
                        <w:rPr>
                          <w:rFonts w:ascii="Swis721 Lt BT" w:hAnsi="Swis721 Lt BT" w:cs="Swis721 Lt BT" w:eastAsia="Swis721 Lt BT"/>
                          <w:color w:val="231F20"/>
                          <w:sz w:val="19"/>
                          <w:szCs w:val="19"/>
                        </w:rPr>
                        <w:t> focused on literacy and social disadvantage.</w:t>
                      </w:r>
                      <w:r>
                        <w:rPr>
                          <w:rFonts w:ascii="Swis721 Lt BT" w:hAnsi="Swis721 Lt BT" w:cs="Swis721 Lt BT" w:eastAsia="Swis721 Lt BT"/>
                          <w:sz w:val="19"/>
                          <w:szCs w:val="19"/>
                        </w:rPr>
                      </w:r>
                    </w:p>
                  </w:txbxContent>
                </v:textbox>
                <w10:wrap type="none"/>
              </v:shape>
            </v:group>
          </v:group>
        </w:pict>
      </w:r>
      <w:r>
        <w:rPr>
          <w:rFonts w:ascii="Swis721 Lt BT" w:hAnsi="Swis721 Lt BT" w:cs="Swis721 Lt BT" w:eastAsia="Swis721 Lt BT"/>
          <w:sz w:val="20"/>
          <w:szCs w:val="20"/>
        </w:rPr>
      </w:r>
    </w:p>
    <w:p>
      <w:pPr>
        <w:spacing w:line="240" w:lineRule="auto" w:before="2"/>
        <w:rPr>
          <w:rFonts w:ascii="Swis721 Lt BT" w:hAnsi="Swis721 Lt BT" w:cs="Swis721 Lt BT" w:eastAsia="Swis721 Lt BT"/>
          <w:sz w:val="16"/>
          <w:szCs w:val="16"/>
        </w:rPr>
      </w:pPr>
    </w:p>
    <w:p>
      <w:pPr>
        <w:spacing w:line="200" w:lineRule="atLeast"/>
        <w:ind w:left="113"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399.7pt;height:226.3pt;mso-position-horizontal-relative:char;mso-position-vertical-relative:line" coordorigin="0,0" coordsize="7994,4526">
            <v:group style="position:absolute;left:0;top:0;width:2277;height:4526" coordorigin="0,0" coordsize="2277,4526">
              <v:shape style="position:absolute;left:0;top:0;width:2277;height:4526" coordorigin="0,0" coordsize="2277,4526" path="m2277,0l0,0,0,4525,2277,4525,2277,0xe" filled="true" fillcolor="#dae7e8" stroked="false">
                <v:path arrowok="t"/>
                <v:fill type="solid"/>
              </v:shape>
            </v:group>
            <v:group style="position:absolute;left:2277;top:0;width:5718;height:4526" coordorigin="2277,0" coordsize="5718,4526">
              <v:shape style="position:absolute;left:2277;top:0;width:5718;height:4526" coordorigin="2277,0" coordsize="5718,4526" path="m7994,0l2277,0,2277,4525,7994,4525,7994,0xe" filled="true" fillcolor="#dae7e8" stroked="false">
                <v:path arrowok="t"/>
                <v:fill type="solid"/>
              </v:shape>
              <v:shape style="position:absolute;left:173;top:173;width:2024;height:2530" type="#_x0000_t75" stroked="false">
                <v:imagedata r:id="rId66" o:title=""/>
              </v:shape>
            </v:group>
            <v:group style="position:absolute;left:173;top:173;width:2024;height:2530" coordorigin="173,173" coordsize="2024,2530">
              <v:shape style="position:absolute;left:173;top:173;width:2024;height:2530" coordorigin="173,173" coordsize="2024,2530" path="m173,2703l2197,2703,2197,173,173,173,173,2703xe" filled="false" stroked="true" strokeweight=".3pt" strokecolor="#71797f">
                <v:path arrowok="t"/>
              </v:shape>
              <v:shape style="position:absolute;left:170;top:3061;width:1872;height:960" type="#_x0000_t202" filled="false" stroked="false">
                <v:textbox inset="0,0,0,0">
                  <w:txbxContent>
                    <w:p>
                      <w:pPr>
                        <w:spacing w:line="166" w:lineRule="exact" w:before="0"/>
                        <w:ind w:left="0" w:right="0" w:firstLine="0"/>
                        <w:jc w:val="left"/>
                        <w:rPr>
                          <w:rFonts w:ascii="Swis721 Md BT" w:hAnsi="Swis721 Md BT" w:cs="Swis721 Md BT" w:eastAsia="Swis721 Md BT"/>
                          <w:sz w:val="16"/>
                          <w:szCs w:val="16"/>
                        </w:rPr>
                      </w:pPr>
                      <w:r>
                        <w:rPr>
                          <w:rFonts w:ascii="Swis721 Md BT"/>
                          <w:i/>
                          <w:color w:val="303B41"/>
                          <w:sz w:val="16"/>
                        </w:rPr>
                        <w:t>Mr </w:t>
                      </w:r>
                      <w:r>
                        <w:rPr>
                          <w:rFonts w:ascii="Swis721 Md BT"/>
                          <w:i/>
                          <w:color w:val="303B41"/>
                          <w:spacing w:val="-4"/>
                          <w:sz w:val="16"/>
                        </w:rPr>
                        <w:t>Tony</w:t>
                      </w:r>
                      <w:r>
                        <w:rPr>
                          <w:rFonts w:ascii="Swis721 Md BT"/>
                          <w:i/>
                          <w:color w:val="303B41"/>
                          <w:sz w:val="16"/>
                        </w:rPr>
                        <w:t> Cook PSM was</w:t>
                      </w:r>
                      <w:r>
                        <w:rPr>
                          <w:rFonts w:ascii="Swis721 Md BT"/>
                          <w:sz w:val="16"/>
                        </w:rPr>
                      </w:r>
                    </w:p>
                    <w:p>
                      <w:pPr>
                        <w:spacing w:line="250" w:lineRule="auto" w:before="8"/>
                        <w:ind w:left="0" w:right="0" w:firstLine="0"/>
                        <w:jc w:val="left"/>
                        <w:rPr>
                          <w:rFonts w:ascii="Swis721 Md BT" w:hAnsi="Swis721 Md BT" w:cs="Swis721 Md BT" w:eastAsia="Swis721 Md BT"/>
                          <w:sz w:val="16"/>
                          <w:szCs w:val="16"/>
                        </w:rPr>
                      </w:pPr>
                      <w:r>
                        <w:rPr>
                          <w:rFonts w:ascii="Swis721 Md BT"/>
                          <w:i/>
                          <w:color w:val="303B41"/>
                          <w:sz w:val="16"/>
                        </w:rPr>
                        <w:t>appointed to the AITSL Board on 2 June 2015, and reappointed effective from 2 June 2018</w:t>
                      </w:r>
                      <w:r>
                        <w:rPr>
                          <w:rFonts w:ascii="Swis721 Md BT"/>
                          <w:sz w:val="16"/>
                        </w:rPr>
                      </w:r>
                    </w:p>
                  </w:txbxContent>
                </v:textbox>
                <w10:wrap type="none"/>
              </v:shape>
              <v:shape style="position:absolute;left:2447;top:170;width:5354;height:4223" type="#_x0000_t202" filled="false" stroked="false">
                <v:textbox inset="0,0,0,0">
                  <w:txbxContent>
                    <w:p>
                      <w:pPr>
                        <w:spacing w:line="229" w:lineRule="exact" w:before="0"/>
                        <w:ind w:left="0" w:right="0" w:firstLine="0"/>
                        <w:jc w:val="left"/>
                        <w:rPr>
                          <w:rFonts w:ascii="Swis721 Md BT" w:hAnsi="Swis721 Md BT" w:cs="Swis721 Md BT" w:eastAsia="Swis721 Md BT"/>
                          <w:sz w:val="22"/>
                          <w:szCs w:val="22"/>
                        </w:rPr>
                      </w:pPr>
                      <w:r>
                        <w:rPr>
                          <w:rFonts w:ascii="Swis721 Md BT"/>
                          <w:color w:val="00757A"/>
                          <w:sz w:val="22"/>
                        </w:rPr>
                        <w:t>Mr </w:t>
                      </w:r>
                      <w:r>
                        <w:rPr>
                          <w:rFonts w:ascii="Swis721 Md BT"/>
                          <w:color w:val="00757A"/>
                          <w:spacing w:val="-28"/>
                          <w:sz w:val="22"/>
                        </w:rPr>
                        <w:t>T</w:t>
                      </w:r>
                      <w:r>
                        <w:rPr>
                          <w:rFonts w:ascii="Swis721 Md BT"/>
                          <w:color w:val="00757A"/>
                          <w:sz w:val="22"/>
                        </w:rPr>
                        <w:t>ony Cook PSM</w:t>
                      </w:r>
                      <w:r>
                        <w:rPr>
                          <w:rFonts w:ascii="Swis721 Md BT"/>
                          <w:sz w:val="22"/>
                        </w:rPr>
                      </w:r>
                    </w:p>
                    <w:p>
                      <w:pPr>
                        <w:spacing w:before="34"/>
                        <w:ind w:left="0" w:right="0" w:firstLine="0"/>
                        <w:jc w:val="left"/>
                        <w:rPr>
                          <w:rFonts w:ascii="Swis721 Lt BT" w:hAnsi="Swis721 Lt BT" w:cs="Swis721 Lt BT" w:eastAsia="Swis721 Lt BT"/>
                          <w:sz w:val="18"/>
                          <w:szCs w:val="18"/>
                        </w:rPr>
                      </w:pPr>
                      <w:r>
                        <w:rPr>
                          <w:rFonts w:ascii="Swis721 Lt BT"/>
                          <w:i/>
                          <w:color w:val="00757A"/>
                          <w:sz w:val="18"/>
                        </w:rPr>
                        <w:t>BEd </w:t>
                      </w:r>
                      <w:r>
                        <w:rPr>
                          <w:rFonts w:ascii="Swis721 Lt BT"/>
                          <w:i/>
                          <w:color w:val="00757A"/>
                          <w:spacing w:val="-3"/>
                          <w:sz w:val="18"/>
                        </w:rPr>
                        <w:t>DipTeach</w:t>
                      </w:r>
                      <w:r>
                        <w:rPr>
                          <w:rFonts w:ascii="Swis721 Lt BT"/>
                          <w:sz w:val="18"/>
                        </w:rPr>
                      </w:r>
                    </w:p>
                    <w:p>
                      <w:pPr>
                        <w:spacing w:before="104"/>
                        <w:ind w:left="0" w:right="0" w:firstLine="0"/>
                        <w:jc w:val="left"/>
                        <w:rPr>
                          <w:rFonts w:ascii="Swis721 Md BT" w:hAnsi="Swis721 Md BT" w:cs="Swis721 Md BT" w:eastAsia="Swis721 Md BT"/>
                          <w:sz w:val="19"/>
                          <w:szCs w:val="19"/>
                        </w:rPr>
                      </w:pPr>
                      <w:r>
                        <w:rPr>
                          <w:rFonts w:ascii="Swis721 Md BT"/>
                          <w:color w:val="303B41"/>
                          <w:sz w:val="19"/>
                        </w:rPr>
                        <w:t>Non-Executive Director</w:t>
                      </w:r>
                      <w:r>
                        <w:rPr>
                          <w:rFonts w:ascii="Swis721 Md BT"/>
                          <w:sz w:val="19"/>
                        </w:rPr>
                      </w:r>
                    </w:p>
                    <w:p>
                      <w:pPr>
                        <w:spacing w:before="113"/>
                        <w:ind w:left="0" w:right="61" w:firstLine="0"/>
                        <w:jc w:val="left"/>
                        <w:rPr>
                          <w:rFonts w:ascii="Swis721 Lt BT" w:hAnsi="Swis721 Lt BT" w:cs="Swis721 Lt BT" w:eastAsia="Swis721 Lt BT"/>
                          <w:sz w:val="19"/>
                          <w:szCs w:val="19"/>
                        </w:rPr>
                      </w:pPr>
                      <w:r>
                        <w:rPr>
                          <w:rFonts w:ascii="Swis721 Lt BT"/>
                          <w:color w:val="231F20"/>
                          <w:sz w:val="19"/>
                        </w:rPr>
                        <w:t>With a background in primary teaching, Mr </w:t>
                      </w:r>
                      <w:r>
                        <w:rPr>
                          <w:rFonts w:ascii="Swis721 Lt BT"/>
                          <w:color w:val="231F20"/>
                          <w:spacing w:val="-7"/>
                          <w:sz w:val="19"/>
                        </w:rPr>
                        <w:t>Tony</w:t>
                      </w:r>
                      <w:r>
                        <w:rPr>
                          <w:rFonts w:ascii="Swis721 Lt BT"/>
                          <w:color w:val="231F20"/>
                          <w:sz w:val="19"/>
                        </w:rPr>
                        <w:t> Cook has</w:t>
                      </w:r>
                      <w:r>
                        <w:rPr>
                          <w:rFonts w:ascii="Swis721 Lt BT"/>
                          <w:color w:val="231F20"/>
                          <w:spacing w:val="25"/>
                          <w:sz w:val="19"/>
                        </w:rPr>
                        <w:t> </w:t>
                      </w:r>
                      <w:r>
                        <w:rPr>
                          <w:rFonts w:ascii="Swis721 Lt BT"/>
                          <w:color w:val="231F20"/>
                          <w:sz w:val="19"/>
                        </w:rPr>
                        <w:t>worked as a teacher and a deputy principal in schools and</w:t>
                      </w:r>
                      <w:r>
                        <w:rPr>
                          <w:rFonts w:ascii="Swis721 Lt BT"/>
                          <w:color w:val="231F20"/>
                          <w:sz w:val="19"/>
                        </w:rPr>
                        <w:t> preschools in Queensland and the United Kingdom. He has worked in several senior executive education positions, including in the Australian Public Service as the Associate Secretary</w:t>
                      </w:r>
                      <w:r>
                        <w:rPr>
                          <w:rFonts w:ascii="Swis721 Lt BT"/>
                          <w:sz w:val="19"/>
                        </w:rPr>
                      </w:r>
                    </w:p>
                    <w:p>
                      <w:pPr>
                        <w:spacing w:before="0"/>
                        <w:ind w:left="0" w:right="430" w:firstLine="0"/>
                        <w:jc w:val="left"/>
                        <w:rPr>
                          <w:rFonts w:ascii="Swis721 Lt BT" w:hAnsi="Swis721 Lt BT" w:cs="Swis721 Lt BT" w:eastAsia="Swis721 Lt BT"/>
                          <w:sz w:val="19"/>
                          <w:szCs w:val="19"/>
                        </w:rPr>
                      </w:pPr>
                      <w:r>
                        <w:rPr>
                          <w:rFonts w:ascii="Swis721 Lt BT"/>
                          <w:color w:val="231F20"/>
                          <w:sz w:val="19"/>
                        </w:rPr>
                        <w:t>for schools and youth within the Department of Education and </w:t>
                      </w:r>
                      <w:r>
                        <w:rPr>
                          <w:rFonts w:ascii="Swis721 Lt BT"/>
                          <w:color w:val="231F20"/>
                          <w:spacing w:val="-3"/>
                          <w:sz w:val="19"/>
                        </w:rPr>
                        <w:t>Training,</w:t>
                      </w:r>
                      <w:r>
                        <w:rPr>
                          <w:rFonts w:ascii="Swis721 Lt BT"/>
                          <w:color w:val="231F20"/>
                          <w:sz w:val="19"/>
                        </w:rPr>
                        <w:t> and Deputy Secretary positions in the Victorian</w:t>
                      </w:r>
                      <w:r>
                        <w:rPr>
                          <w:rFonts w:ascii="Swis721 Lt BT"/>
                          <w:sz w:val="19"/>
                        </w:rPr>
                      </w:r>
                    </w:p>
                    <w:p>
                      <w:pPr>
                        <w:spacing w:before="0"/>
                        <w:ind w:left="0" w:right="0" w:firstLine="0"/>
                        <w:jc w:val="left"/>
                        <w:rPr>
                          <w:rFonts w:ascii="Swis721 Lt BT" w:hAnsi="Swis721 Lt BT" w:cs="Swis721 Lt BT" w:eastAsia="Swis721 Lt BT"/>
                          <w:sz w:val="19"/>
                          <w:szCs w:val="19"/>
                        </w:rPr>
                      </w:pPr>
                      <w:r>
                        <w:rPr>
                          <w:rFonts w:ascii="Swis721 Lt BT"/>
                          <w:color w:val="231F20"/>
                          <w:sz w:val="19"/>
                        </w:rPr>
                        <w:t>Department of Premier and Cabinet and the Victorian Department of Education and </w:t>
                      </w:r>
                      <w:r>
                        <w:rPr>
                          <w:rFonts w:ascii="Swis721 Lt BT"/>
                          <w:color w:val="231F20"/>
                          <w:spacing w:val="-3"/>
                          <w:sz w:val="19"/>
                        </w:rPr>
                        <w:t>Training.</w:t>
                      </w:r>
                      <w:r>
                        <w:rPr>
                          <w:rFonts w:ascii="Swis721 Lt BT"/>
                          <w:color w:val="231F20"/>
                          <w:sz w:val="19"/>
                        </w:rPr>
                        <w:t> In 2018, he was appointed </w:t>
                      </w:r>
                      <w:r>
                        <w:rPr>
                          <w:rFonts w:ascii="Swis721 Lt BT"/>
                          <w:color w:val="231F20"/>
                          <w:spacing w:val="-2"/>
                          <w:sz w:val="19"/>
                        </w:rPr>
                        <w:t>Director-</w:t>
                      </w:r>
                      <w:r>
                        <w:rPr>
                          <w:rFonts w:ascii="Swis721 Lt BT"/>
                          <w:color w:val="231F20"/>
                          <w:spacing w:val="31"/>
                          <w:sz w:val="19"/>
                        </w:rPr>
                        <w:t> </w:t>
                      </w:r>
                      <w:r>
                        <w:rPr>
                          <w:rFonts w:ascii="Swis721 Lt BT"/>
                          <w:color w:val="231F20"/>
                          <w:sz w:val="19"/>
                        </w:rPr>
                        <w:t>General of the Queensland Department of Education.</w:t>
                      </w:r>
                      <w:r>
                        <w:rPr>
                          <w:rFonts w:ascii="Swis721 Lt BT"/>
                          <w:sz w:val="19"/>
                        </w:rPr>
                      </w:r>
                    </w:p>
                    <w:p>
                      <w:pPr>
                        <w:spacing w:before="113"/>
                        <w:ind w:left="0" w:right="324" w:firstLine="0"/>
                        <w:jc w:val="left"/>
                        <w:rPr>
                          <w:rFonts w:ascii="Swis721 Lt BT" w:hAnsi="Swis721 Lt BT" w:cs="Swis721 Lt BT" w:eastAsia="Swis721 Lt BT"/>
                          <w:sz w:val="19"/>
                          <w:szCs w:val="19"/>
                        </w:rPr>
                      </w:pPr>
                      <w:r>
                        <w:rPr>
                          <w:rFonts w:ascii="Swis721 Lt BT"/>
                          <w:color w:val="231F20"/>
                          <w:sz w:val="19"/>
                        </w:rPr>
                        <w:t>In 2013, </w:t>
                      </w:r>
                      <w:r>
                        <w:rPr>
                          <w:rFonts w:ascii="Swis721 Lt BT"/>
                          <w:color w:val="231F20"/>
                          <w:spacing w:val="-7"/>
                          <w:sz w:val="19"/>
                        </w:rPr>
                        <w:t>Tony</w:t>
                      </w:r>
                      <w:r>
                        <w:rPr>
                          <w:rFonts w:ascii="Swis721 Lt BT"/>
                          <w:color w:val="231F20"/>
                          <w:sz w:val="19"/>
                        </w:rPr>
                        <w:t> was made an honorary </w:t>
                      </w:r>
                      <w:r>
                        <w:rPr>
                          <w:rFonts w:ascii="Swis721 Lt BT"/>
                          <w:color w:val="231F20"/>
                          <w:spacing w:val="-1"/>
                          <w:sz w:val="19"/>
                        </w:rPr>
                        <w:t>Fellow</w:t>
                      </w:r>
                      <w:r>
                        <w:rPr>
                          <w:rFonts w:ascii="Swis721 Lt BT"/>
                          <w:color w:val="231F20"/>
                          <w:sz w:val="19"/>
                        </w:rPr>
                        <w:t> of the Australian</w:t>
                      </w:r>
                      <w:r>
                        <w:rPr>
                          <w:rFonts w:ascii="Swis721 Lt BT"/>
                          <w:color w:val="231F20"/>
                          <w:spacing w:val="23"/>
                          <w:sz w:val="19"/>
                        </w:rPr>
                        <w:t> </w:t>
                      </w:r>
                      <w:r>
                        <w:rPr>
                          <w:rFonts w:ascii="Swis721 Lt BT"/>
                          <w:color w:val="231F20"/>
                          <w:sz w:val="19"/>
                        </w:rPr>
                        <w:t>Council for Educational Leaders and in 2014 he was awarded</w:t>
                      </w:r>
                      <w:r>
                        <w:rPr>
                          <w:rFonts w:ascii="Swis721 Lt BT"/>
                          <w:color w:val="231F20"/>
                          <w:sz w:val="19"/>
                        </w:rPr>
                        <w:t> a Public Service Medal for driving schools policy and funding</w:t>
                      </w:r>
                      <w:r>
                        <w:rPr>
                          <w:rFonts w:ascii="Swis721 Lt BT"/>
                          <w:color w:val="231F20"/>
                          <w:spacing w:val="21"/>
                          <w:sz w:val="19"/>
                        </w:rPr>
                        <w:t> </w:t>
                      </w:r>
                      <w:r>
                        <w:rPr>
                          <w:rFonts w:ascii="Swis721 Lt BT"/>
                          <w:color w:val="231F20"/>
                          <w:sz w:val="19"/>
                        </w:rPr>
                        <w:t>reform in Australia.</w:t>
                      </w:r>
                      <w:r>
                        <w:rPr>
                          <w:rFonts w:ascii="Swis721 Lt BT"/>
                          <w:sz w:val="19"/>
                        </w:rPr>
                      </w:r>
                    </w:p>
                  </w:txbxContent>
                </v:textbox>
                <w10:wrap type="none"/>
              </v:shape>
            </v:group>
          </v:group>
        </w:pict>
      </w:r>
      <w:r>
        <w:rPr>
          <w:rFonts w:ascii="Swis721 Lt BT" w:hAnsi="Swis721 Lt BT" w:cs="Swis721 Lt BT" w:eastAsia="Swis721 Lt BT"/>
          <w:sz w:val="20"/>
          <w:szCs w:val="20"/>
        </w:rPr>
      </w:r>
    </w:p>
    <w:p>
      <w:pPr>
        <w:spacing w:after="0" w:line="200" w:lineRule="atLeast"/>
        <w:rPr>
          <w:rFonts w:ascii="Swis721 Lt BT" w:hAnsi="Swis721 Lt BT" w:cs="Swis721 Lt BT" w:eastAsia="Swis721 Lt BT"/>
          <w:sz w:val="20"/>
          <w:szCs w:val="20"/>
        </w:rPr>
        <w:sectPr>
          <w:pgSz w:w="9980" w:h="14180"/>
          <w:pgMar w:header="0" w:footer="452" w:top="360" w:bottom="640" w:left="1020" w:right="740"/>
        </w:sectPr>
      </w:pPr>
    </w:p>
    <w:p>
      <w:pPr>
        <w:spacing w:before="48"/>
        <w:ind w:left="110" w:right="0" w:firstLine="0"/>
        <w:jc w:val="left"/>
        <w:rPr>
          <w:rFonts w:ascii="Swis721 Lt BT" w:hAnsi="Swis721 Lt BT" w:cs="Swis721 Lt BT" w:eastAsia="Swis721 Lt BT"/>
          <w:sz w:val="16"/>
          <w:szCs w:val="16"/>
        </w:rPr>
      </w:pPr>
      <w:r>
        <w:rPr>
          <w:rFonts w:ascii="Swis721 BT" w:hAnsi="Swis721 BT" w:cs="Swis721 BT" w:eastAsia="Swis721 BT"/>
          <w:b/>
          <w:bCs/>
          <w:color w:val="00757A"/>
          <w:sz w:val="16"/>
          <w:szCs w:val="16"/>
        </w:rPr>
        <w:t>DIRECTORS’ REPORT </w:t>
      </w:r>
      <w:r>
        <w:rPr>
          <w:rFonts w:ascii="Swis721 Lt BT" w:hAnsi="Swis721 Lt BT" w:cs="Swis721 Lt BT" w:eastAsia="Swis721 Lt BT"/>
          <w:color w:val="00757A"/>
          <w:sz w:val="16"/>
          <w:szCs w:val="16"/>
        </w:rPr>
        <w:t>CONTINUED</w:t>
      </w:r>
      <w:r>
        <w:rPr>
          <w:rFonts w:ascii="Swis721 Lt BT" w:hAnsi="Swis721 Lt BT" w:cs="Swis721 Lt BT" w:eastAsia="Swis721 Lt BT"/>
          <w:sz w:val="16"/>
          <w:szCs w:val="16"/>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1"/>
        <w:rPr>
          <w:rFonts w:ascii="Swis721 Lt BT" w:hAnsi="Swis721 Lt BT" w:cs="Swis721 Lt BT" w:eastAsia="Swis721 Lt BT"/>
          <w:sz w:val="13"/>
          <w:szCs w:val="13"/>
        </w:rPr>
      </w:pPr>
    </w:p>
    <w:p>
      <w:pPr>
        <w:spacing w:line="200" w:lineRule="atLeast"/>
        <w:ind w:left="110"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399.7pt;height:214.9pt;mso-position-horizontal-relative:char;mso-position-vertical-relative:line" coordorigin="0,0" coordsize="7994,4298">
            <v:group style="position:absolute;left:0;top:1;width:2277;height:4296" coordorigin="0,1" coordsize="2277,4296">
              <v:shape style="position:absolute;left:0;top:1;width:2277;height:4296" coordorigin="0,1" coordsize="2277,4296" path="m2277,1l0,1,0,4297,2277,4297,2277,1xe" filled="true" fillcolor="#dae7e8" stroked="false">
                <v:path arrowok="t"/>
                <v:fill type="solid"/>
              </v:shape>
            </v:group>
            <v:group style="position:absolute;left:2277;top:1;width:2;height:4296" coordorigin="2277,1" coordsize="2,4296">
              <v:shape style="position:absolute;left:2277;top:1;width:2;height:4296" coordorigin="2277,1" coordsize="0,4296" path="m2277,1l2277,4297e" filled="false" stroked="true" strokeweight=".101pt" strokecolor="#dae7e8">
                <v:path arrowok="t"/>
              </v:shape>
            </v:group>
            <v:group style="position:absolute;left:2277;top:1;width:5718;height:4296" coordorigin="2277,1" coordsize="5718,4296">
              <v:shape style="position:absolute;left:2277;top:1;width:5718;height:4296" coordorigin="2277,1" coordsize="5718,4296" path="m7994,1l2277,1,2277,4297,7994,4297,7994,1xe" filled="true" fillcolor="#dae7e8" stroked="false">
                <v:path arrowok="t"/>
                <v:fill type="solid"/>
              </v:shape>
              <v:shape style="position:absolute;left:173;top:174;width:2024;height:2530" type="#_x0000_t75" stroked="false">
                <v:imagedata r:id="rId67" o:title=""/>
              </v:shape>
            </v:group>
            <v:group style="position:absolute;left:173;top:174;width:2024;height:2530" coordorigin="173,174" coordsize="2024,2530">
              <v:shape style="position:absolute;left:173;top:174;width:2024;height:2530" coordorigin="173,174" coordsize="2024,2530" path="m173,2704l2197,2704,2197,174,173,174,173,2704xe" filled="false" stroked="true" strokeweight=".3pt" strokecolor="#71797f">
                <v:path arrowok="t"/>
              </v:shape>
              <v:shape style="position:absolute;left:0;top:1;width:2277;height:4296" type="#_x0000_t202" filled="false" stroked="false">
                <v:textbox inset="0,0,0,0">
                  <w:txbxContent>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2"/>
                        <w:rPr>
                          <w:rFonts w:ascii="Swis721 Lt BT" w:hAnsi="Swis721 Lt BT" w:cs="Swis721 Lt BT" w:eastAsia="Swis721 Lt BT"/>
                          <w:sz w:val="13"/>
                          <w:szCs w:val="13"/>
                        </w:rPr>
                      </w:pPr>
                    </w:p>
                    <w:p>
                      <w:pPr>
                        <w:spacing w:line="250" w:lineRule="auto" w:before="0"/>
                        <w:ind w:left="170" w:right="434" w:firstLine="0"/>
                        <w:jc w:val="left"/>
                        <w:rPr>
                          <w:rFonts w:ascii="Swis721 Md BT" w:hAnsi="Swis721 Md BT" w:cs="Swis721 Md BT" w:eastAsia="Swis721 Md BT"/>
                          <w:sz w:val="16"/>
                          <w:szCs w:val="16"/>
                        </w:rPr>
                      </w:pPr>
                      <w:r>
                        <w:rPr>
                          <w:rFonts w:ascii="Swis721 Md BT"/>
                          <w:i/>
                          <w:color w:val="303B41"/>
                          <w:sz w:val="16"/>
                        </w:rPr>
                        <w:t>Ms Alex Gordon was appointed to the AITSL Board on 9 November 2018</w:t>
                      </w:r>
                      <w:r>
                        <w:rPr>
                          <w:rFonts w:ascii="Swis721 Md BT"/>
                          <w:sz w:val="16"/>
                        </w:rPr>
                      </w:r>
                    </w:p>
                  </w:txbxContent>
                </v:textbox>
                <w10:wrap type="none"/>
              </v:shape>
              <v:shape style="position:absolute;left:0;top:0;width:7994;height:4298" type="#_x0000_t202" filled="false" stroked="false">
                <v:textbox inset="0,0,0,0">
                  <w:txbxContent>
                    <w:p>
                      <w:pPr>
                        <w:spacing w:before="136"/>
                        <w:ind w:left="2446" w:right="0" w:firstLine="0"/>
                        <w:jc w:val="left"/>
                        <w:rPr>
                          <w:rFonts w:ascii="Swis721 Md BT" w:hAnsi="Swis721 Md BT" w:cs="Swis721 Md BT" w:eastAsia="Swis721 Md BT"/>
                          <w:sz w:val="22"/>
                          <w:szCs w:val="22"/>
                        </w:rPr>
                      </w:pPr>
                      <w:r>
                        <w:rPr>
                          <w:rFonts w:ascii="Swis721 Md BT"/>
                          <w:color w:val="00757A"/>
                          <w:sz w:val="22"/>
                        </w:rPr>
                        <w:t>Ms Alex Gordon</w:t>
                      </w:r>
                      <w:r>
                        <w:rPr>
                          <w:rFonts w:ascii="Swis721 Md BT"/>
                          <w:sz w:val="22"/>
                        </w:rPr>
                      </w:r>
                    </w:p>
                    <w:p>
                      <w:pPr>
                        <w:spacing w:before="34"/>
                        <w:ind w:left="2446" w:right="0" w:firstLine="0"/>
                        <w:jc w:val="left"/>
                        <w:rPr>
                          <w:rFonts w:ascii="Swis721 Lt BT" w:hAnsi="Swis721 Lt BT" w:cs="Swis721 Lt BT" w:eastAsia="Swis721 Lt BT"/>
                          <w:sz w:val="18"/>
                          <w:szCs w:val="18"/>
                        </w:rPr>
                      </w:pPr>
                      <w:r>
                        <w:rPr>
                          <w:rFonts w:ascii="Swis721 Lt BT"/>
                          <w:i/>
                          <w:color w:val="00757A"/>
                          <w:spacing w:val="3"/>
                          <w:sz w:val="18"/>
                        </w:rPr>
                        <w:t>B</w:t>
                      </w:r>
                      <w:r>
                        <w:rPr>
                          <w:rFonts w:ascii="Swis721 Lt BT"/>
                          <w:i/>
                          <w:color w:val="00757A"/>
                          <w:sz w:val="18"/>
                        </w:rPr>
                        <w:t>Sc MSc</w:t>
                      </w:r>
                      <w:r>
                        <w:rPr>
                          <w:rFonts w:ascii="Swis721 Lt BT"/>
                          <w:sz w:val="18"/>
                        </w:rPr>
                      </w:r>
                    </w:p>
                    <w:p>
                      <w:pPr>
                        <w:spacing w:before="104"/>
                        <w:ind w:left="2446" w:right="0" w:firstLine="0"/>
                        <w:jc w:val="left"/>
                        <w:rPr>
                          <w:rFonts w:ascii="Swis721 Md BT" w:hAnsi="Swis721 Md BT" w:cs="Swis721 Md BT" w:eastAsia="Swis721 Md BT"/>
                          <w:sz w:val="19"/>
                          <w:szCs w:val="19"/>
                        </w:rPr>
                      </w:pPr>
                      <w:r>
                        <w:rPr>
                          <w:rFonts w:ascii="Swis721 Md BT"/>
                          <w:color w:val="303B41"/>
                          <w:sz w:val="19"/>
                        </w:rPr>
                        <w:t>Non-Executive Director</w:t>
                      </w:r>
                      <w:r>
                        <w:rPr>
                          <w:rFonts w:ascii="Swis721 Md BT"/>
                          <w:sz w:val="19"/>
                        </w:rPr>
                      </w:r>
                    </w:p>
                    <w:p>
                      <w:pPr>
                        <w:spacing w:before="113"/>
                        <w:ind w:left="2446" w:right="429" w:firstLine="0"/>
                        <w:jc w:val="left"/>
                        <w:rPr>
                          <w:rFonts w:ascii="Swis721 Lt BT" w:hAnsi="Swis721 Lt BT" w:cs="Swis721 Lt BT" w:eastAsia="Swis721 Lt BT"/>
                          <w:sz w:val="19"/>
                          <w:szCs w:val="19"/>
                        </w:rPr>
                      </w:pPr>
                      <w:r>
                        <w:rPr>
                          <w:rFonts w:ascii="Swis721 Lt BT"/>
                          <w:color w:val="231F20"/>
                          <w:sz w:val="19"/>
                        </w:rPr>
                        <w:t>Alex Gordon is the Deputy Secretary for the Schools and </w:t>
                      </w:r>
                      <w:r>
                        <w:rPr>
                          <w:rFonts w:ascii="Swis721 Lt BT"/>
                          <w:color w:val="231F20"/>
                          <w:spacing w:val="-4"/>
                          <w:sz w:val="19"/>
                        </w:rPr>
                        <w:t>Youth</w:t>
                      </w:r>
                      <w:r>
                        <w:rPr>
                          <w:rFonts w:ascii="Swis721 Lt BT"/>
                          <w:color w:val="231F20"/>
                          <w:spacing w:val="22"/>
                          <w:sz w:val="19"/>
                        </w:rPr>
                        <w:t> </w:t>
                      </w:r>
                      <w:r>
                        <w:rPr>
                          <w:rFonts w:ascii="Swis721 Lt BT"/>
                          <w:color w:val="231F20"/>
                          <w:sz w:val="19"/>
                        </w:rPr>
                        <w:t>Cluster in the Commonwealth Department of Education.</w:t>
                      </w:r>
                      <w:r>
                        <w:rPr>
                          <w:rFonts w:ascii="Swis721 Lt BT"/>
                          <w:sz w:val="19"/>
                        </w:rPr>
                      </w:r>
                    </w:p>
                    <w:p>
                      <w:pPr>
                        <w:spacing w:before="113"/>
                        <w:ind w:left="2446" w:right="479" w:firstLine="0"/>
                        <w:jc w:val="left"/>
                        <w:rPr>
                          <w:rFonts w:ascii="Swis721 Lt BT" w:hAnsi="Swis721 Lt BT" w:cs="Swis721 Lt BT" w:eastAsia="Swis721 Lt BT"/>
                          <w:sz w:val="19"/>
                          <w:szCs w:val="19"/>
                        </w:rPr>
                      </w:pPr>
                      <w:r>
                        <w:rPr>
                          <w:rFonts w:ascii="Swis721 Lt BT"/>
                          <w:color w:val="231F20"/>
                          <w:sz w:val="19"/>
                        </w:rPr>
                        <w:t>Since joining the department in 2010, Alex has held a number of senior leadership roles driving major reforms in school funding, data collection and analytics, national curriculum and assessment, quality teaching and preschool.</w:t>
                      </w:r>
                      <w:r>
                        <w:rPr>
                          <w:rFonts w:ascii="Swis721 Lt BT"/>
                          <w:sz w:val="19"/>
                        </w:rPr>
                      </w:r>
                    </w:p>
                    <w:p>
                      <w:pPr>
                        <w:spacing w:before="113"/>
                        <w:ind w:left="2446" w:right="349" w:firstLine="0"/>
                        <w:jc w:val="left"/>
                        <w:rPr>
                          <w:rFonts w:ascii="Swis721 Lt BT" w:hAnsi="Swis721 Lt BT" w:cs="Swis721 Lt BT" w:eastAsia="Swis721 Lt BT"/>
                          <w:sz w:val="19"/>
                          <w:szCs w:val="19"/>
                        </w:rPr>
                      </w:pPr>
                      <w:r>
                        <w:rPr>
                          <w:rFonts w:ascii="Swis721 Lt BT"/>
                          <w:color w:val="231F20"/>
                          <w:sz w:val="19"/>
                        </w:rPr>
                        <w:t>Alex has worked across a range of public policy issues within government, community organisations and the private </w:t>
                      </w:r>
                      <w:r>
                        <w:rPr>
                          <w:rFonts w:ascii="Swis721 Lt BT"/>
                          <w:color w:val="231F20"/>
                          <w:spacing w:val="-3"/>
                          <w:sz w:val="19"/>
                        </w:rPr>
                        <w:t>sector.</w:t>
                      </w:r>
                      <w:r>
                        <w:rPr>
                          <w:rFonts w:ascii="Swis721 Lt BT"/>
                          <w:color w:val="231F20"/>
                          <w:spacing w:val="23"/>
                          <w:sz w:val="19"/>
                        </w:rPr>
                        <w:t> </w:t>
                      </w:r>
                      <w:r>
                        <w:rPr>
                          <w:rFonts w:ascii="Swis721 Lt BT"/>
                          <w:color w:val="231F20"/>
                          <w:sz w:val="19"/>
                        </w:rPr>
                        <w:t>This includes working on issues of social </w:t>
                      </w:r>
                      <w:r>
                        <w:rPr>
                          <w:rFonts w:ascii="Swis721 Lt BT"/>
                          <w:color w:val="231F20"/>
                          <w:spacing w:val="-3"/>
                          <w:sz w:val="19"/>
                        </w:rPr>
                        <w:t>policy,</w:t>
                      </w:r>
                      <w:r>
                        <w:rPr>
                          <w:rFonts w:ascii="Swis721 Lt BT"/>
                          <w:color w:val="231F20"/>
                          <w:sz w:val="19"/>
                        </w:rPr>
                        <w:t> energy and</w:t>
                      </w:r>
                      <w:r>
                        <w:rPr>
                          <w:rFonts w:ascii="Swis721 Lt BT"/>
                          <w:color w:val="231F20"/>
                          <w:spacing w:val="26"/>
                          <w:sz w:val="19"/>
                        </w:rPr>
                        <w:t> </w:t>
                      </w:r>
                      <w:r>
                        <w:rPr>
                          <w:rFonts w:ascii="Swis721 Lt BT"/>
                          <w:color w:val="231F20"/>
                          <w:sz w:val="19"/>
                        </w:rPr>
                        <w:t>climate change, </w:t>
                      </w:r>
                      <w:r>
                        <w:rPr>
                          <w:rFonts w:ascii="Swis721 Lt BT"/>
                          <w:color w:val="231F20"/>
                          <w:spacing w:val="-3"/>
                          <w:sz w:val="19"/>
                        </w:rPr>
                        <w:t>water,</w:t>
                      </w:r>
                      <w:r>
                        <w:rPr>
                          <w:rFonts w:ascii="Swis721 Lt BT"/>
                          <w:color w:val="231F20"/>
                          <w:sz w:val="19"/>
                        </w:rPr>
                        <w:t> infrastructure and regional development.</w:t>
                      </w:r>
                      <w:r>
                        <w:rPr>
                          <w:rFonts w:ascii="Swis721 Lt BT"/>
                          <w:sz w:val="19"/>
                        </w:rPr>
                      </w:r>
                    </w:p>
                    <w:p>
                      <w:pPr>
                        <w:spacing w:before="113"/>
                        <w:ind w:left="2446" w:right="421" w:firstLine="0"/>
                        <w:jc w:val="left"/>
                        <w:rPr>
                          <w:rFonts w:ascii="Swis721 Lt BT" w:hAnsi="Swis721 Lt BT" w:cs="Swis721 Lt BT" w:eastAsia="Swis721 Lt BT"/>
                          <w:sz w:val="19"/>
                          <w:szCs w:val="19"/>
                        </w:rPr>
                      </w:pPr>
                      <w:r>
                        <w:rPr>
                          <w:rFonts w:ascii="Swis721 Lt BT"/>
                          <w:color w:val="231F20"/>
                          <w:sz w:val="19"/>
                        </w:rPr>
                        <w:t>Alex holds a Bachelor of Science from the University of Sydney and a Master of Science from the University of Oxford.</w:t>
                      </w:r>
                      <w:r>
                        <w:rPr>
                          <w:rFonts w:ascii="Swis721 Lt BT"/>
                          <w:sz w:val="19"/>
                        </w:rPr>
                      </w:r>
                    </w:p>
                  </w:txbxContent>
                </v:textbox>
                <w10:wrap type="none"/>
              </v:shape>
            </v:group>
          </v:group>
        </w:pict>
      </w:r>
      <w:r>
        <w:rPr>
          <w:rFonts w:ascii="Swis721 Lt BT" w:hAnsi="Swis721 Lt BT" w:cs="Swis721 Lt BT" w:eastAsia="Swis721 Lt BT"/>
          <w:sz w:val="20"/>
          <w:szCs w:val="20"/>
        </w:rPr>
      </w:r>
    </w:p>
    <w:p>
      <w:pPr>
        <w:spacing w:line="240" w:lineRule="auto" w:before="12"/>
        <w:rPr>
          <w:rFonts w:ascii="Swis721 Lt BT" w:hAnsi="Swis721 Lt BT" w:cs="Swis721 Lt BT" w:eastAsia="Swis721 Lt BT"/>
          <w:sz w:val="15"/>
          <w:szCs w:val="15"/>
        </w:rPr>
      </w:pPr>
    </w:p>
    <w:p>
      <w:pPr>
        <w:spacing w:line="200" w:lineRule="atLeast"/>
        <w:ind w:left="110"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399.7pt;height:243.45pt;mso-position-horizontal-relative:char;mso-position-vertical-relative:line" coordorigin="0,0" coordsize="7994,4869">
            <v:group style="position:absolute;left:0;top:1;width:2277;height:4867" coordorigin="0,1" coordsize="2277,4867">
              <v:shape style="position:absolute;left:0;top:1;width:2277;height:4867" coordorigin="0,1" coordsize="2277,4867" path="m2277,1l0,1,0,4867,2277,4867,2277,1xe" filled="true" fillcolor="#dae7e8" stroked="false">
                <v:path arrowok="t"/>
                <v:fill type="solid"/>
              </v:shape>
            </v:group>
            <v:group style="position:absolute;left:2277;top:1;width:2;height:4867" coordorigin="2277,1" coordsize="2,4867">
              <v:shape style="position:absolute;left:2277;top:1;width:2;height:4867" coordorigin="2277,1" coordsize="0,4867" path="m2277,1l2277,4867e" filled="false" stroked="true" strokeweight=".101pt" strokecolor="#dae7e8">
                <v:path arrowok="t"/>
              </v:shape>
            </v:group>
            <v:group style="position:absolute;left:2277;top:1;width:5718;height:4867" coordorigin="2277,1" coordsize="5718,4867">
              <v:shape style="position:absolute;left:2277;top:1;width:5718;height:4867" coordorigin="2277,1" coordsize="5718,4867" path="m7994,1l2277,1,2277,4867,7994,4867,7994,1xe" filled="true" fillcolor="#dae7e8" stroked="false">
                <v:path arrowok="t"/>
                <v:fill type="solid"/>
              </v:shape>
              <v:shape style="position:absolute;left:173;top:174;width:2024;height:2530" type="#_x0000_t75" stroked="false">
                <v:imagedata r:id="rId68" o:title=""/>
              </v:shape>
            </v:group>
            <v:group style="position:absolute;left:173;top:174;width:2024;height:2530" coordorigin="173,174" coordsize="2024,2530">
              <v:shape style="position:absolute;left:173;top:174;width:2024;height:2530" coordorigin="173,174" coordsize="2024,2530" path="m173,2704l2197,2704,2197,174,173,174,173,2704xe" filled="false" stroked="true" strokeweight=".3pt" strokecolor="#71797f">
                <v:path arrowok="t"/>
              </v:shape>
              <v:shape style="position:absolute;left:0;top:1;width:2277;height:4867" type="#_x0000_t202" filled="false" stroked="false">
                <v:textbox inset="0,0,0,0">
                  <w:txbxContent>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2"/>
                        <w:rPr>
                          <w:rFonts w:ascii="Swis721 Lt BT" w:hAnsi="Swis721 Lt BT" w:cs="Swis721 Lt BT" w:eastAsia="Swis721 Lt BT"/>
                          <w:sz w:val="13"/>
                          <w:szCs w:val="13"/>
                        </w:rPr>
                      </w:pPr>
                    </w:p>
                    <w:p>
                      <w:pPr>
                        <w:spacing w:line="250" w:lineRule="auto" w:before="0"/>
                        <w:ind w:left="170" w:right="372" w:firstLine="0"/>
                        <w:jc w:val="left"/>
                        <w:rPr>
                          <w:rFonts w:ascii="Swis721 Md BT" w:hAnsi="Swis721 Md BT" w:cs="Swis721 Md BT" w:eastAsia="Swis721 Md BT"/>
                          <w:sz w:val="16"/>
                          <w:szCs w:val="16"/>
                        </w:rPr>
                      </w:pPr>
                      <w:r>
                        <w:rPr>
                          <w:rFonts w:ascii="Swis721 Md BT"/>
                          <w:i/>
                          <w:color w:val="303B41"/>
                          <w:sz w:val="16"/>
                        </w:rPr>
                        <w:t>Ms Renez Lammon was appointed to the AITSL Board on 17 June 2018</w:t>
                      </w:r>
                      <w:r>
                        <w:rPr>
                          <w:rFonts w:ascii="Swis721 Md BT"/>
                          <w:sz w:val="16"/>
                        </w:rPr>
                      </w:r>
                    </w:p>
                  </w:txbxContent>
                </v:textbox>
                <w10:wrap type="none"/>
              </v:shape>
              <v:shape style="position:absolute;left:0;top:0;width:7994;height:4869" type="#_x0000_t202" filled="false" stroked="false">
                <v:textbox inset="0,0,0,0">
                  <w:txbxContent>
                    <w:p>
                      <w:pPr>
                        <w:spacing w:before="136"/>
                        <w:ind w:left="2446" w:right="0" w:firstLine="0"/>
                        <w:jc w:val="left"/>
                        <w:rPr>
                          <w:rFonts w:ascii="Swis721 Md BT" w:hAnsi="Swis721 Md BT" w:cs="Swis721 Md BT" w:eastAsia="Swis721 Md BT"/>
                          <w:sz w:val="22"/>
                          <w:szCs w:val="22"/>
                        </w:rPr>
                      </w:pPr>
                      <w:r>
                        <w:rPr>
                          <w:rFonts w:ascii="Swis721 Md BT"/>
                          <w:color w:val="00757A"/>
                          <w:sz w:val="22"/>
                        </w:rPr>
                        <w:t>Ms Renez Lammon</w:t>
                      </w:r>
                      <w:r>
                        <w:rPr>
                          <w:rFonts w:ascii="Swis721 Md BT"/>
                          <w:sz w:val="22"/>
                        </w:rPr>
                      </w:r>
                    </w:p>
                    <w:p>
                      <w:pPr>
                        <w:spacing w:before="34"/>
                        <w:ind w:left="2446" w:right="0" w:firstLine="0"/>
                        <w:jc w:val="left"/>
                        <w:rPr>
                          <w:rFonts w:ascii="Swis721 Lt BT" w:hAnsi="Swis721 Lt BT" w:cs="Swis721 Lt BT" w:eastAsia="Swis721 Lt BT"/>
                          <w:sz w:val="18"/>
                          <w:szCs w:val="18"/>
                        </w:rPr>
                      </w:pPr>
                      <w:r>
                        <w:rPr>
                          <w:rFonts w:ascii="Swis721 Lt BT"/>
                          <w:i/>
                          <w:color w:val="00757A"/>
                          <w:sz w:val="18"/>
                        </w:rPr>
                        <w:t>BEd</w:t>
                      </w:r>
                      <w:r>
                        <w:rPr>
                          <w:rFonts w:ascii="Swis721 Lt BT"/>
                          <w:sz w:val="18"/>
                        </w:rPr>
                      </w:r>
                    </w:p>
                    <w:p>
                      <w:pPr>
                        <w:spacing w:before="104"/>
                        <w:ind w:left="2446" w:right="0" w:firstLine="0"/>
                        <w:jc w:val="left"/>
                        <w:rPr>
                          <w:rFonts w:ascii="Swis721 Md BT" w:hAnsi="Swis721 Md BT" w:cs="Swis721 Md BT" w:eastAsia="Swis721 Md BT"/>
                          <w:sz w:val="19"/>
                          <w:szCs w:val="19"/>
                        </w:rPr>
                      </w:pPr>
                      <w:r>
                        <w:rPr>
                          <w:rFonts w:ascii="Swis721 Md BT"/>
                          <w:color w:val="303B41"/>
                          <w:sz w:val="19"/>
                        </w:rPr>
                        <w:t>Non-Executive Director</w:t>
                      </w:r>
                      <w:r>
                        <w:rPr>
                          <w:rFonts w:ascii="Swis721 Md BT"/>
                          <w:sz w:val="19"/>
                        </w:rPr>
                      </w:r>
                    </w:p>
                    <w:p>
                      <w:pPr>
                        <w:spacing w:before="113"/>
                        <w:ind w:left="2446" w:right="311" w:firstLine="0"/>
                        <w:jc w:val="left"/>
                        <w:rPr>
                          <w:rFonts w:ascii="Swis721 Lt BT" w:hAnsi="Swis721 Lt BT" w:cs="Swis721 Lt BT" w:eastAsia="Swis721 Lt BT"/>
                          <w:sz w:val="19"/>
                          <w:szCs w:val="19"/>
                        </w:rPr>
                      </w:pPr>
                      <w:r>
                        <w:rPr>
                          <w:rFonts w:ascii="Swis721 Lt BT"/>
                          <w:color w:val="231F20"/>
                          <w:sz w:val="19"/>
                        </w:rPr>
                        <w:t>Ms</w:t>
                      </w:r>
                      <w:r>
                        <w:rPr>
                          <w:rFonts w:ascii="Swis721 Lt BT"/>
                          <w:color w:val="231F20"/>
                          <w:spacing w:val="-1"/>
                          <w:sz w:val="19"/>
                        </w:rPr>
                        <w:t> </w:t>
                      </w:r>
                      <w:r>
                        <w:rPr>
                          <w:rFonts w:ascii="Swis721 Lt BT"/>
                          <w:color w:val="231F20"/>
                          <w:sz w:val="19"/>
                        </w:rPr>
                        <w:t>Renez</w:t>
                      </w:r>
                      <w:r>
                        <w:rPr>
                          <w:rFonts w:ascii="Swis721 Lt BT"/>
                          <w:color w:val="231F20"/>
                          <w:spacing w:val="-1"/>
                          <w:sz w:val="19"/>
                        </w:rPr>
                        <w:t> </w:t>
                      </w:r>
                      <w:r>
                        <w:rPr>
                          <w:rFonts w:ascii="Swis721 Lt BT"/>
                          <w:color w:val="231F20"/>
                          <w:sz w:val="19"/>
                        </w:rPr>
                        <w:t>Lammon</w:t>
                      </w:r>
                      <w:r>
                        <w:rPr>
                          <w:rFonts w:ascii="Swis721 Lt BT"/>
                          <w:color w:val="231F20"/>
                          <w:spacing w:val="-1"/>
                          <w:sz w:val="19"/>
                        </w:rPr>
                        <w:t> </w:t>
                      </w:r>
                      <w:r>
                        <w:rPr>
                          <w:rFonts w:ascii="Swis721 Lt BT"/>
                          <w:color w:val="231F20"/>
                          <w:sz w:val="19"/>
                        </w:rPr>
                        <w:t>is</w:t>
                      </w:r>
                      <w:r>
                        <w:rPr>
                          <w:rFonts w:ascii="Swis721 Lt BT"/>
                          <w:color w:val="231F20"/>
                          <w:spacing w:val="-1"/>
                          <w:sz w:val="19"/>
                        </w:rPr>
                        <w:t> </w:t>
                      </w:r>
                      <w:r>
                        <w:rPr>
                          <w:rFonts w:ascii="Swis721 Lt BT"/>
                          <w:color w:val="231F20"/>
                          <w:sz w:val="19"/>
                        </w:rPr>
                        <w:t>a</w:t>
                      </w:r>
                      <w:r>
                        <w:rPr>
                          <w:rFonts w:ascii="Swis721 Lt BT"/>
                          <w:color w:val="231F20"/>
                          <w:spacing w:val="-1"/>
                          <w:sz w:val="19"/>
                        </w:rPr>
                        <w:t> </w:t>
                      </w:r>
                      <w:r>
                        <w:rPr>
                          <w:rFonts w:ascii="Swis721 Lt BT"/>
                          <w:color w:val="231F20"/>
                          <w:sz w:val="19"/>
                        </w:rPr>
                        <w:t>nationally certified</w:t>
                      </w:r>
                      <w:r>
                        <w:rPr>
                          <w:rFonts w:ascii="Swis721 Lt BT"/>
                          <w:color w:val="231F20"/>
                          <w:spacing w:val="-1"/>
                          <w:sz w:val="19"/>
                        </w:rPr>
                        <w:t> </w:t>
                      </w:r>
                      <w:r>
                        <w:rPr>
                          <w:rFonts w:ascii="Swis721 Lt BT"/>
                          <w:color w:val="231F20"/>
                          <w:sz w:val="19"/>
                        </w:rPr>
                        <w:t>Highly</w:t>
                      </w:r>
                      <w:r>
                        <w:rPr>
                          <w:rFonts w:ascii="Swis721 Lt BT"/>
                          <w:color w:val="231F20"/>
                          <w:spacing w:val="-1"/>
                          <w:sz w:val="19"/>
                        </w:rPr>
                        <w:t> </w:t>
                      </w:r>
                      <w:r>
                        <w:rPr>
                          <w:rFonts w:ascii="Swis721 Lt BT"/>
                          <w:color w:val="231F20"/>
                          <w:sz w:val="19"/>
                        </w:rPr>
                        <w:t>Accomplished</w:t>
                      </w:r>
                      <w:r>
                        <w:rPr>
                          <w:rFonts w:ascii="Swis721 Lt BT"/>
                          <w:color w:val="231F20"/>
                          <w:sz w:val="19"/>
                        </w:rPr>
                        <w:t> teacher and the Assistant Principal at Casuarina Street Primary School in Katherine in the Northern </w:t>
                      </w:r>
                      <w:r>
                        <w:rPr>
                          <w:rFonts w:ascii="Swis721 Lt BT"/>
                          <w:color w:val="231F20"/>
                          <w:spacing w:val="-26"/>
                          <w:sz w:val="19"/>
                        </w:rPr>
                        <w:t>T</w:t>
                      </w:r>
                      <w:r>
                        <w:rPr>
                          <w:rFonts w:ascii="Swis721 Lt BT"/>
                          <w:color w:val="231F20"/>
                          <w:sz w:val="19"/>
                        </w:rPr>
                        <w:t>erritor</w:t>
                      </w:r>
                      <w:r>
                        <w:rPr>
                          <w:rFonts w:ascii="Swis721 Lt BT"/>
                          <w:color w:val="231F20"/>
                          <w:spacing w:val="-15"/>
                          <w:sz w:val="19"/>
                        </w:rPr>
                        <w:t>y</w:t>
                      </w:r>
                      <w:r>
                        <w:rPr>
                          <w:rFonts w:ascii="Swis721 Lt BT"/>
                          <w:color w:val="231F20"/>
                          <w:sz w:val="19"/>
                        </w:rPr>
                        <w:t>. Renez, a Lead</w:t>
                      </w:r>
                      <w:r>
                        <w:rPr>
                          <w:rFonts w:ascii="Swis721 Lt BT"/>
                          <w:color w:val="231F20"/>
                          <w:sz w:val="19"/>
                        </w:rPr>
                        <w:t> Impact Coach, leads teams of teachers and provides coaching and mentoring to support her colleagues.</w:t>
                      </w:r>
                      <w:r>
                        <w:rPr>
                          <w:rFonts w:ascii="Swis721 Lt BT"/>
                          <w:sz w:val="19"/>
                        </w:rPr>
                      </w:r>
                    </w:p>
                    <w:p>
                      <w:pPr>
                        <w:spacing w:before="113"/>
                        <w:ind w:left="2446" w:right="172" w:firstLine="0"/>
                        <w:jc w:val="left"/>
                        <w:rPr>
                          <w:rFonts w:ascii="Swis721 Lt BT" w:hAnsi="Swis721 Lt BT" w:cs="Swis721 Lt BT" w:eastAsia="Swis721 Lt BT"/>
                          <w:sz w:val="19"/>
                          <w:szCs w:val="19"/>
                        </w:rPr>
                      </w:pPr>
                      <w:r>
                        <w:rPr>
                          <w:rFonts w:ascii="Swis721 Lt BT"/>
                          <w:color w:val="231F20"/>
                          <w:sz w:val="19"/>
                        </w:rPr>
                        <w:t>Renez has led change at both national and territory levels, promoting the value of Highly Accomplished and Lead </w:t>
                      </w:r>
                      <w:r>
                        <w:rPr>
                          <w:rFonts w:ascii="Swis721 Lt BT"/>
                          <w:color w:val="231F20"/>
                          <w:spacing w:val="-26"/>
                          <w:sz w:val="19"/>
                        </w:rPr>
                        <w:t>T</w:t>
                      </w:r>
                      <w:r>
                        <w:rPr>
                          <w:rFonts w:ascii="Swis721 Lt BT"/>
                          <w:color w:val="231F20"/>
                          <w:sz w:val="19"/>
                        </w:rPr>
                        <w:t>eachers</w:t>
                      </w:r>
                      <w:r>
                        <w:rPr>
                          <w:rFonts w:ascii="Swis721 Lt BT"/>
                          <w:color w:val="231F20"/>
                          <w:sz w:val="19"/>
                        </w:rPr>
                        <w:t> </w:t>
                      </w:r>
                      <w:r>
                        <w:rPr>
                          <w:rFonts w:ascii="Swis721 Lt BT"/>
                          <w:color w:val="231F20"/>
                          <w:spacing w:val="-6"/>
                          <w:sz w:val="19"/>
                        </w:rPr>
                        <w:t>(HALTs)</w:t>
                      </w:r>
                      <w:r>
                        <w:rPr>
                          <w:rFonts w:ascii="Swis721 Lt BT"/>
                          <w:color w:val="231F20"/>
                          <w:spacing w:val="-2"/>
                          <w:sz w:val="19"/>
                        </w:rPr>
                        <w:t> </w:t>
                      </w:r>
                      <w:r>
                        <w:rPr>
                          <w:rFonts w:ascii="Swis721 Lt BT"/>
                          <w:color w:val="231F20"/>
                          <w:sz w:val="19"/>
                        </w:rPr>
                        <w:t>and</w:t>
                      </w:r>
                      <w:r>
                        <w:rPr>
                          <w:rFonts w:ascii="Swis721 Lt BT"/>
                          <w:color w:val="231F20"/>
                          <w:spacing w:val="-1"/>
                          <w:sz w:val="19"/>
                        </w:rPr>
                        <w:t> </w:t>
                      </w:r>
                      <w:r>
                        <w:rPr>
                          <w:rFonts w:ascii="Swis721 Lt BT"/>
                          <w:color w:val="231F20"/>
                          <w:sz w:val="19"/>
                        </w:rPr>
                        <w:t>the</w:t>
                      </w:r>
                      <w:r>
                        <w:rPr>
                          <w:rFonts w:ascii="Swis721 Lt BT"/>
                          <w:color w:val="231F20"/>
                          <w:spacing w:val="-1"/>
                          <w:sz w:val="19"/>
                        </w:rPr>
                        <w:t> </w:t>
                      </w:r>
                      <w:r>
                        <w:rPr>
                          <w:rFonts w:ascii="Swis721 Lt BT"/>
                          <w:color w:val="231F20"/>
                          <w:sz w:val="19"/>
                        </w:rPr>
                        <w:t>place</w:t>
                      </w:r>
                      <w:r>
                        <w:rPr>
                          <w:rFonts w:ascii="Swis721 Lt BT"/>
                          <w:color w:val="231F20"/>
                          <w:spacing w:val="-1"/>
                          <w:sz w:val="19"/>
                        </w:rPr>
                        <w:t> </w:t>
                      </w:r>
                      <w:r>
                        <w:rPr>
                          <w:rFonts w:ascii="Swis721 Lt BT"/>
                          <w:color w:val="231F20"/>
                          <w:sz w:val="19"/>
                        </w:rPr>
                        <w:t>of</w:t>
                      </w:r>
                      <w:r>
                        <w:rPr>
                          <w:rFonts w:ascii="Swis721 Lt BT"/>
                          <w:color w:val="231F20"/>
                          <w:spacing w:val="-1"/>
                          <w:sz w:val="19"/>
                        </w:rPr>
                        <w:t> </w:t>
                      </w:r>
                      <w:r>
                        <w:rPr>
                          <w:rFonts w:ascii="Swis721 Lt BT"/>
                          <w:color w:val="231F20"/>
                          <w:sz w:val="19"/>
                        </w:rPr>
                        <w:t>national</w:t>
                      </w:r>
                      <w:r>
                        <w:rPr>
                          <w:rFonts w:ascii="Swis721 Lt BT"/>
                          <w:color w:val="231F20"/>
                          <w:spacing w:val="-2"/>
                          <w:sz w:val="19"/>
                        </w:rPr>
                        <w:t> </w:t>
                      </w:r>
                      <w:r>
                        <w:rPr>
                          <w:rFonts w:ascii="Swis721 Lt BT"/>
                          <w:color w:val="231F20"/>
                          <w:sz w:val="19"/>
                        </w:rPr>
                        <w:t>certification</w:t>
                      </w:r>
                      <w:r>
                        <w:rPr>
                          <w:rFonts w:ascii="Swis721 Lt BT"/>
                          <w:color w:val="231F20"/>
                          <w:spacing w:val="-1"/>
                          <w:sz w:val="19"/>
                        </w:rPr>
                        <w:t> </w:t>
                      </w:r>
                      <w:r>
                        <w:rPr>
                          <w:rFonts w:ascii="Swis721 Lt BT"/>
                          <w:color w:val="231F20"/>
                          <w:sz w:val="19"/>
                        </w:rPr>
                        <w:t>supporting</w:t>
                      </w:r>
                      <w:r>
                        <w:rPr>
                          <w:rFonts w:ascii="Swis721 Lt BT"/>
                          <w:color w:val="231F20"/>
                          <w:spacing w:val="-1"/>
                          <w:sz w:val="19"/>
                        </w:rPr>
                        <w:t> </w:t>
                      </w:r>
                      <w:r>
                        <w:rPr>
                          <w:rFonts w:ascii="Swis721 Lt BT"/>
                          <w:color w:val="231F20"/>
                          <w:sz w:val="19"/>
                        </w:rPr>
                        <w:t>teachers</w:t>
                      </w:r>
                      <w:r>
                        <w:rPr>
                          <w:rFonts w:ascii="Swis721 Lt BT"/>
                          <w:color w:val="231F20"/>
                          <w:spacing w:val="20"/>
                          <w:sz w:val="19"/>
                        </w:rPr>
                        <w:t> </w:t>
                      </w:r>
                      <w:r>
                        <w:rPr>
                          <w:rFonts w:ascii="Swis721 Lt BT"/>
                          <w:color w:val="231F20"/>
                          <w:sz w:val="19"/>
                        </w:rPr>
                        <w:t>to lead improvement in their own schools.</w:t>
                      </w:r>
                      <w:r>
                        <w:rPr>
                          <w:rFonts w:ascii="Swis721 Lt BT"/>
                          <w:sz w:val="19"/>
                        </w:rPr>
                      </w:r>
                    </w:p>
                    <w:p>
                      <w:pPr>
                        <w:spacing w:before="113"/>
                        <w:ind w:left="2446" w:right="566" w:firstLine="0"/>
                        <w:jc w:val="left"/>
                        <w:rPr>
                          <w:rFonts w:ascii="Swis721 Lt BT" w:hAnsi="Swis721 Lt BT" w:cs="Swis721 Lt BT" w:eastAsia="Swis721 Lt BT"/>
                          <w:sz w:val="19"/>
                          <w:szCs w:val="19"/>
                        </w:rPr>
                      </w:pPr>
                      <w:r>
                        <w:rPr>
                          <w:rFonts w:ascii="Swis721 Lt BT"/>
                          <w:color w:val="231F20"/>
                          <w:sz w:val="19"/>
                        </w:rPr>
                        <w:t>Renez is passionate about unleashing the expertise already in place in schools across the </w:t>
                      </w:r>
                      <w:r>
                        <w:rPr>
                          <w:rFonts w:ascii="Swis721 Lt BT"/>
                          <w:color w:val="231F20"/>
                          <w:spacing w:val="-2"/>
                          <w:sz w:val="19"/>
                        </w:rPr>
                        <w:t>country,</w:t>
                      </w:r>
                      <w:r>
                        <w:rPr>
                          <w:rFonts w:ascii="Swis721 Lt BT"/>
                          <w:color w:val="231F20"/>
                          <w:sz w:val="19"/>
                        </w:rPr>
                        <w:t> and the importance of</w:t>
                      </w:r>
                      <w:r>
                        <w:rPr>
                          <w:rFonts w:ascii="Swis721 Lt BT"/>
                          <w:sz w:val="19"/>
                        </w:rPr>
                      </w:r>
                    </w:p>
                    <w:p>
                      <w:pPr>
                        <w:spacing w:before="0"/>
                        <w:ind w:left="2446" w:right="216" w:firstLine="0"/>
                        <w:jc w:val="left"/>
                        <w:rPr>
                          <w:rFonts w:ascii="Swis721 Lt BT" w:hAnsi="Swis721 Lt BT" w:cs="Swis721 Lt BT" w:eastAsia="Swis721 Lt BT"/>
                          <w:sz w:val="19"/>
                          <w:szCs w:val="19"/>
                        </w:rPr>
                      </w:pPr>
                      <w:r>
                        <w:rPr>
                          <w:rFonts w:ascii="Swis721 Lt BT"/>
                          <w:color w:val="231F20"/>
                          <w:sz w:val="19"/>
                        </w:rPr>
                        <w:t>evidence and the national professional standards in supporting teachers to recognise and articulate the impact they are having on their colleagues, their communities and most </w:t>
                      </w:r>
                      <w:r>
                        <w:rPr>
                          <w:rFonts w:ascii="Swis721 Lt BT"/>
                          <w:color w:val="231F20"/>
                          <w:spacing w:val="-2"/>
                          <w:sz w:val="19"/>
                        </w:rPr>
                        <w:t>importantly,</w:t>
                      </w:r>
                      <w:r>
                        <w:rPr>
                          <w:rFonts w:ascii="Swis721 Lt BT"/>
                          <w:color w:val="231F20"/>
                          <w:sz w:val="19"/>
                        </w:rPr>
                        <w:t> their</w:t>
                      </w:r>
                      <w:r>
                        <w:rPr>
                          <w:rFonts w:ascii="Swis721 Lt BT"/>
                          <w:color w:val="231F20"/>
                          <w:spacing w:val="29"/>
                          <w:sz w:val="19"/>
                        </w:rPr>
                        <w:t> </w:t>
                      </w:r>
                      <w:r>
                        <w:rPr>
                          <w:rFonts w:ascii="Swis721 Lt BT"/>
                          <w:color w:val="231F20"/>
                          <w:sz w:val="19"/>
                        </w:rPr>
                        <w:t>students.</w:t>
                      </w:r>
                      <w:r>
                        <w:rPr>
                          <w:rFonts w:ascii="Swis721 Lt BT"/>
                          <w:sz w:val="19"/>
                        </w:rPr>
                      </w:r>
                    </w:p>
                  </w:txbxContent>
                </v:textbox>
                <w10:wrap type="none"/>
              </v:shape>
            </v:group>
          </v:group>
        </w:pict>
      </w:r>
      <w:r>
        <w:rPr>
          <w:rFonts w:ascii="Swis721 Lt BT" w:hAnsi="Swis721 Lt BT" w:cs="Swis721 Lt BT" w:eastAsia="Swis721 Lt BT"/>
          <w:sz w:val="20"/>
          <w:szCs w:val="20"/>
        </w:rPr>
      </w:r>
    </w:p>
    <w:p>
      <w:pPr>
        <w:spacing w:after="0" w:line="200" w:lineRule="atLeast"/>
        <w:rPr>
          <w:rFonts w:ascii="Swis721 Lt BT" w:hAnsi="Swis721 Lt BT" w:cs="Swis721 Lt BT" w:eastAsia="Swis721 Lt BT"/>
          <w:sz w:val="20"/>
          <w:szCs w:val="20"/>
        </w:rPr>
        <w:sectPr>
          <w:pgSz w:w="9980" w:h="14180"/>
          <w:pgMar w:header="0" w:footer="452" w:top="800" w:bottom="640" w:left="740" w:right="1020"/>
        </w:sectPr>
      </w:pPr>
    </w:p>
    <w:p>
      <w:pPr>
        <w:spacing w:before="58"/>
        <w:ind w:left="0" w:right="10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9"/>
        <w:rPr>
          <w:rFonts w:ascii="Swis721 Lt BT" w:hAnsi="Swis721 Lt BT" w:cs="Swis721 Lt BT" w:eastAsia="Swis721 Lt BT"/>
          <w:sz w:val="17"/>
          <w:szCs w:val="17"/>
        </w:rPr>
      </w:pPr>
    </w:p>
    <w:p>
      <w:pPr>
        <w:spacing w:after="0" w:line="240" w:lineRule="auto"/>
        <w:rPr>
          <w:rFonts w:ascii="Swis721 Lt BT" w:hAnsi="Swis721 Lt BT" w:cs="Swis721 Lt BT" w:eastAsia="Swis721 Lt BT"/>
          <w:sz w:val="17"/>
          <w:szCs w:val="17"/>
        </w:rPr>
        <w:sectPr>
          <w:pgSz w:w="9980" w:h="14180"/>
          <w:pgMar w:header="0" w:footer="452" w:top="360" w:bottom="640" w:left="1020" w:right="740"/>
        </w:sect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4"/>
        <w:rPr>
          <w:rFonts w:ascii="Swis721 Lt BT" w:hAnsi="Swis721 Lt BT" w:cs="Swis721 Lt BT" w:eastAsia="Swis721 Lt BT"/>
          <w:sz w:val="23"/>
          <w:szCs w:val="23"/>
        </w:rPr>
      </w:pPr>
    </w:p>
    <w:p>
      <w:pPr>
        <w:spacing w:line="250" w:lineRule="auto" w:before="0"/>
        <w:ind w:left="283" w:right="0" w:firstLine="0"/>
        <w:jc w:val="left"/>
        <w:rPr>
          <w:rFonts w:ascii="Swis721 Md BT" w:hAnsi="Swis721 Md BT" w:cs="Swis721 Md BT" w:eastAsia="Swis721 Md BT"/>
          <w:sz w:val="16"/>
          <w:szCs w:val="16"/>
        </w:rPr>
      </w:pPr>
      <w:r>
        <w:rPr>
          <w:rFonts w:ascii="Swis721 Md BT"/>
          <w:i/>
          <w:color w:val="303B41"/>
          <w:sz w:val="16"/>
        </w:rPr>
        <w:t>Dr </w:t>
      </w:r>
      <w:r>
        <w:rPr>
          <w:rFonts w:ascii="Swis721 Md BT"/>
          <w:i/>
          <w:color w:val="303B41"/>
          <w:spacing w:val="-1"/>
          <w:sz w:val="16"/>
        </w:rPr>
        <w:t>Peter</w:t>
      </w:r>
      <w:r>
        <w:rPr>
          <w:rFonts w:ascii="Swis721 Md BT"/>
          <w:i/>
          <w:color w:val="303B41"/>
          <w:sz w:val="16"/>
        </w:rPr>
        <w:t> Lind was</w:t>
      </w:r>
      <w:r>
        <w:rPr>
          <w:rFonts w:ascii="Swis721 Md BT"/>
          <w:i/>
          <w:color w:val="303B41"/>
          <w:spacing w:val="22"/>
          <w:sz w:val="16"/>
        </w:rPr>
        <w:t> </w:t>
      </w:r>
      <w:r>
        <w:rPr>
          <w:rFonts w:ascii="Swis721 Md BT"/>
          <w:i/>
          <w:color w:val="303B41"/>
          <w:sz w:val="16"/>
        </w:rPr>
        <w:t>appointed to the AITSL</w:t>
      </w:r>
      <w:r>
        <w:rPr>
          <w:rFonts w:ascii="Swis721 Md BT"/>
          <w:i/>
          <w:color w:val="303B41"/>
          <w:sz w:val="16"/>
        </w:rPr>
        <w:t> Board on 17 June 2018</w:t>
      </w:r>
      <w:r>
        <w:rPr>
          <w:rFonts w:ascii="Swis721 Md BT"/>
          <w:sz w:val="16"/>
        </w:rPr>
      </w:r>
    </w:p>
    <w:p>
      <w:pPr>
        <w:pStyle w:val="Heading8"/>
        <w:spacing w:line="240" w:lineRule="auto" w:before="65"/>
        <w:ind w:left="283" w:right="0"/>
        <w:jc w:val="left"/>
      </w:pPr>
      <w:r>
        <w:rPr/>
        <w:br w:type="column"/>
      </w:r>
      <w:r>
        <w:rPr>
          <w:color w:val="00757A"/>
        </w:rPr>
        <w:t>Dr </w:t>
      </w:r>
      <w:r>
        <w:rPr>
          <w:color w:val="00757A"/>
          <w:spacing w:val="-1"/>
        </w:rPr>
        <w:t>Peter</w:t>
      </w:r>
      <w:r>
        <w:rPr>
          <w:color w:val="00757A"/>
        </w:rPr>
        <w:t> Lind</w:t>
      </w:r>
      <w:r>
        <w:rPr/>
      </w:r>
    </w:p>
    <w:p>
      <w:pPr>
        <w:spacing w:before="34"/>
        <w:ind w:left="283" w:right="0" w:firstLine="0"/>
        <w:jc w:val="left"/>
        <w:rPr>
          <w:rFonts w:ascii="Swis721 Lt BT" w:hAnsi="Swis721 Lt BT" w:cs="Swis721 Lt BT" w:eastAsia="Swis721 Lt BT"/>
          <w:sz w:val="18"/>
          <w:szCs w:val="18"/>
        </w:rPr>
      </w:pPr>
      <w:r>
        <w:rPr/>
        <w:pict>
          <v:group style="position:absolute;margin-left:56.693001pt;margin-top:-19.976261pt;width:399.7pt;height:271.9pt;mso-position-horizontal-relative:page;mso-position-vertical-relative:paragraph;z-index:-181720" coordorigin="1134,-400" coordsize="7994,5438">
            <v:group style="position:absolute;left:1134;top:-400;width:2277;height:5438" coordorigin="1134,-400" coordsize="2277,5438">
              <v:shape style="position:absolute;left:1134;top:-400;width:2277;height:5438" coordorigin="1134,-400" coordsize="2277,5438" path="m3410,-400l1134,-400,1134,5038,3410,5038,3410,-400xe" filled="true" fillcolor="#dae7e8" stroked="false">
                <v:path arrowok="t"/>
                <v:fill type="solid"/>
              </v:shape>
            </v:group>
            <v:group style="position:absolute;left:3410;top:-400;width:5718;height:5438" coordorigin="3410,-400" coordsize="5718,5438">
              <v:shape style="position:absolute;left:3410;top:-400;width:5718;height:5438" coordorigin="3410,-400" coordsize="5718,5438" path="m9128,-400l3410,-400,3410,5038,9128,5038,9128,-400xe" filled="true" fillcolor="#dae7e8" stroked="false">
                <v:path arrowok="t"/>
                <v:fill type="solid"/>
              </v:shape>
              <v:shape style="position:absolute;left:1307;top:-226;width:2024;height:2530" type="#_x0000_t75" stroked="false">
                <v:imagedata r:id="rId69" o:title=""/>
              </v:shape>
            </v:group>
            <v:group style="position:absolute;left:1307;top:-226;width:2024;height:2530" coordorigin="1307,-226" coordsize="2024,2530">
              <v:shape style="position:absolute;left:1307;top:-226;width:2024;height:2530" coordorigin="1307,-226" coordsize="2024,2530" path="m1307,2303l3331,2303,3331,-226,1307,-226,1307,2303xe" filled="false" stroked="true" strokeweight=".3pt" strokecolor="#71797f">
                <v:path arrowok="t"/>
              </v:shape>
            </v:group>
            <w10:wrap type="none"/>
          </v:group>
        </w:pict>
      </w:r>
      <w:r>
        <w:rPr>
          <w:rFonts w:ascii="Swis721 Lt BT"/>
          <w:i/>
          <w:color w:val="00757A"/>
          <w:sz w:val="18"/>
        </w:rPr>
        <w:t>BEd MA PhD</w:t>
      </w:r>
      <w:r>
        <w:rPr>
          <w:rFonts w:ascii="Swis721 Lt BT"/>
          <w:sz w:val="18"/>
        </w:rPr>
      </w:r>
    </w:p>
    <w:p>
      <w:pPr>
        <w:pStyle w:val="BodyText"/>
        <w:spacing w:line="240" w:lineRule="auto" w:before="104"/>
        <w:ind w:left="283" w:right="0"/>
        <w:jc w:val="left"/>
        <w:rPr>
          <w:rFonts w:ascii="Swis721 Md BT" w:hAnsi="Swis721 Md BT" w:cs="Swis721 Md BT" w:eastAsia="Swis721 Md BT"/>
        </w:rPr>
      </w:pPr>
      <w:r>
        <w:rPr>
          <w:rFonts w:ascii="Swis721 Md BT"/>
          <w:color w:val="303B41"/>
        </w:rPr>
        <w:t>Non-Executive Director</w:t>
      </w:r>
      <w:r>
        <w:rPr>
          <w:rFonts w:ascii="Swis721 Md BT"/>
        </w:rPr>
      </w:r>
    </w:p>
    <w:p>
      <w:pPr>
        <w:pStyle w:val="BodyText"/>
        <w:spacing w:line="240" w:lineRule="auto"/>
        <w:ind w:left="283" w:right="485"/>
        <w:jc w:val="left"/>
      </w:pPr>
      <w:r>
        <w:rPr>
          <w:color w:val="231F20"/>
        </w:rPr>
        <w:t>As Registrar of the </w:t>
      </w:r>
      <w:r>
        <w:rPr>
          <w:color w:val="231F20"/>
          <w:spacing w:val="-26"/>
        </w:rPr>
        <w:t>T</w:t>
      </w:r>
      <w:r>
        <w:rPr>
          <w:color w:val="231F20"/>
        </w:rPr>
        <w:t>eachers Registration Board of South</w:t>
      </w:r>
      <w:r>
        <w:rPr>
          <w:color w:val="231F20"/>
        </w:rPr>
        <w:t> Australia since 2014, Dr </w:t>
      </w:r>
      <w:r>
        <w:rPr>
          <w:color w:val="231F20"/>
          <w:spacing w:val="-2"/>
        </w:rPr>
        <w:t>Peter</w:t>
      </w:r>
      <w:r>
        <w:rPr>
          <w:color w:val="231F20"/>
        </w:rPr>
        <w:t> Lind brings a wealth of practical</w:t>
      </w:r>
      <w:r>
        <w:rPr>
          <w:color w:val="231F20"/>
          <w:spacing w:val="24"/>
        </w:rPr>
        <w:t> </w:t>
      </w:r>
      <w:r>
        <w:rPr>
          <w:color w:val="231F20"/>
        </w:rPr>
        <w:t>and academic experience throughout the education </w:t>
      </w:r>
      <w:r>
        <w:rPr>
          <w:color w:val="231F20"/>
          <w:spacing w:val="-3"/>
        </w:rPr>
        <w:t>sector.</w:t>
      </w:r>
      <w:r>
        <w:rPr>
          <w:color w:val="231F20"/>
        </w:rPr>
        <w:t> He</w:t>
      </w:r>
      <w:r>
        <w:rPr>
          <w:color w:val="231F20"/>
          <w:spacing w:val="23"/>
        </w:rPr>
        <w:t> </w:t>
      </w:r>
      <w:r>
        <w:rPr>
          <w:color w:val="231F20"/>
        </w:rPr>
        <w:t>was previously Director of the New Zealand </w:t>
      </w:r>
      <w:r>
        <w:rPr>
          <w:color w:val="231F20"/>
          <w:spacing w:val="-26"/>
        </w:rPr>
        <w:t>T</w:t>
      </w:r>
      <w:r>
        <w:rPr>
          <w:color w:val="231F20"/>
        </w:rPr>
        <w:t>eachers Council</w:t>
      </w:r>
      <w:r>
        <w:rPr>
          <w:color w:val="231F20"/>
        </w:rPr>
        <w:t> and Director of </w:t>
      </w:r>
      <w:r>
        <w:rPr>
          <w:color w:val="231F20"/>
          <w:spacing w:val="-26"/>
        </w:rPr>
        <w:t>T</w:t>
      </w:r>
      <w:r>
        <w:rPr>
          <w:color w:val="231F20"/>
        </w:rPr>
        <w:t>eacher Education at Massey University of New</w:t>
      </w:r>
      <w:r>
        <w:rPr>
          <w:color w:val="231F20"/>
        </w:rPr>
        <w:t> Zealand. </w:t>
      </w:r>
      <w:r>
        <w:rPr>
          <w:color w:val="231F20"/>
          <w:spacing w:val="-2"/>
        </w:rPr>
        <w:t>Peter</w:t>
      </w:r>
      <w:r>
        <w:rPr>
          <w:color w:val="231F20"/>
        </w:rPr>
        <w:t> started his career as a </w:t>
      </w:r>
      <w:r>
        <w:rPr>
          <w:color w:val="231F20"/>
          <w:spacing w:val="-3"/>
        </w:rPr>
        <w:t>teacher,</w:t>
      </w:r>
      <w:r>
        <w:rPr>
          <w:color w:val="231F20"/>
        </w:rPr>
        <w:t> primary school</w:t>
      </w:r>
      <w:r>
        <w:rPr>
          <w:color w:val="231F20"/>
          <w:spacing w:val="21"/>
        </w:rPr>
        <w:t> </w:t>
      </w:r>
      <w:r>
        <w:rPr>
          <w:color w:val="231F20"/>
        </w:rPr>
        <w:t>principal and university </w:t>
      </w:r>
      <w:r>
        <w:rPr>
          <w:color w:val="231F20"/>
          <w:spacing w:val="-2"/>
        </w:rPr>
        <w:t>lecturer.</w:t>
      </w:r>
      <w:r>
        <w:rPr/>
      </w:r>
    </w:p>
    <w:p>
      <w:pPr>
        <w:pStyle w:val="BodyText"/>
        <w:spacing w:line="240" w:lineRule="auto"/>
        <w:ind w:left="283" w:right="546"/>
        <w:jc w:val="left"/>
      </w:pPr>
      <w:r>
        <w:rPr>
          <w:color w:val="231F20"/>
          <w:spacing w:val="-2"/>
        </w:rPr>
        <w:t>Peter</w:t>
      </w:r>
      <w:r>
        <w:rPr>
          <w:color w:val="231F20"/>
        </w:rPr>
        <w:t> also has extensive international experience, including</w:t>
      </w:r>
      <w:r>
        <w:rPr>
          <w:color w:val="231F20"/>
          <w:spacing w:val="24"/>
        </w:rPr>
        <w:t> </w:t>
      </w:r>
      <w:r>
        <w:rPr>
          <w:color w:val="231F20"/>
        </w:rPr>
        <w:t>advising</w:t>
      </w:r>
      <w:r>
        <w:rPr>
          <w:color w:val="231F20"/>
          <w:spacing w:val="-2"/>
        </w:rPr>
        <w:t> </w:t>
      </w:r>
      <w:r>
        <w:rPr>
          <w:color w:val="231F20"/>
        </w:rPr>
        <w:t>the</w:t>
      </w:r>
      <w:r>
        <w:rPr>
          <w:color w:val="231F20"/>
          <w:spacing w:val="-1"/>
        </w:rPr>
        <w:t> </w:t>
      </w:r>
      <w:r>
        <w:rPr>
          <w:color w:val="231F20"/>
        </w:rPr>
        <w:t>The</w:t>
      </w:r>
      <w:r>
        <w:rPr>
          <w:color w:val="231F20"/>
          <w:spacing w:val="-1"/>
        </w:rPr>
        <w:t> </w:t>
      </w:r>
      <w:r>
        <w:rPr>
          <w:color w:val="231F20"/>
        </w:rPr>
        <w:t>United</w:t>
      </w:r>
      <w:r>
        <w:rPr>
          <w:color w:val="231F20"/>
          <w:spacing w:val="-1"/>
        </w:rPr>
        <w:t> </w:t>
      </w:r>
      <w:r>
        <w:rPr>
          <w:color w:val="231F20"/>
        </w:rPr>
        <w:t>Nations</w:t>
      </w:r>
      <w:r>
        <w:rPr>
          <w:color w:val="231F20"/>
          <w:spacing w:val="-1"/>
        </w:rPr>
        <w:t> </w:t>
      </w:r>
      <w:r>
        <w:rPr>
          <w:color w:val="231F20"/>
        </w:rPr>
        <w:t>Educational,</w:t>
      </w:r>
      <w:r>
        <w:rPr>
          <w:color w:val="231F20"/>
          <w:spacing w:val="-1"/>
        </w:rPr>
        <w:t> </w:t>
      </w:r>
      <w:r>
        <w:rPr>
          <w:color w:val="231F20"/>
        </w:rPr>
        <w:t>Scientific</w:t>
      </w:r>
      <w:r>
        <w:rPr>
          <w:color w:val="231F20"/>
          <w:spacing w:val="-1"/>
        </w:rPr>
        <w:t> </w:t>
      </w:r>
      <w:r>
        <w:rPr>
          <w:color w:val="231F20"/>
        </w:rPr>
        <w:t>and</w:t>
      </w:r>
      <w:r>
        <w:rPr>
          <w:color w:val="231F20"/>
        </w:rPr>
        <w:t> Cultural Organization’s International </w:t>
      </w:r>
      <w:r>
        <w:rPr>
          <w:color w:val="231F20"/>
          <w:spacing w:val="-26"/>
        </w:rPr>
        <w:t>T</w:t>
      </w:r>
      <w:r>
        <w:rPr>
          <w:color w:val="231F20"/>
        </w:rPr>
        <w:t>ask </w:t>
      </w:r>
      <w:r>
        <w:rPr>
          <w:color w:val="231F20"/>
          <w:spacing w:val="-5"/>
        </w:rPr>
        <w:t>F</w:t>
      </w:r>
      <w:r>
        <w:rPr>
          <w:color w:val="231F20"/>
        </w:rPr>
        <w:t>orce on </w:t>
      </w:r>
      <w:r>
        <w:rPr>
          <w:color w:val="231F20"/>
          <w:spacing w:val="-26"/>
        </w:rPr>
        <w:t>T</w:t>
      </w:r>
      <w:r>
        <w:rPr>
          <w:color w:val="231F20"/>
        </w:rPr>
        <w:t>eachers</w:t>
      </w:r>
      <w:r>
        <w:rPr>
          <w:color w:val="231F20"/>
        </w:rPr>
        <w:t> for Education in 2017, and is a member of an expert panel that reviewed the teacher registration standards for Saudi Arabia in 2016. </w:t>
      </w:r>
      <w:r>
        <w:rPr>
          <w:color w:val="231F20"/>
          <w:spacing w:val="-2"/>
        </w:rPr>
        <w:t>Peter</w:t>
      </w:r>
      <w:r>
        <w:rPr>
          <w:color w:val="231F20"/>
        </w:rPr>
        <w:t> is also a key member of the International </w:t>
      </w:r>
      <w:r>
        <w:rPr>
          <w:color w:val="231F20"/>
          <w:spacing w:val="-1"/>
        </w:rPr>
        <w:t>Forum</w:t>
      </w:r>
      <w:r>
        <w:rPr>
          <w:color w:val="231F20"/>
        </w:rPr>
        <w:t> of</w:t>
      </w:r>
      <w:r>
        <w:rPr/>
      </w:r>
    </w:p>
    <w:p>
      <w:pPr>
        <w:pStyle w:val="BodyText"/>
        <w:spacing w:line="240" w:lineRule="auto" w:before="0"/>
        <w:ind w:left="283" w:right="321"/>
        <w:jc w:val="left"/>
      </w:pPr>
      <w:r>
        <w:rPr>
          <w:color w:val="231F20"/>
          <w:spacing w:val="-26"/>
        </w:rPr>
        <w:t>T</w:t>
      </w:r>
      <w:r>
        <w:rPr>
          <w:color w:val="231F20"/>
        </w:rPr>
        <w:t>eacher Registration Authorities (I</w:t>
      </w:r>
      <w:r>
        <w:rPr>
          <w:color w:val="231F20"/>
          <w:spacing w:val="3"/>
        </w:rPr>
        <w:t>F</w:t>
      </w:r>
      <w:r>
        <w:rPr>
          <w:color w:val="231F20"/>
        </w:rPr>
        <w:t>TRA) and was on the steering</w:t>
      </w:r>
      <w:r>
        <w:rPr>
          <w:color w:val="231F20"/>
        </w:rPr>
        <w:t> committee planning its biennial meeting in Dublin, Ireland in June 2016 and the IFTRA conference held in </w:t>
      </w:r>
      <w:r>
        <w:rPr>
          <w:color w:val="231F20"/>
          <w:spacing w:val="-1"/>
        </w:rPr>
        <w:t>Wellington,</w:t>
      </w:r>
      <w:r>
        <w:rPr>
          <w:color w:val="231F20"/>
        </w:rPr>
        <w:t> New Zealand</w:t>
      </w:r>
      <w:r>
        <w:rPr>
          <w:color w:val="231F20"/>
          <w:spacing w:val="20"/>
        </w:rPr>
        <w:t> </w:t>
      </w:r>
      <w:r>
        <w:rPr>
          <w:color w:val="231F20"/>
        </w:rPr>
        <w:t>in 2018. He is in a similar role for the biennial IFTRA Conference</w:t>
      </w:r>
      <w:r>
        <w:rPr>
          <w:color w:val="231F20"/>
          <w:spacing w:val="23"/>
        </w:rPr>
        <w:t> </w:t>
      </w:r>
      <w:r>
        <w:rPr>
          <w:color w:val="231F20"/>
        </w:rPr>
        <w:t>to be held in Edinburgh, Scotland in 2020.</w:t>
      </w:r>
      <w:r>
        <w:rPr/>
      </w:r>
    </w:p>
    <w:p>
      <w:pPr>
        <w:spacing w:after="0" w:line="240" w:lineRule="auto"/>
        <w:jc w:val="left"/>
        <w:sectPr>
          <w:type w:val="continuous"/>
          <w:pgSz w:w="9980" w:h="14180"/>
          <w:pgMar w:top="0" w:bottom="280" w:left="1020" w:right="740"/>
          <w:cols w:num="2" w:equalWidth="0">
            <w:col w:w="1983" w:space="294"/>
            <w:col w:w="5943"/>
          </w:cols>
        </w:sectPr>
      </w:pPr>
    </w:p>
    <w:p>
      <w:pPr>
        <w:spacing w:line="240" w:lineRule="auto" w:before="7"/>
        <w:rPr>
          <w:rFonts w:ascii="Swis721 Lt BT" w:hAnsi="Swis721 Lt BT" w:cs="Swis721 Lt BT" w:eastAsia="Swis721 Lt BT"/>
          <w:sz w:val="26"/>
          <w:szCs w:val="26"/>
        </w:rPr>
      </w:pPr>
    </w:p>
    <w:p>
      <w:pPr>
        <w:spacing w:line="200" w:lineRule="atLeast"/>
        <w:ind w:left="113"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399.7pt;height:220.55pt;mso-position-horizontal-relative:char;mso-position-vertical-relative:line" coordorigin="0,0" coordsize="7994,4411">
            <v:group style="position:absolute;left:0;top:0;width:2277;height:4411" coordorigin="0,0" coordsize="2277,4411">
              <v:shape style="position:absolute;left:0;top:0;width:2277;height:4411" coordorigin="0,0" coordsize="2277,4411" path="m2277,0l0,0,0,4410,2277,4410,2277,0xe" filled="true" fillcolor="#dae7e8" stroked="false">
                <v:path arrowok="t"/>
                <v:fill type="solid"/>
              </v:shape>
            </v:group>
            <v:group style="position:absolute;left:2277;top:0;width:5718;height:4411" coordorigin="2277,0" coordsize="5718,4411">
              <v:shape style="position:absolute;left:2277;top:0;width:5718;height:4411" coordorigin="2277,0" coordsize="5718,4411" path="m7994,0l2277,0,2277,4410,7994,4410,7994,0xe" filled="true" fillcolor="#dae7e8" stroked="false">
                <v:path arrowok="t"/>
                <v:fill type="solid"/>
              </v:shape>
              <v:shape style="position:absolute;left:173;top:173;width:2024;height:2530" type="#_x0000_t75" stroked="false">
                <v:imagedata r:id="rId70" o:title=""/>
              </v:shape>
            </v:group>
            <v:group style="position:absolute;left:173;top:173;width:2024;height:2530" coordorigin="173,173" coordsize="2024,2530">
              <v:shape style="position:absolute;left:173;top:173;width:2024;height:2530" coordorigin="173,173" coordsize="2024,2530" path="m173,2703l2197,2703,2197,173,173,173,173,2703xe" filled="false" stroked="true" strokeweight=".3pt" strokecolor="#71797f">
                <v:path arrowok="t"/>
              </v:shape>
              <v:shape style="position:absolute;left:170;top:3061;width:1699;height:560" type="#_x0000_t202" filled="false" stroked="false">
                <v:textbox inset="0,0,0,0">
                  <w:txbxContent>
                    <w:p>
                      <w:pPr>
                        <w:spacing w:line="166" w:lineRule="exact" w:before="0"/>
                        <w:ind w:left="0" w:right="0" w:firstLine="0"/>
                        <w:jc w:val="left"/>
                        <w:rPr>
                          <w:rFonts w:ascii="Swis721 Md BT" w:hAnsi="Swis721 Md BT" w:cs="Swis721 Md BT" w:eastAsia="Swis721 Md BT"/>
                          <w:sz w:val="16"/>
                          <w:szCs w:val="16"/>
                        </w:rPr>
                      </w:pPr>
                      <w:r>
                        <w:rPr>
                          <w:rFonts w:ascii="Swis721 Md BT"/>
                          <w:i/>
                          <w:color w:val="303B41"/>
                          <w:sz w:val="16"/>
                        </w:rPr>
                        <w:t>Mr Mark Mowbray was</w:t>
                      </w:r>
                      <w:r>
                        <w:rPr>
                          <w:rFonts w:ascii="Swis721 Md BT"/>
                          <w:sz w:val="16"/>
                        </w:rPr>
                      </w:r>
                    </w:p>
                    <w:p>
                      <w:pPr>
                        <w:spacing w:line="250" w:lineRule="auto" w:before="8"/>
                        <w:ind w:left="0" w:right="0" w:firstLine="0"/>
                        <w:jc w:val="left"/>
                        <w:rPr>
                          <w:rFonts w:ascii="Swis721 Md BT" w:hAnsi="Swis721 Md BT" w:cs="Swis721 Md BT" w:eastAsia="Swis721 Md BT"/>
                          <w:sz w:val="16"/>
                          <w:szCs w:val="16"/>
                        </w:rPr>
                      </w:pPr>
                      <w:r>
                        <w:rPr>
                          <w:rFonts w:ascii="Swis721 Md BT"/>
                          <w:i/>
                          <w:color w:val="303B41"/>
                          <w:sz w:val="16"/>
                        </w:rPr>
                        <w:t>appointed to the AITSL Board on 17 June 2018</w:t>
                      </w:r>
                      <w:r>
                        <w:rPr>
                          <w:rFonts w:ascii="Swis721 Md BT"/>
                          <w:sz w:val="16"/>
                        </w:rPr>
                      </w:r>
                    </w:p>
                  </w:txbxContent>
                </v:textbox>
                <w10:wrap type="none"/>
              </v:shape>
              <v:shape style="position:absolute;left:2447;top:170;width:5356;height:4108" type="#_x0000_t202" filled="false" stroked="false">
                <v:textbox inset="0,0,0,0">
                  <w:txbxContent>
                    <w:p>
                      <w:pPr>
                        <w:spacing w:line="229" w:lineRule="exact" w:before="0"/>
                        <w:ind w:left="0" w:right="0" w:firstLine="0"/>
                        <w:jc w:val="left"/>
                        <w:rPr>
                          <w:rFonts w:ascii="Swis721 Md BT" w:hAnsi="Swis721 Md BT" w:cs="Swis721 Md BT" w:eastAsia="Swis721 Md BT"/>
                          <w:sz w:val="22"/>
                          <w:szCs w:val="22"/>
                        </w:rPr>
                      </w:pPr>
                      <w:r>
                        <w:rPr>
                          <w:rFonts w:ascii="Swis721 Md BT"/>
                          <w:color w:val="00757A"/>
                          <w:sz w:val="22"/>
                        </w:rPr>
                        <w:t>Mr Mark Mowbray</w:t>
                      </w:r>
                      <w:r>
                        <w:rPr>
                          <w:rFonts w:ascii="Swis721 Md BT"/>
                          <w:sz w:val="22"/>
                        </w:rPr>
                      </w:r>
                    </w:p>
                    <w:p>
                      <w:pPr>
                        <w:spacing w:before="34"/>
                        <w:ind w:left="0" w:right="0" w:firstLine="0"/>
                        <w:jc w:val="left"/>
                        <w:rPr>
                          <w:rFonts w:ascii="Swis721 Lt BT" w:hAnsi="Swis721 Lt BT" w:cs="Swis721 Lt BT" w:eastAsia="Swis721 Lt BT"/>
                          <w:sz w:val="18"/>
                          <w:szCs w:val="18"/>
                        </w:rPr>
                      </w:pPr>
                      <w:r>
                        <w:rPr>
                          <w:rFonts w:ascii="Swis721 Lt BT"/>
                          <w:i/>
                          <w:color w:val="00757A"/>
                          <w:sz w:val="18"/>
                        </w:rPr>
                        <w:t>MEdPol (Intl)</w:t>
                      </w:r>
                      <w:r>
                        <w:rPr>
                          <w:rFonts w:ascii="Swis721 Lt BT"/>
                          <w:sz w:val="18"/>
                        </w:rPr>
                      </w:r>
                    </w:p>
                    <w:p>
                      <w:pPr>
                        <w:spacing w:before="104"/>
                        <w:ind w:left="0" w:right="0" w:firstLine="0"/>
                        <w:jc w:val="left"/>
                        <w:rPr>
                          <w:rFonts w:ascii="Swis721 Md BT" w:hAnsi="Swis721 Md BT" w:cs="Swis721 Md BT" w:eastAsia="Swis721 Md BT"/>
                          <w:sz w:val="19"/>
                          <w:szCs w:val="19"/>
                        </w:rPr>
                      </w:pPr>
                      <w:r>
                        <w:rPr>
                          <w:rFonts w:ascii="Swis721 Md BT"/>
                          <w:color w:val="303B41"/>
                          <w:sz w:val="19"/>
                        </w:rPr>
                        <w:t>Non-Executive Director</w:t>
                      </w:r>
                      <w:r>
                        <w:rPr>
                          <w:rFonts w:ascii="Swis721 Md BT"/>
                          <w:sz w:val="19"/>
                        </w:rPr>
                      </w:r>
                    </w:p>
                    <w:p>
                      <w:pPr>
                        <w:spacing w:before="113"/>
                        <w:ind w:left="0" w:right="0" w:firstLine="0"/>
                        <w:jc w:val="left"/>
                        <w:rPr>
                          <w:rFonts w:ascii="Swis721 BT" w:hAnsi="Swis721 BT" w:cs="Swis721 BT" w:eastAsia="Swis721 BT"/>
                          <w:sz w:val="19"/>
                          <w:szCs w:val="19"/>
                        </w:rPr>
                      </w:pPr>
                      <w:r>
                        <w:rPr>
                          <w:rFonts w:ascii="Swis721 Lt BT" w:hAnsi="Swis721 Lt BT" w:cs="Swis721 Lt BT" w:eastAsia="Swis721 Lt BT"/>
                          <w:color w:val="231F20"/>
                          <w:sz w:val="19"/>
                          <w:szCs w:val="19"/>
                        </w:rPr>
                        <w:t>Mr Mark Mowbray is currently the principal of St Joseph’s Primary School in </w:t>
                      </w:r>
                      <w:r>
                        <w:rPr>
                          <w:rFonts w:ascii="Swis721 Lt BT" w:hAnsi="Swis721 Lt BT" w:cs="Swis721 Lt BT" w:eastAsia="Swis721 Lt BT"/>
                          <w:color w:val="231F20"/>
                          <w:spacing w:val="-26"/>
                          <w:sz w:val="19"/>
                          <w:szCs w:val="19"/>
                        </w:rPr>
                        <w:t>T</w:t>
                      </w:r>
                      <w:r>
                        <w:rPr>
                          <w:rFonts w:ascii="Swis721 Lt BT" w:hAnsi="Swis721 Lt BT" w:cs="Swis721 Lt BT" w:eastAsia="Swis721 Lt BT"/>
                          <w:color w:val="231F20"/>
                          <w:sz w:val="19"/>
                          <w:szCs w:val="19"/>
                        </w:rPr>
                        <w:t>aree, a multi-cultural school with one of the fastest</w:t>
                      </w:r>
                      <w:r>
                        <w:rPr>
                          <w:rFonts w:ascii="Swis721 Lt BT" w:hAnsi="Swis721 Lt BT" w:cs="Swis721 Lt BT" w:eastAsia="Swis721 Lt BT"/>
                          <w:color w:val="231F20"/>
                          <w:sz w:val="19"/>
                          <w:szCs w:val="19"/>
                        </w:rPr>
                        <w:t> growing Aboriginal and </w:t>
                      </w:r>
                      <w:r>
                        <w:rPr>
                          <w:rFonts w:ascii="Swis721 Lt BT" w:hAnsi="Swis721 Lt BT" w:cs="Swis721 Lt BT" w:eastAsia="Swis721 Lt BT"/>
                          <w:color w:val="231F20"/>
                          <w:spacing w:val="-26"/>
                          <w:sz w:val="19"/>
                          <w:szCs w:val="19"/>
                        </w:rPr>
                        <w:t>T</w:t>
                      </w:r>
                      <w:r>
                        <w:rPr>
                          <w:rFonts w:ascii="Swis721 Lt BT" w:hAnsi="Swis721 Lt BT" w:cs="Swis721 Lt BT" w:eastAsia="Swis721 Lt BT"/>
                          <w:color w:val="231F20"/>
                          <w:sz w:val="19"/>
                          <w:szCs w:val="19"/>
                        </w:rPr>
                        <w:t>orres Strait Island enrolments in New</w:t>
                      </w:r>
                      <w:r>
                        <w:rPr>
                          <w:rFonts w:ascii="Swis721 Lt BT" w:hAnsi="Swis721 Lt BT" w:cs="Swis721 Lt BT" w:eastAsia="Swis721 Lt BT"/>
                          <w:color w:val="231F20"/>
                          <w:sz w:val="19"/>
                          <w:szCs w:val="19"/>
                        </w:rPr>
                        <w:t> South </w:t>
                      </w:r>
                      <w:r>
                        <w:rPr>
                          <w:rFonts w:ascii="Swis721 Lt BT" w:hAnsi="Swis721 Lt BT" w:cs="Swis721 Lt BT" w:eastAsia="Swis721 Lt BT"/>
                          <w:color w:val="231F20"/>
                          <w:spacing w:val="-1"/>
                          <w:sz w:val="19"/>
                          <w:szCs w:val="19"/>
                        </w:rPr>
                        <w:t>Wales.</w:t>
                      </w:r>
                      <w:r>
                        <w:rPr>
                          <w:rFonts w:ascii="Swis721 Lt BT" w:hAnsi="Swis721 Lt BT" w:cs="Swis721 Lt BT" w:eastAsia="Swis721 Lt BT"/>
                          <w:color w:val="231F20"/>
                          <w:sz w:val="19"/>
                          <w:szCs w:val="19"/>
                        </w:rPr>
                        <w:t> Mark has been a teacher in the Maitland–Newcastle</w:t>
                      </w:r>
                      <w:r>
                        <w:rPr>
                          <w:rFonts w:ascii="Swis721 Lt BT" w:hAnsi="Swis721 Lt BT" w:cs="Swis721 Lt BT" w:eastAsia="Swis721 Lt BT"/>
                          <w:color w:val="231F20"/>
                          <w:spacing w:val="22"/>
                          <w:sz w:val="19"/>
                          <w:szCs w:val="19"/>
                        </w:rPr>
                        <w:t> </w:t>
                      </w:r>
                      <w:r>
                        <w:rPr>
                          <w:rFonts w:ascii="Swis721 Lt BT" w:hAnsi="Swis721 Lt BT" w:cs="Swis721 Lt BT" w:eastAsia="Swis721 Lt BT"/>
                          <w:color w:val="231F20"/>
                          <w:sz w:val="19"/>
                          <w:szCs w:val="19"/>
                        </w:rPr>
                        <w:t>area for 41 years and a principal for the past 30. His most recent</w:t>
                      </w:r>
                      <w:r>
                        <w:rPr>
                          <w:rFonts w:ascii="Swis721 Lt BT" w:hAnsi="Swis721 Lt BT" w:cs="Swis721 Lt BT" w:eastAsia="Swis721 Lt BT"/>
                          <w:color w:val="231F20"/>
                          <w:sz w:val="19"/>
                          <w:szCs w:val="19"/>
                        </w:rPr>
                        <w:t> study was a Master of Education </w:t>
                      </w:r>
                      <w:r>
                        <w:rPr>
                          <w:rFonts w:ascii="Swis721 Lt BT" w:hAnsi="Swis721 Lt BT" w:cs="Swis721 Lt BT" w:eastAsia="Swis721 Lt BT"/>
                          <w:color w:val="231F20"/>
                          <w:spacing w:val="-1"/>
                          <w:sz w:val="19"/>
                          <w:szCs w:val="19"/>
                        </w:rPr>
                        <w:t>Policy</w:t>
                      </w:r>
                      <w:r>
                        <w:rPr>
                          <w:rFonts w:ascii="Swis721 Lt BT" w:hAnsi="Swis721 Lt BT" w:cs="Swis721 Lt BT" w:eastAsia="Swis721 Lt BT"/>
                          <w:color w:val="231F20"/>
                          <w:sz w:val="19"/>
                          <w:szCs w:val="19"/>
                        </w:rPr>
                        <w:t> (International)</w:t>
                      </w:r>
                      <w:r>
                        <w:rPr>
                          <w:rFonts w:ascii="Swis721 BT" w:hAnsi="Swis721 BT" w:cs="Swis721 BT" w:eastAsia="Swis721 BT"/>
                          <w:i/>
                          <w:color w:val="231F20"/>
                          <w:sz w:val="19"/>
                          <w:szCs w:val="19"/>
                        </w:rPr>
                        <w:t>.</w:t>
                      </w:r>
                      <w:r>
                        <w:rPr>
                          <w:rFonts w:ascii="Swis721 BT" w:hAnsi="Swis721 BT" w:cs="Swis721 BT" w:eastAsia="Swis721 BT"/>
                          <w:sz w:val="19"/>
                          <w:szCs w:val="19"/>
                        </w:rPr>
                      </w:r>
                    </w:p>
                    <w:p>
                      <w:pPr>
                        <w:spacing w:before="113"/>
                        <w:ind w:left="0" w:right="97" w:firstLine="0"/>
                        <w:jc w:val="left"/>
                        <w:rPr>
                          <w:rFonts w:ascii="Swis721 Lt BT" w:hAnsi="Swis721 Lt BT" w:cs="Swis721 Lt BT" w:eastAsia="Swis721 Lt BT"/>
                          <w:sz w:val="19"/>
                          <w:szCs w:val="19"/>
                        </w:rPr>
                      </w:pPr>
                      <w:r>
                        <w:rPr>
                          <w:rFonts w:ascii="Swis721 Lt BT"/>
                          <w:color w:val="231F20"/>
                          <w:sz w:val="19"/>
                        </w:rPr>
                        <w:t>Mark was previously the National President of the Australian Catholic Primary Principals Association, a Director on the Board and member of the National Advisory Council of the Australian Primary Principals Association, and he is a former commissioner with the New South </w:t>
                      </w:r>
                      <w:r>
                        <w:rPr>
                          <w:rFonts w:ascii="Swis721 Lt BT"/>
                          <w:color w:val="231F20"/>
                          <w:spacing w:val="-1"/>
                          <w:sz w:val="19"/>
                        </w:rPr>
                        <w:t>Wales</w:t>
                      </w:r>
                      <w:r>
                        <w:rPr>
                          <w:rFonts w:ascii="Swis721 Lt BT"/>
                          <w:color w:val="231F20"/>
                          <w:sz w:val="19"/>
                        </w:rPr>
                        <w:t> Catholic Education Commission.</w:t>
                      </w:r>
                      <w:r>
                        <w:rPr>
                          <w:rFonts w:ascii="Swis721 Lt BT"/>
                          <w:sz w:val="19"/>
                        </w:rPr>
                      </w:r>
                    </w:p>
                    <w:p>
                      <w:pPr>
                        <w:spacing w:before="113"/>
                        <w:ind w:left="0" w:right="303" w:firstLine="0"/>
                        <w:jc w:val="left"/>
                        <w:rPr>
                          <w:rFonts w:ascii="Swis721 Lt BT" w:hAnsi="Swis721 Lt BT" w:cs="Swis721 Lt BT" w:eastAsia="Swis721 Lt BT"/>
                          <w:sz w:val="19"/>
                          <w:szCs w:val="19"/>
                        </w:rPr>
                      </w:pPr>
                      <w:r>
                        <w:rPr>
                          <w:rFonts w:ascii="Swis721 Lt BT"/>
                          <w:color w:val="231F20"/>
                          <w:sz w:val="19"/>
                        </w:rPr>
                        <w:t>Mark is passionate about education, especially in the areas of equity and leadership.</w:t>
                      </w:r>
                      <w:r>
                        <w:rPr>
                          <w:rFonts w:ascii="Swis721 Lt BT"/>
                          <w:sz w:val="19"/>
                        </w:rPr>
                      </w:r>
                    </w:p>
                  </w:txbxContent>
                </v:textbox>
                <w10:wrap type="none"/>
              </v:shape>
            </v:group>
          </v:group>
        </w:pict>
      </w:r>
      <w:r>
        <w:rPr>
          <w:rFonts w:ascii="Swis721 Lt BT" w:hAnsi="Swis721 Lt BT" w:cs="Swis721 Lt BT" w:eastAsia="Swis721 Lt BT"/>
          <w:sz w:val="20"/>
          <w:szCs w:val="20"/>
        </w:rPr>
      </w:r>
    </w:p>
    <w:p>
      <w:pPr>
        <w:spacing w:after="0" w:line="200" w:lineRule="atLeast"/>
        <w:rPr>
          <w:rFonts w:ascii="Swis721 Lt BT" w:hAnsi="Swis721 Lt BT" w:cs="Swis721 Lt BT" w:eastAsia="Swis721 Lt BT"/>
          <w:sz w:val="20"/>
          <w:szCs w:val="20"/>
        </w:rPr>
        <w:sectPr>
          <w:type w:val="continuous"/>
          <w:pgSz w:w="9980" w:h="14180"/>
          <w:pgMar w:top="0" w:bottom="280" w:left="1020" w:right="740"/>
        </w:sectPr>
      </w:pPr>
    </w:p>
    <w:p>
      <w:pPr>
        <w:spacing w:before="48"/>
        <w:ind w:left="110" w:right="0" w:firstLine="0"/>
        <w:jc w:val="left"/>
        <w:rPr>
          <w:rFonts w:ascii="Swis721 Lt BT" w:hAnsi="Swis721 Lt BT" w:cs="Swis721 Lt BT" w:eastAsia="Swis721 Lt BT"/>
          <w:sz w:val="16"/>
          <w:szCs w:val="16"/>
        </w:rPr>
      </w:pPr>
      <w:r>
        <w:rPr>
          <w:rFonts w:ascii="Swis721 BT" w:hAnsi="Swis721 BT" w:cs="Swis721 BT" w:eastAsia="Swis721 BT"/>
          <w:b/>
          <w:bCs/>
          <w:color w:val="00757A"/>
          <w:sz w:val="16"/>
          <w:szCs w:val="16"/>
        </w:rPr>
        <w:t>DIRECTORS’ REPORT </w:t>
      </w:r>
      <w:r>
        <w:rPr>
          <w:rFonts w:ascii="Swis721 Lt BT" w:hAnsi="Swis721 Lt BT" w:cs="Swis721 Lt BT" w:eastAsia="Swis721 Lt BT"/>
          <w:color w:val="00757A"/>
          <w:sz w:val="16"/>
          <w:szCs w:val="16"/>
        </w:rPr>
        <w:t>CONTINUED</w:t>
      </w:r>
      <w:r>
        <w:rPr>
          <w:rFonts w:ascii="Swis721 Lt BT" w:hAnsi="Swis721 Lt BT" w:cs="Swis721 Lt BT" w:eastAsia="Swis721 Lt BT"/>
          <w:sz w:val="16"/>
          <w:szCs w:val="16"/>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0"/>
        <w:rPr>
          <w:rFonts w:ascii="Swis721 Lt BT" w:hAnsi="Swis721 Lt BT" w:cs="Swis721 Lt BT" w:eastAsia="Swis721 Lt BT"/>
          <w:sz w:val="19"/>
          <w:szCs w:val="19"/>
        </w:rPr>
      </w:pPr>
    </w:p>
    <w:p>
      <w:pPr>
        <w:spacing w:after="0" w:line="240" w:lineRule="auto"/>
        <w:rPr>
          <w:rFonts w:ascii="Swis721 Lt BT" w:hAnsi="Swis721 Lt BT" w:cs="Swis721 Lt BT" w:eastAsia="Swis721 Lt BT"/>
          <w:sz w:val="19"/>
          <w:szCs w:val="19"/>
        </w:rPr>
        <w:sectPr>
          <w:pgSz w:w="9980" w:h="14180"/>
          <w:pgMar w:header="0" w:footer="452" w:top="800" w:bottom="640" w:left="740" w:right="1020"/>
        </w:sect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4"/>
        <w:rPr>
          <w:rFonts w:ascii="Swis721 Lt BT" w:hAnsi="Swis721 Lt BT" w:cs="Swis721 Lt BT" w:eastAsia="Swis721 Lt BT"/>
          <w:sz w:val="23"/>
          <w:szCs w:val="23"/>
        </w:rPr>
      </w:pPr>
    </w:p>
    <w:p>
      <w:pPr>
        <w:spacing w:line="250" w:lineRule="auto" w:before="0"/>
        <w:ind w:left="280" w:right="0" w:firstLine="0"/>
        <w:jc w:val="left"/>
        <w:rPr>
          <w:rFonts w:ascii="Swis721 Md BT" w:hAnsi="Swis721 Md BT" w:cs="Swis721 Md BT" w:eastAsia="Swis721 Md BT"/>
          <w:sz w:val="16"/>
          <w:szCs w:val="16"/>
        </w:rPr>
      </w:pPr>
      <w:r>
        <w:rPr>
          <w:rFonts w:ascii="Swis721 Md BT"/>
          <w:i/>
          <w:color w:val="303B41"/>
          <w:sz w:val="16"/>
        </w:rPr>
        <w:t>Mr Robert Nairn was appointed to the AITSL Board on 1 </w:t>
      </w:r>
      <w:r>
        <w:rPr>
          <w:rFonts w:ascii="Swis721 Md BT"/>
          <w:i/>
          <w:color w:val="303B41"/>
          <w:spacing w:val="1"/>
          <w:sz w:val="16"/>
        </w:rPr>
        <w:t>January</w:t>
      </w:r>
      <w:r>
        <w:rPr>
          <w:rFonts w:ascii="Swis721 Md BT"/>
          <w:i/>
          <w:color w:val="303B41"/>
          <w:sz w:val="16"/>
        </w:rPr>
        <w:t> 2015,</w:t>
      </w:r>
      <w:r>
        <w:rPr>
          <w:rFonts w:ascii="Swis721 Md BT"/>
          <w:i/>
          <w:color w:val="303B41"/>
          <w:spacing w:val="21"/>
          <w:sz w:val="16"/>
        </w:rPr>
        <w:t> </w:t>
      </w:r>
      <w:r>
        <w:rPr>
          <w:rFonts w:ascii="Swis721 Md BT"/>
          <w:i/>
          <w:color w:val="303B41"/>
          <w:sz w:val="16"/>
        </w:rPr>
        <w:t>and reappointed effective</w:t>
      </w:r>
      <w:r>
        <w:rPr>
          <w:rFonts w:ascii="Swis721 Md BT"/>
          <w:i/>
          <w:color w:val="303B41"/>
          <w:sz w:val="16"/>
        </w:rPr>
        <w:t> from 2 June 2018</w:t>
      </w:r>
      <w:r>
        <w:rPr>
          <w:rFonts w:ascii="Swis721 Md BT"/>
          <w:sz w:val="16"/>
        </w:rPr>
      </w:r>
    </w:p>
    <w:p>
      <w:pPr>
        <w:pStyle w:val="Heading8"/>
        <w:spacing w:line="240" w:lineRule="auto" w:before="65"/>
        <w:ind w:left="280" w:right="0"/>
        <w:jc w:val="left"/>
      </w:pPr>
      <w:r>
        <w:rPr/>
        <w:br w:type="column"/>
      </w:r>
      <w:r>
        <w:rPr>
          <w:color w:val="00757A"/>
        </w:rPr>
        <w:t>Mr Robert Nairn</w:t>
      </w:r>
      <w:r>
        <w:rPr/>
      </w:r>
    </w:p>
    <w:p>
      <w:pPr>
        <w:spacing w:before="34"/>
        <w:ind w:left="280" w:right="0" w:firstLine="0"/>
        <w:jc w:val="left"/>
        <w:rPr>
          <w:rFonts w:ascii="Swis721 Lt BT" w:hAnsi="Swis721 Lt BT" w:cs="Swis721 Lt BT" w:eastAsia="Swis721 Lt BT"/>
          <w:sz w:val="18"/>
          <w:szCs w:val="18"/>
        </w:rPr>
      </w:pPr>
      <w:r>
        <w:rPr/>
        <w:pict>
          <v:group style="position:absolute;margin-left:42.52pt;margin-top:-20.02676pt;width:399.7pt;height:266.25pt;mso-position-horizontal-relative:page;mso-position-vertical-relative:paragraph;z-index:-181696" coordorigin="850,-401" coordsize="7994,5325">
            <v:group style="position:absolute;left:850;top:-400;width:2277;height:5323" coordorigin="850,-400" coordsize="2277,5323">
              <v:shape style="position:absolute;left:850;top:-400;width:2277;height:5323" coordorigin="850,-400" coordsize="2277,5323" path="m3127,-400l850,-400,850,4923,3127,4923,3127,-400xe" filled="true" fillcolor="#dae7e8" stroked="false">
                <v:path arrowok="t"/>
                <v:fill type="solid"/>
              </v:shape>
            </v:group>
            <v:group style="position:absolute;left:3127;top:-400;width:2;height:5323" coordorigin="3127,-400" coordsize="2,5323">
              <v:shape style="position:absolute;left:3127;top:-400;width:2;height:5323" coordorigin="3127,-400" coordsize="0,5323" path="m3127,-400l3127,4923e" filled="false" stroked="true" strokeweight=".101pt" strokecolor="#dae7e8">
                <v:path arrowok="t"/>
              </v:shape>
            </v:group>
            <v:group style="position:absolute;left:3127;top:-400;width:5718;height:5323" coordorigin="3127,-400" coordsize="5718,5323">
              <v:shape style="position:absolute;left:3127;top:-400;width:5718;height:5323" coordorigin="3127,-400" coordsize="5718,5323" path="m8844,-400l3127,-400,3127,4923,8844,4923,8844,-400xe" filled="true" fillcolor="#dae7e8" stroked="false">
                <v:path arrowok="t"/>
                <v:fill type="solid"/>
              </v:shape>
              <v:shape style="position:absolute;left:1023;top:-226;width:2024;height:2530" type="#_x0000_t75" stroked="false">
                <v:imagedata r:id="rId71" o:title=""/>
              </v:shape>
            </v:group>
            <v:group style="position:absolute;left:1023;top:-226;width:2024;height:2530" coordorigin="1023,-226" coordsize="2024,2530">
              <v:shape style="position:absolute;left:1023;top:-226;width:2024;height:2530" coordorigin="1023,-226" coordsize="2024,2530" path="m1023,2303l3047,2303,3047,-226,1023,-226,1023,2303xe" filled="false" stroked="true" strokeweight=".3pt" strokecolor="#71797f">
                <v:path arrowok="t"/>
              </v:shape>
            </v:group>
            <w10:wrap type="none"/>
          </v:group>
        </w:pict>
      </w:r>
      <w:r>
        <w:rPr>
          <w:rFonts w:ascii="Swis721 Lt BT"/>
          <w:i/>
          <w:color w:val="00757A"/>
          <w:sz w:val="18"/>
        </w:rPr>
        <w:t>BEd </w:t>
      </w:r>
      <w:r>
        <w:rPr>
          <w:rFonts w:ascii="Swis721 Lt BT"/>
          <w:i/>
          <w:color w:val="00757A"/>
          <w:spacing w:val="-3"/>
          <w:sz w:val="18"/>
        </w:rPr>
        <w:t>DipTeach</w:t>
      </w:r>
      <w:r>
        <w:rPr>
          <w:rFonts w:ascii="Swis721 Lt BT"/>
          <w:i/>
          <w:color w:val="00757A"/>
          <w:sz w:val="18"/>
        </w:rPr>
        <w:t> CF MAICD</w:t>
      </w:r>
      <w:r>
        <w:rPr>
          <w:rFonts w:ascii="Swis721 Lt BT"/>
          <w:sz w:val="18"/>
        </w:rPr>
      </w:r>
    </w:p>
    <w:p>
      <w:pPr>
        <w:pStyle w:val="BodyText"/>
        <w:spacing w:line="240" w:lineRule="auto" w:before="104"/>
        <w:ind w:left="280" w:right="0"/>
        <w:jc w:val="left"/>
        <w:rPr>
          <w:rFonts w:ascii="Swis721 Md BT" w:hAnsi="Swis721 Md BT" w:cs="Swis721 Md BT" w:eastAsia="Swis721 Md BT"/>
        </w:rPr>
      </w:pPr>
      <w:r>
        <w:rPr>
          <w:rFonts w:ascii="Swis721 Md BT"/>
          <w:color w:val="303B41"/>
        </w:rPr>
        <w:t>Non-Executive Director</w:t>
      </w:r>
      <w:r>
        <w:rPr>
          <w:rFonts w:ascii="Swis721 Md BT"/>
        </w:rPr>
      </w:r>
    </w:p>
    <w:p>
      <w:pPr>
        <w:pStyle w:val="BodyText"/>
        <w:spacing w:line="240" w:lineRule="auto"/>
        <w:ind w:left="280" w:right="359"/>
        <w:jc w:val="left"/>
      </w:pPr>
      <w:r>
        <w:rPr>
          <w:color w:val="231F20"/>
        </w:rPr>
        <w:t>Mr Robert Nairn is Associate Professor at Edith Cowan </w:t>
      </w:r>
      <w:r>
        <w:rPr>
          <w:color w:val="231F20"/>
          <w:spacing w:val="-2"/>
        </w:rPr>
        <w:t>University,</w:t>
      </w:r>
      <w:r>
        <w:rPr>
          <w:color w:val="231F20"/>
        </w:rPr>
        <w:t> a Churchill </w:t>
      </w:r>
      <w:r>
        <w:rPr>
          <w:color w:val="231F20"/>
          <w:spacing w:val="-3"/>
        </w:rPr>
        <w:t>Fellow,</w:t>
      </w:r>
      <w:r>
        <w:rPr>
          <w:color w:val="231F20"/>
        </w:rPr>
        <w:t> a Member of the Australian Institute</w:t>
      </w:r>
      <w:r>
        <w:rPr>
          <w:color w:val="231F20"/>
          <w:spacing w:val="21"/>
        </w:rPr>
        <w:t> </w:t>
      </w:r>
      <w:r>
        <w:rPr>
          <w:color w:val="231F20"/>
        </w:rPr>
        <w:t>of Company Directors (MAICD), a Member of the Beyond Blue</w:t>
      </w:r>
      <w:r>
        <w:rPr/>
      </w:r>
    </w:p>
    <w:p>
      <w:pPr>
        <w:pStyle w:val="BodyText"/>
        <w:spacing w:line="240" w:lineRule="auto" w:before="0"/>
        <w:ind w:left="280" w:right="170"/>
        <w:jc w:val="left"/>
      </w:pPr>
      <w:r>
        <w:rPr>
          <w:color w:val="231F20"/>
        </w:rPr>
        <w:t>National Education Initiative Advisory Council and Lead </w:t>
      </w:r>
      <w:r>
        <w:rPr>
          <w:color w:val="231F20"/>
          <w:spacing w:val="-1"/>
        </w:rPr>
        <w:t>Fellow</w:t>
      </w:r>
      <w:r>
        <w:rPr>
          <w:color w:val="231F20"/>
        </w:rPr>
        <w:t> for</w:t>
      </w:r>
      <w:r>
        <w:rPr>
          <w:color w:val="231F20"/>
          <w:spacing w:val="21"/>
        </w:rPr>
        <w:t> </w:t>
      </w:r>
      <w:r>
        <w:rPr>
          <w:color w:val="231F20"/>
        </w:rPr>
        <w:t>Schools Plus teaching fellowship program.</w:t>
      </w:r>
      <w:r>
        <w:rPr/>
      </w:r>
    </w:p>
    <w:p>
      <w:pPr>
        <w:pStyle w:val="BodyText"/>
        <w:spacing w:line="240" w:lineRule="auto"/>
        <w:ind w:left="280" w:right="321"/>
        <w:jc w:val="left"/>
      </w:pPr>
      <w:r>
        <w:rPr>
          <w:color w:val="231F20"/>
          <w:spacing w:val="-2"/>
        </w:rPr>
        <w:t>Previously,</w:t>
      </w:r>
      <w:r>
        <w:rPr>
          <w:color w:val="231F20"/>
        </w:rPr>
        <w:t> he was the Executive Director of the Australian</w:t>
      </w:r>
      <w:r>
        <w:rPr>
          <w:color w:val="231F20"/>
          <w:spacing w:val="27"/>
        </w:rPr>
        <w:t> </w:t>
      </w:r>
      <w:r>
        <w:rPr>
          <w:color w:val="231F20"/>
        </w:rPr>
        <w:t>Secondary Principal’s Association </w:t>
      </w:r>
      <w:r>
        <w:rPr>
          <w:color w:val="231F20"/>
          <w:spacing w:val="-3"/>
        </w:rPr>
        <w:t>(ASPA),</w:t>
      </w:r>
      <w:r>
        <w:rPr>
          <w:color w:val="231F20"/>
        </w:rPr>
        <w:t> Director at Principals</w:t>
      </w:r>
      <w:r>
        <w:rPr>
          <w:color w:val="231F20"/>
          <w:spacing w:val="26"/>
        </w:rPr>
        <w:t> </w:t>
      </w:r>
      <w:r>
        <w:rPr>
          <w:color w:val="231F20"/>
        </w:rPr>
        <w:t>Australia Institute </w:t>
      </w:r>
      <w:r>
        <w:rPr>
          <w:color w:val="231F20"/>
          <w:spacing w:val="-4"/>
        </w:rPr>
        <w:t>(PAI</w:t>
      </w:r>
      <w:r>
        <w:rPr>
          <w:color w:val="231F20"/>
        </w:rPr>
        <w:t> Ltd) and Executive Member of the</w:t>
      </w:r>
      <w:r>
        <w:rPr>
          <w:color w:val="231F20"/>
          <w:spacing w:val="21"/>
        </w:rPr>
        <w:t> </w:t>
      </w:r>
      <w:r>
        <w:rPr>
          <w:color w:val="231F20"/>
        </w:rPr>
        <w:t>International Confederation of Principals (ICP). He was also</w:t>
      </w:r>
      <w:r>
        <w:rPr>
          <w:color w:val="231F20"/>
        </w:rPr>
        <w:t> Director of the Asia Education </w:t>
      </w:r>
      <w:r>
        <w:rPr>
          <w:color w:val="231F20"/>
          <w:spacing w:val="-1"/>
        </w:rPr>
        <w:t>Foundation</w:t>
      </w:r>
      <w:r>
        <w:rPr>
          <w:color w:val="231F20"/>
        </w:rPr>
        <w:t> (AEF) Advisory Board</w:t>
      </w:r>
      <w:r>
        <w:rPr>
          <w:color w:val="231F20"/>
          <w:spacing w:val="25"/>
        </w:rPr>
        <w:t> </w:t>
      </w:r>
      <w:r>
        <w:rPr>
          <w:color w:val="231F20"/>
        </w:rPr>
        <w:t>and a member of The Smith </w:t>
      </w:r>
      <w:r>
        <w:rPr>
          <w:color w:val="231F20"/>
          <w:spacing w:val="-1"/>
        </w:rPr>
        <w:t>Family</w:t>
      </w:r>
      <w:r>
        <w:rPr>
          <w:color w:val="231F20"/>
        </w:rPr>
        <w:t> Principals Advisory Group.</w:t>
      </w:r>
      <w:r>
        <w:rPr/>
      </w:r>
    </w:p>
    <w:p>
      <w:pPr>
        <w:pStyle w:val="BodyText"/>
        <w:spacing w:line="240" w:lineRule="auto"/>
        <w:ind w:left="280" w:right="403"/>
        <w:jc w:val="left"/>
      </w:pPr>
      <w:r>
        <w:rPr>
          <w:color w:val="231F20"/>
        </w:rPr>
        <w:t>He has worked in metropolitan and regional senior high schools in </w:t>
      </w:r>
      <w:r>
        <w:rPr>
          <w:color w:val="231F20"/>
          <w:spacing w:val="-1"/>
        </w:rPr>
        <w:t>Western</w:t>
      </w:r>
      <w:r>
        <w:rPr>
          <w:color w:val="231F20"/>
        </w:rPr>
        <w:t> Australia, particularly in low socio-economic areas.</w:t>
      </w:r>
      <w:r>
        <w:rPr>
          <w:color w:val="231F20"/>
          <w:spacing w:val="23"/>
        </w:rPr>
        <w:t> </w:t>
      </w:r>
      <w:r>
        <w:rPr>
          <w:color w:val="231F20"/>
        </w:rPr>
        <w:t>He is passionate about shaping the direction of educational</w:t>
      </w:r>
      <w:r>
        <w:rPr>
          <w:color w:val="231F20"/>
        </w:rPr>
        <w:t> reform and ensuring that every school has a quality leader who</w:t>
      </w:r>
      <w:r>
        <w:rPr/>
      </w:r>
    </w:p>
    <w:p>
      <w:pPr>
        <w:pStyle w:val="BodyText"/>
        <w:spacing w:line="240" w:lineRule="auto" w:before="0"/>
        <w:ind w:left="280" w:right="170"/>
        <w:jc w:val="left"/>
      </w:pPr>
      <w:r>
        <w:rPr>
          <w:color w:val="231F20"/>
        </w:rPr>
        <w:t>provides high quality education to every young person regardless of their geographic, social, or personal circumstances.</w:t>
      </w:r>
      <w:r>
        <w:rPr/>
      </w:r>
    </w:p>
    <w:p>
      <w:pPr>
        <w:spacing w:after="0" w:line="240" w:lineRule="auto"/>
        <w:jc w:val="left"/>
        <w:sectPr>
          <w:type w:val="continuous"/>
          <w:pgSz w:w="9980" w:h="14180"/>
          <w:pgMar w:top="0" w:bottom="280" w:left="740" w:right="1020"/>
          <w:cols w:num="2" w:equalWidth="0">
            <w:col w:w="2164" w:space="112"/>
            <w:col w:w="5944"/>
          </w:cols>
        </w:sectPr>
      </w:pPr>
    </w:p>
    <w:p>
      <w:pPr>
        <w:spacing w:line="240" w:lineRule="auto" w:before="0"/>
        <w:rPr>
          <w:rFonts w:ascii="Swis721 Lt BT" w:hAnsi="Swis721 Lt BT" w:cs="Swis721 Lt BT" w:eastAsia="Swis721 Lt BT"/>
          <w:sz w:val="20"/>
          <w:szCs w:val="20"/>
        </w:rPr>
      </w:pPr>
    </w:p>
    <w:p>
      <w:pPr>
        <w:spacing w:after="0" w:line="240" w:lineRule="auto"/>
        <w:rPr>
          <w:rFonts w:ascii="Swis721 Lt BT" w:hAnsi="Swis721 Lt BT" w:cs="Swis721 Lt BT" w:eastAsia="Swis721 Lt BT"/>
          <w:sz w:val="20"/>
          <w:szCs w:val="20"/>
        </w:rPr>
        <w:sectPr>
          <w:type w:val="continuous"/>
          <w:pgSz w:w="9980" w:h="14180"/>
          <w:pgMar w:top="0" w:bottom="280" w:left="740" w:right="1020"/>
        </w:sect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9"/>
        <w:rPr>
          <w:rFonts w:ascii="Swis721 Lt BT" w:hAnsi="Swis721 Lt BT" w:cs="Swis721 Lt BT" w:eastAsia="Swis721 Lt BT"/>
          <w:sz w:val="19"/>
          <w:szCs w:val="19"/>
        </w:rPr>
      </w:pPr>
    </w:p>
    <w:p>
      <w:pPr>
        <w:spacing w:line="250" w:lineRule="auto" w:before="0"/>
        <w:ind w:left="280" w:right="0" w:firstLine="0"/>
        <w:jc w:val="left"/>
        <w:rPr>
          <w:rFonts w:ascii="Swis721 Md BT" w:hAnsi="Swis721 Md BT" w:cs="Swis721 Md BT" w:eastAsia="Swis721 Md BT"/>
          <w:sz w:val="16"/>
          <w:szCs w:val="16"/>
        </w:rPr>
      </w:pPr>
      <w:r>
        <w:rPr>
          <w:rFonts w:ascii="Swis721 Md BT"/>
          <w:i/>
          <w:color w:val="303B41"/>
          <w:spacing w:val="-1"/>
          <w:sz w:val="16"/>
        </w:rPr>
        <w:t>Professor</w:t>
      </w:r>
      <w:r>
        <w:rPr>
          <w:rFonts w:ascii="Swis721 Md BT"/>
          <w:i/>
          <w:color w:val="303B41"/>
          <w:sz w:val="16"/>
        </w:rPr>
        <w:t> Donna</w:t>
      </w:r>
      <w:r>
        <w:rPr>
          <w:rFonts w:ascii="Swis721 Md BT"/>
          <w:i/>
          <w:color w:val="303B41"/>
          <w:spacing w:val="24"/>
          <w:sz w:val="16"/>
        </w:rPr>
        <w:t> </w:t>
      </w:r>
      <w:r>
        <w:rPr>
          <w:rFonts w:ascii="Swis721 Md BT"/>
          <w:i/>
          <w:color w:val="303B41"/>
          <w:spacing w:val="-1"/>
          <w:sz w:val="16"/>
        </w:rPr>
        <w:t>Pendergast</w:t>
      </w:r>
      <w:r>
        <w:rPr>
          <w:rFonts w:ascii="Swis721 Md BT"/>
          <w:i/>
          <w:color w:val="303B41"/>
          <w:sz w:val="16"/>
        </w:rPr>
        <w:t> was</w:t>
      </w:r>
      <w:r>
        <w:rPr>
          <w:rFonts w:ascii="Swis721 Md BT"/>
          <w:i/>
          <w:color w:val="303B41"/>
          <w:spacing w:val="27"/>
          <w:sz w:val="16"/>
        </w:rPr>
        <w:t> </w:t>
      </w:r>
      <w:r>
        <w:rPr>
          <w:rFonts w:ascii="Swis721 Md BT"/>
          <w:i/>
          <w:color w:val="303B41"/>
          <w:sz w:val="16"/>
        </w:rPr>
        <w:t>appointed to the AITSL</w:t>
      </w:r>
      <w:r>
        <w:rPr>
          <w:rFonts w:ascii="Swis721 Md BT"/>
          <w:i/>
          <w:color w:val="303B41"/>
          <w:sz w:val="16"/>
        </w:rPr>
        <w:t> Board on 17 June 2018</w:t>
      </w:r>
      <w:r>
        <w:rPr>
          <w:rFonts w:ascii="Swis721 Md BT"/>
          <w:sz w:val="16"/>
        </w:rPr>
      </w:r>
    </w:p>
    <w:p>
      <w:pPr>
        <w:spacing w:line="240" w:lineRule="auto" w:before="10"/>
        <w:rPr>
          <w:rFonts w:ascii="Swis721 Md BT" w:hAnsi="Swis721 Md BT" w:cs="Swis721 Md BT" w:eastAsia="Swis721 Md BT"/>
          <w:i/>
          <w:sz w:val="17"/>
          <w:szCs w:val="17"/>
        </w:rPr>
      </w:pPr>
      <w:r>
        <w:rPr/>
        <w:br w:type="column"/>
      </w:r>
      <w:r>
        <w:rPr>
          <w:rFonts w:ascii="Swis721 Md BT"/>
          <w:i/>
          <w:sz w:val="17"/>
        </w:rPr>
      </w:r>
    </w:p>
    <w:p>
      <w:pPr>
        <w:pStyle w:val="Heading8"/>
        <w:spacing w:line="240" w:lineRule="auto" w:before="0"/>
        <w:ind w:left="280" w:right="0"/>
        <w:jc w:val="left"/>
      </w:pPr>
      <w:r>
        <w:rPr/>
        <w:pict>
          <v:group style="position:absolute;margin-left:42.52pt;margin-top:-6.800917pt;width:399.7pt;height:272pt;mso-position-horizontal-relative:page;mso-position-vertical-relative:paragraph;z-index:-181672" coordorigin="850,-136" coordsize="7994,5440">
            <v:group style="position:absolute;left:850;top:-135;width:2277;height:5438" coordorigin="850,-135" coordsize="2277,5438">
              <v:shape style="position:absolute;left:850;top:-135;width:2277;height:5438" coordorigin="850,-135" coordsize="2277,5438" path="m3127,-135l850,-135,850,5302,3127,5302,3127,-135xe" filled="true" fillcolor="#dae7e8" stroked="false">
                <v:path arrowok="t"/>
                <v:fill type="solid"/>
              </v:shape>
            </v:group>
            <v:group style="position:absolute;left:3127;top:-135;width:2;height:5438" coordorigin="3127,-135" coordsize="2,5438">
              <v:shape style="position:absolute;left:3127;top:-135;width:2;height:5438" coordorigin="3127,-135" coordsize="0,5438" path="m3127,-135l3127,5302e" filled="false" stroked="true" strokeweight=".101pt" strokecolor="#dae7e8">
                <v:path arrowok="t"/>
              </v:shape>
            </v:group>
            <v:group style="position:absolute;left:3127;top:-135;width:5718;height:5438" coordorigin="3127,-135" coordsize="5718,5438">
              <v:shape style="position:absolute;left:3127;top:-135;width:5718;height:5438" coordorigin="3127,-135" coordsize="5718,5438" path="m8844,-135l3127,-135,3127,5302,8844,5302,8844,-135xe" filled="true" fillcolor="#dae7e8" stroked="false">
                <v:path arrowok="t"/>
                <v:fill type="solid"/>
              </v:shape>
              <v:shape style="position:absolute;left:1023;top:38;width:2024;height:2530" type="#_x0000_t75" stroked="false">
                <v:imagedata r:id="rId72" o:title=""/>
              </v:shape>
            </v:group>
            <v:group style="position:absolute;left:1023;top:38;width:2024;height:2530" coordorigin="1023,38" coordsize="2024,2530">
              <v:shape style="position:absolute;left:1023;top:38;width:2024;height:2530" coordorigin="1023,38" coordsize="2024,2530" path="m1023,2568l3047,2568,3047,38,1023,38,1023,2568xe" filled="false" stroked="true" strokeweight=".3pt" strokecolor="#71797f">
                <v:path arrowok="t"/>
              </v:shape>
            </v:group>
            <w10:wrap type="none"/>
          </v:group>
        </w:pict>
      </w:r>
      <w:r>
        <w:rPr>
          <w:color w:val="00757A"/>
        </w:rPr>
        <w:t>Professor Donna </w:t>
      </w:r>
      <w:r>
        <w:rPr>
          <w:color w:val="00757A"/>
          <w:spacing w:val="-1"/>
        </w:rPr>
        <w:t>Pendergast</w:t>
      </w:r>
      <w:r>
        <w:rPr/>
      </w:r>
    </w:p>
    <w:p>
      <w:pPr>
        <w:spacing w:before="34"/>
        <w:ind w:left="280" w:right="0" w:firstLine="0"/>
        <w:jc w:val="left"/>
        <w:rPr>
          <w:rFonts w:ascii="Swis721 Lt BT" w:hAnsi="Swis721 Lt BT" w:cs="Swis721 Lt BT" w:eastAsia="Swis721 Lt BT"/>
          <w:sz w:val="18"/>
          <w:szCs w:val="18"/>
        </w:rPr>
      </w:pPr>
      <w:r>
        <w:rPr>
          <w:rFonts w:ascii="Swis721 Lt BT"/>
          <w:i/>
          <w:color w:val="00757A"/>
          <w:sz w:val="18"/>
        </w:rPr>
        <w:t>BAppSci </w:t>
      </w:r>
      <w:r>
        <w:rPr>
          <w:rFonts w:ascii="Swis721 Lt BT"/>
          <w:i/>
          <w:color w:val="00757A"/>
          <w:spacing w:val="-2"/>
          <w:sz w:val="18"/>
        </w:rPr>
        <w:t>GradDipTeach</w:t>
      </w:r>
      <w:r>
        <w:rPr>
          <w:rFonts w:ascii="Swis721 Lt BT"/>
          <w:i/>
          <w:color w:val="00757A"/>
          <w:sz w:val="18"/>
        </w:rPr>
        <w:t> MEd PhD</w:t>
      </w:r>
      <w:r>
        <w:rPr>
          <w:rFonts w:ascii="Swis721 Lt BT"/>
          <w:sz w:val="18"/>
        </w:rPr>
      </w:r>
    </w:p>
    <w:p>
      <w:pPr>
        <w:pStyle w:val="BodyText"/>
        <w:spacing w:line="240" w:lineRule="auto" w:before="104"/>
        <w:ind w:left="280" w:right="0"/>
        <w:jc w:val="left"/>
        <w:rPr>
          <w:rFonts w:ascii="Swis721 Md BT" w:hAnsi="Swis721 Md BT" w:cs="Swis721 Md BT" w:eastAsia="Swis721 Md BT"/>
        </w:rPr>
      </w:pPr>
      <w:r>
        <w:rPr>
          <w:rFonts w:ascii="Swis721 Md BT"/>
          <w:color w:val="303B41"/>
        </w:rPr>
        <w:t>Non-Executive Director</w:t>
      </w:r>
      <w:r>
        <w:rPr>
          <w:rFonts w:ascii="Swis721 Md BT"/>
        </w:rPr>
      </w:r>
    </w:p>
    <w:p>
      <w:pPr>
        <w:pStyle w:val="BodyText"/>
        <w:spacing w:line="240" w:lineRule="auto"/>
        <w:ind w:left="280" w:right="707"/>
        <w:jc w:val="left"/>
      </w:pPr>
      <w:r>
        <w:rPr>
          <w:color w:val="231F20"/>
        </w:rPr>
        <w:t>As Dean and Head, School of Education and Professional Studies</w:t>
      </w:r>
      <w:r>
        <w:rPr>
          <w:color w:val="231F20"/>
          <w:spacing w:val="-1"/>
        </w:rPr>
        <w:t> </w:t>
      </w:r>
      <w:r>
        <w:rPr>
          <w:color w:val="231F20"/>
        </w:rPr>
        <w:t>at</w:t>
      </w:r>
      <w:r>
        <w:rPr>
          <w:color w:val="231F20"/>
          <w:spacing w:val="-1"/>
        </w:rPr>
        <w:t> </w:t>
      </w:r>
      <w:r>
        <w:rPr>
          <w:color w:val="231F20"/>
        </w:rPr>
        <w:t>Griffith</w:t>
      </w:r>
      <w:r>
        <w:rPr>
          <w:color w:val="231F20"/>
          <w:spacing w:val="-1"/>
        </w:rPr>
        <w:t> </w:t>
      </w:r>
      <w:r>
        <w:rPr>
          <w:color w:val="231F20"/>
          <w:spacing w:val="-2"/>
        </w:rPr>
        <w:t>University,</w:t>
      </w:r>
      <w:r>
        <w:rPr>
          <w:color w:val="231F20"/>
          <w:spacing w:val="-1"/>
        </w:rPr>
        <w:t> </w:t>
      </w:r>
      <w:r>
        <w:rPr>
          <w:color w:val="231F20"/>
        </w:rPr>
        <w:t>Professor Donna</w:t>
      </w:r>
      <w:r>
        <w:rPr>
          <w:color w:val="231F20"/>
          <w:spacing w:val="-1"/>
        </w:rPr>
        <w:t> Pendergast </w:t>
      </w:r>
      <w:r>
        <w:rPr>
          <w:color w:val="231F20"/>
        </w:rPr>
        <w:t>is</w:t>
      </w:r>
      <w:r>
        <w:rPr>
          <w:color w:val="231F20"/>
          <w:spacing w:val="22"/>
        </w:rPr>
        <w:t> </w:t>
      </w:r>
      <w:r>
        <w:rPr>
          <w:color w:val="231F20"/>
        </w:rPr>
        <w:t>a</w:t>
      </w:r>
      <w:r>
        <w:rPr>
          <w:color w:val="231F20"/>
          <w:spacing w:val="-1"/>
        </w:rPr>
        <w:t> </w:t>
      </w:r>
      <w:r>
        <w:rPr>
          <w:color w:val="231F20"/>
        </w:rPr>
        <w:t>passionate</w:t>
      </w:r>
      <w:r>
        <w:rPr>
          <w:color w:val="231F20"/>
          <w:spacing w:val="-1"/>
        </w:rPr>
        <w:t> </w:t>
      </w:r>
      <w:r>
        <w:rPr>
          <w:color w:val="231F20"/>
        </w:rPr>
        <w:t>educator and</w:t>
      </w:r>
      <w:r>
        <w:rPr>
          <w:color w:val="231F20"/>
          <w:spacing w:val="-1"/>
        </w:rPr>
        <w:t> </w:t>
      </w:r>
      <w:r>
        <w:rPr>
          <w:color w:val="231F20"/>
        </w:rPr>
        <w:t>researcher with</w:t>
      </w:r>
      <w:r>
        <w:rPr>
          <w:color w:val="231F20"/>
          <w:spacing w:val="-1"/>
        </w:rPr>
        <w:t> </w:t>
      </w:r>
      <w:r>
        <w:rPr>
          <w:color w:val="231F20"/>
        </w:rPr>
        <w:t>a global</w:t>
      </w:r>
      <w:r>
        <w:rPr>
          <w:color w:val="231F20"/>
          <w:spacing w:val="-1"/>
        </w:rPr>
        <w:t> </w:t>
      </w:r>
      <w:r>
        <w:rPr>
          <w:color w:val="231F20"/>
        </w:rPr>
        <w:t>profile</w:t>
      </w:r>
      <w:r>
        <w:rPr>
          <w:color w:val="231F20"/>
          <w:spacing w:val="-1"/>
        </w:rPr>
        <w:t> </w:t>
      </w:r>
      <w:r>
        <w:rPr>
          <w:color w:val="231F20"/>
        </w:rPr>
        <w:t>in</w:t>
      </w:r>
      <w:r>
        <w:rPr/>
      </w:r>
    </w:p>
    <w:p>
      <w:pPr>
        <w:pStyle w:val="BodyText"/>
        <w:spacing w:line="240" w:lineRule="auto" w:before="0"/>
        <w:ind w:left="280" w:right="452"/>
        <w:jc w:val="left"/>
      </w:pPr>
      <w:r>
        <w:rPr>
          <w:color w:val="231F20"/>
        </w:rPr>
        <w:t>the</w:t>
      </w:r>
      <w:r>
        <w:rPr>
          <w:color w:val="231F20"/>
          <w:spacing w:val="-1"/>
        </w:rPr>
        <w:t> </w:t>
      </w:r>
      <w:r>
        <w:rPr>
          <w:color w:val="231F20"/>
        </w:rPr>
        <w:t>fields</w:t>
      </w:r>
      <w:r>
        <w:rPr>
          <w:color w:val="231F20"/>
          <w:spacing w:val="-1"/>
        </w:rPr>
        <w:t> </w:t>
      </w:r>
      <w:r>
        <w:rPr>
          <w:color w:val="231F20"/>
        </w:rPr>
        <w:t>of middle</w:t>
      </w:r>
      <w:r>
        <w:rPr>
          <w:color w:val="231F20"/>
          <w:spacing w:val="-1"/>
        </w:rPr>
        <w:t> </w:t>
      </w:r>
      <w:r>
        <w:rPr>
          <w:color w:val="231F20"/>
        </w:rPr>
        <w:t>schooling and</w:t>
      </w:r>
      <w:r>
        <w:rPr>
          <w:color w:val="231F20"/>
          <w:spacing w:val="-1"/>
        </w:rPr>
        <w:t> </w:t>
      </w:r>
      <w:r>
        <w:rPr>
          <w:color w:val="231F20"/>
        </w:rPr>
        <w:t>young adolescent</w:t>
      </w:r>
      <w:r>
        <w:rPr>
          <w:color w:val="231F20"/>
          <w:spacing w:val="-1"/>
        </w:rPr>
        <w:t> </w:t>
      </w:r>
      <w:r>
        <w:rPr>
          <w:color w:val="231F20"/>
        </w:rPr>
        <w:t>teaching</w:t>
      </w:r>
      <w:r>
        <w:rPr>
          <w:color w:val="231F20"/>
        </w:rPr>
        <w:t> and learning, and individual and family wellbeing. Donna leads a dynamic school of teacher and professional educators, who are committed to preparing the next generation of teachers and related professionals through agile and </w:t>
      </w:r>
      <w:r>
        <w:rPr>
          <w:color w:val="231F20"/>
          <w:spacing w:val="-1"/>
        </w:rPr>
        <w:t>socially-just</w:t>
      </w:r>
      <w:r>
        <w:rPr>
          <w:color w:val="231F20"/>
        </w:rPr>
        <w:t> educational</w:t>
      </w:r>
      <w:r>
        <w:rPr>
          <w:color w:val="231F20"/>
          <w:spacing w:val="29"/>
        </w:rPr>
        <w:t> </w:t>
      </w:r>
      <w:r>
        <w:rPr>
          <w:color w:val="231F20"/>
        </w:rPr>
        <w:t>practices.</w:t>
      </w:r>
      <w:r>
        <w:rPr/>
      </w:r>
    </w:p>
    <w:p>
      <w:pPr>
        <w:pStyle w:val="BodyText"/>
        <w:spacing w:line="240" w:lineRule="auto"/>
        <w:ind w:left="280" w:right="321"/>
        <w:jc w:val="left"/>
      </w:pPr>
      <w:r>
        <w:rPr>
          <w:color w:val="231F20"/>
        </w:rPr>
        <w:t>Donna has previously worked in </w:t>
      </w:r>
      <w:r>
        <w:rPr>
          <w:color w:val="231F20"/>
          <w:spacing w:val="-5"/>
        </w:rPr>
        <w:t>P-10,</w:t>
      </w:r>
      <w:r>
        <w:rPr>
          <w:color w:val="231F20"/>
        </w:rPr>
        <w:t> secondary and secondary</w:t>
      </w:r>
      <w:r>
        <w:rPr>
          <w:color w:val="231F20"/>
          <w:spacing w:val="23"/>
        </w:rPr>
        <w:t> </w:t>
      </w:r>
      <w:r>
        <w:rPr>
          <w:color w:val="231F20"/>
        </w:rPr>
        <w:t>colleges as a classroom teacher and </w:t>
      </w:r>
      <w:r>
        <w:rPr>
          <w:color w:val="231F20"/>
          <w:spacing w:val="-2"/>
        </w:rPr>
        <w:t>administrator.</w:t>
      </w:r>
      <w:r>
        <w:rPr>
          <w:color w:val="231F20"/>
        </w:rPr>
        <w:t> Donna’s</w:t>
      </w:r>
      <w:r>
        <w:rPr>
          <w:color w:val="231F20"/>
          <w:spacing w:val="21"/>
        </w:rPr>
        <w:t> </w:t>
      </w:r>
      <w:r>
        <w:rPr>
          <w:color w:val="231F20"/>
        </w:rPr>
        <w:t>academic career more recently included her appointment to lead</w:t>
      </w:r>
      <w:r>
        <w:rPr>
          <w:color w:val="231F20"/>
        </w:rPr>
        <w:t> and</w:t>
      </w:r>
      <w:r>
        <w:rPr>
          <w:color w:val="231F20"/>
          <w:spacing w:val="-1"/>
        </w:rPr>
        <w:t> </w:t>
      </w:r>
      <w:r>
        <w:rPr>
          <w:color w:val="231F20"/>
        </w:rPr>
        <w:t>develop the</w:t>
      </w:r>
      <w:r>
        <w:rPr>
          <w:color w:val="231F20"/>
          <w:spacing w:val="-1"/>
        </w:rPr>
        <w:t> </w:t>
      </w:r>
      <w:r>
        <w:rPr>
          <w:color w:val="231F20"/>
        </w:rPr>
        <w:t>first dedicated middle</w:t>
      </w:r>
      <w:r>
        <w:rPr>
          <w:color w:val="231F20"/>
          <w:spacing w:val="-1"/>
        </w:rPr>
        <w:t> </w:t>
      </w:r>
      <w:r>
        <w:rPr>
          <w:color w:val="231F20"/>
        </w:rPr>
        <w:t>years’ teacher education</w:t>
      </w:r>
      <w:r>
        <w:rPr>
          <w:color w:val="231F20"/>
        </w:rPr>
        <w:t> program in Australia, and she has been a prominent player</w:t>
      </w:r>
      <w:r>
        <w:rPr/>
      </w:r>
    </w:p>
    <w:p>
      <w:pPr>
        <w:pStyle w:val="BodyText"/>
        <w:spacing w:line="240" w:lineRule="auto" w:before="0"/>
        <w:ind w:left="280" w:right="170"/>
        <w:jc w:val="left"/>
      </w:pPr>
      <w:r>
        <w:rPr>
          <w:color w:val="231F20"/>
        </w:rPr>
        <w:t>in the state and national agendas related to junior secondary reform. Donna has also conducted a number of national research projects</w:t>
      </w:r>
      <w:r>
        <w:rPr>
          <w:color w:val="231F20"/>
          <w:spacing w:val="-2"/>
        </w:rPr>
        <w:t> </w:t>
      </w:r>
      <w:r>
        <w:rPr>
          <w:color w:val="231F20"/>
        </w:rPr>
        <w:t>of</w:t>
      </w:r>
      <w:r>
        <w:rPr>
          <w:color w:val="231F20"/>
          <w:spacing w:val="-2"/>
        </w:rPr>
        <w:t> </w:t>
      </w:r>
      <w:r>
        <w:rPr>
          <w:color w:val="231F20"/>
        </w:rPr>
        <w:t>significance,</w:t>
      </w:r>
      <w:r>
        <w:rPr>
          <w:color w:val="231F20"/>
          <w:spacing w:val="-2"/>
        </w:rPr>
        <w:t> </w:t>
      </w:r>
      <w:r>
        <w:rPr>
          <w:color w:val="231F20"/>
        </w:rPr>
        <w:t>published</w:t>
      </w:r>
      <w:r>
        <w:rPr>
          <w:color w:val="231F20"/>
          <w:spacing w:val="-1"/>
        </w:rPr>
        <w:t> </w:t>
      </w:r>
      <w:r>
        <w:rPr>
          <w:color w:val="231F20"/>
          <w:spacing w:val="-2"/>
        </w:rPr>
        <w:t>extensively, </w:t>
      </w:r>
      <w:r>
        <w:rPr>
          <w:color w:val="231F20"/>
        </w:rPr>
        <w:t>including</w:t>
      </w:r>
      <w:r>
        <w:rPr>
          <w:color w:val="231F20"/>
          <w:spacing w:val="-2"/>
        </w:rPr>
        <w:t> </w:t>
      </w:r>
      <w:r>
        <w:rPr>
          <w:color w:val="231F20"/>
        </w:rPr>
        <w:t>several</w:t>
      </w:r>
      <w:r>
        <w:rPr>
          <w:color w:val="231F20"/>
          <w:spacing w:val="29"/>
        </w:rPr>
        <w:t> </w:t>
      </w:r>
      <w:r>
        <w:rPr>
          <w:color w:val="231F20"/>
        </w:rPr>
        <w:t>books of relevance to contemporary teacher work.</w:t>
      </w:r>
      <w:r>
        <w:rPr/>
      </w:r>
    </w:p>
    <w:p>
      <w:pPr>
        <w:spacing w:after="0" w:line="240" w:lineRule="auto"/>
        <w:jc w:val="left"/>
        <w:sectPr>
          <w:type w:val="continuous"/>
          <w:pgSz w:w="9980" w:h="14180"/>
          <w:pgMar w:top="0" w:bottom="280" w:left="740" w:right="1020"/>
          <w:cols w:num="2" w:equalWidth="0">
            <w:col w:w="1979" w:space="297"/>
            <w:col w:w="5944"/>
          </w:cols>
        </w:sectPr>
      </w:pPr>
    </w:p>
    <w:p>
      <w:pPr>
        <w:spacing w:line="240" w:lineRule="auto" w:before="5"/>
        <w:rPr>
          <w:rFonts w:ascii="Swis721 Lt BT" w:hAnsi="Swis721 Lt BT" w:cs="Swis721 Lt BT" w:eastAsia="Swis721 Lt BT"/>
          <w:sz w:val="28"/>
          <w:szCs w:val="28"/>
        </w:rPr>
      </w:pPr>
      <w:r>
        <w:rPr/>
        <w:pict>
          <v:group style="position:absolute;margin-left:279.103607pt;margin-top:0pt;width:219.8pt;height:708.7pt;mso-position-horizontal-relative:page;mso-position-vertical-relative:page;z-index:-181648" coordorigin="5582,0" coordsize="4396,14174">
            <v:shape style="position:absolute;left:5582;top:0;width:4396;height:14174" coordorigin="5582,0" coordsize="4396,14174" path="m9978,0l9591,0,5582,14173,9978,14173,9978,0e" filled="true" fillcolor="#bfd22b" stroked="false">
              <v:path arrowok="t"/>
              <v:fill type="solid"/>
            </v:shape>
            <w10:wrap type="none"/>
          </v:group>
        </w:pict>
      </w:r>
    </w:p>
    <w:p>
      <w:pPr>
        <w:spacing w:before="77"/>
        <w:ind w:left="0" w:right="84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7"/>
        <w:rPr>
          <w:rFonts w:ascii="Swis721 Lt BT" w:hAnsi="Swis721 Lt BT" w:cs="Swis721 Lt BT" w:eastAsia="Swis721 Lt BT"/>
          <w:sz w:val="23"/>
          <w:szCs w:val="23"/>
        </w:rPr>
      </w:pPr>
    </w:p>
    <w:p>
      <w:pPr>
        <w:pStyle w:val="Heading5"/>
        <w:spacing w:line="241" w:lineRule="auto" w:before="61"/>
        <w:ind w:left="113" w:right="5072"/>
        <w:jc w:val="left"/>
        <w:rPr>
          <w:b w:val="0"/>
          <w:bCs w:val="0"/>
        </w:rPr>
      </w:pPr>
      <w:r>
        <w:rPr>
          <w:color w:val="005E63"/>
          <w:spacing w:val="-3"/>
        </w:rPr>
        <w:t>COMPANY</w:t>
      </w:r>
      <w:r>
        <w:rPr>
          <w:color w:val="005E63"/>
        </w:rPr>
        <w:t> </w:t>
      </w:r>
      <w:r>
        <w:rPr>
          <w:color w:val="005E63"/>
          <w:spacing w:val="-1"/>
        </w:rPr>
        <w:t>SECRETARY’S</w:t>
      </w:r>
      <w:r>
        <w:rPr>
          <w:color w:val="005E63"/>
          <w:spacing w:val="27"/>
        </w:rPr>
        <w:t> </w:t>
      </w:r>
      <w:r>
        <w:rPr>
          <w:color w:val="005E63"/>
          <w:spacing w:val="-1"/>
        </w:rPr>
        <w:t>QUALIFICATIONS</w:t>
      </w:r>
      <w:r>
        <w:rPr>
          <w:color w:val="005E63"/>
        </w:rPr>
        <w:t> AND</w:t>
      </w:r>
      <w:r>
        <w:rPr>
          <w:color w:val="005E63"/>
          <w:spacing w:val="20"/>
        </w:rPr>
        <w:t> </w:t>
      </w:r>
      <w:r>
        <w:rPr>
          <w:color w:val="005E63"/>
        </w:rPr>
        <w:t>EXPERIENCE</w:t>
      </w:r>
      <w:r>
        <w:rPr>
          <w:b w:val="0"/>
          <w:bCs w:val="0"/>
        </w:rPr>
      </w:r>
    </w:p>
    <w:p>
      <w:pPr>
        <w:pStyle w:val="BodyText"/>
        <w:spacing w:line="240" w:lineRule="auto" w:before="213"/>
        <w:ind w:left="113" w:right="5072"/>
        <w:jc w:val="left"/>
      </w:pPr>
      <w:r>
        <w:rPr>
          <w:color w:val="231F20"/>
          <w:spacing w:val="-2"/>
        </w:rPr>
        <w:t>For</w:t>
      </w:r>
      <w:r>
        <w:rPr>
          <w:color w:val="231F20"/>
          <w:spacing w:val="-3"/>
        </w:rPr>
        <w:t> </w:t>
      </w:r>
      <w:r>
        <w:rPr>
          <w:color w:val="231F20"/>
        </w:rPr>
        <w:t>the</w:t>
      </w:r>
      <w:r>
        <w:rPr>
          <w:color w:val="231F20"/>
          <w:spacing w:val="-2"/>
        </w:rPr>
        <w:t> </w:t>
      </w:r>
      <w:r>
        <w:rPr>
          <w:color w:val="231F20"/>
        </w:rPr>
        <w:t>qualifications</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Company</w:t>
      </w:r>
      <w:r>
        <w:rPr>
          <w:color w:val="231F20"/>
          <w:spacing w:val="21"/>
        </w:rPr>
        <w:t> </w:t>
      </w:r>
      <w:r>
        <w:rPr>
          <w:color w:val="231F20"/>
        </w:rPr>
        <w:t>Secretary please refer to page 16.</w:t>
      </w:r>
      <w:r>
        <w:rPr/>
      </w:r>
    </w:p>
    <w:p>
      <w:pPr>
        <w:spacing w:line="240" w:lineRule="auto" w:before="0"/>
        <w:rPr>
          <w:rFonts w:ascii="Swis721 Lt BT" w:hAnsi="Swis721 Lt BT" w:cs="Swis721 Lt BT" w:eastAsia="Swis721 Lt BT"/>
          <w:sz w:val="18"/>
          <w:szCs w:val="18"/>
        </w:rPr>
      </w:pPr>
    </w:p>
    <w:p>
      <w:pPr>
        <w:spacing w:line="240" w:lineRule="auto" w:before="9"/>
        <w:rPr>
          <w:rFonts w:ascii="Swis721 Lt BT" w:hAnsi="Swis721 Lt BT" w:cs="Swis721 Lt BT" w:eastAsia="Swis721 Lt BT"/>
          <w:sz w:val="25"/>
          <w:szCs w:val="25"/>
        </w:rPr>
      </w:pPr>
    </w:p>
    <w:p>
      <w:pPr>
        <w:pStyle w:val="Heading5"/>
        <w:spacing w:line="241" w:lineRule="auto"/>
        <w:ind w:left="113" w:right="5072"/>
        <w:jc w:val="left"/>
        <w:rPr>
          <w:b w:val="0"/>
          <w:bCs w:val="0"/>
        </w:rPr>
      </w:pPr>
      <w:r>
        <w:rPr>
          <w:color w:val="005E63"/>
        </w:rPr>
        <w:t>BOARD OF DIRECTORS’</w:t>
      </w:r>
      <w:r>
        <w:rPr>
          <w:color w:val="005E63"/>
          <w:spacing w:val="22"/>
        </w:rPr>
        <w:t> </w:t>
      </w:r>
      <w:r>
        <w:rPr>
          <w:color w:val="005E63"/>
        </w:rPr>
        <w:t>MEMBERSHIP</w:t>
      </w:r>
      <w:r>
        <w:rPr>
          <w:b w:val="0"/>
          <w:bCs w:val="0"/>
        </w:rPr>
      </w:r>
    </w:p>
    <w:p>
      <w:pPr>
        <w:pStyle w:val="BodyText"/>
        <w:spacing w:line="240" w:lineRule="auto" w:before="213"/>
        <w:ind w:left="113" w:right="5213"/>
        <w:jc w:val="both"/>
      </w:pPr>
      <w:r>
        <w:rPr>
          <w:color w:val="231F20"/>
        </w:rPr>
        <w:t>AITSL is governed by an independent expert Board of Directors appointed by the Minister for Education.</w:t>
      </w:r>
      <w:r>
        <w:rPr/>
      </w:r>
    </w:p>
    <w:p>
      <w:pPr>
        <w:spacing w:line="240" w:lineRule="auto" w:before="11"/>
        <w:rPr>
          <w:rFonts w:ascii="Swis721 Lt BT" w:hAnsi="Swis721 Lt BT" w:cs="Swis721 Lt BT" w:eastAsia="Swis721 Lt BT"/>
          <w:sz w:val="17"/>
          <w:szCs w:val="17"/>
        </w:rPr>
      </w:pPr>
    </w:p>
    <w:p>
      <w:pPr>
        <w:pStyle w:val="BodyText"/>
        <w:spacing w:line="240" w:lineRule="auto" w:before="0"/>
        <w:ind w:left="113" w:right="0"/>
        <w:jc w:val="left"/>
        <w:rPr>
          <w:rFonts w:ascii="Swis721 Md BT" w:hAnsi="Swis721 Md BT" w:cs="Swis721 Md BT" w:eastAsia="Swis721 Md BT"/>
        </w:rPr>
      </w:pPr>
      <w:r>
        <w:rPr>
          <w:rFonts w:ascii="Swis721 Md BT"/>
          <w:color w:val="303B41"/>
        </w:rPr>
        <w:t>Board Members as at 30 June 2019</w:t>
      </w:r>
      <w:r>
        <w:rPr>
          <w:rFonts w:ascii="Swis721 Md BT"/>
        </w:rPr>
      </w:r>
    </w:p>
    <w:p>
      <w:pPr>
        <w:pStyle w:val="BodyText"/>
        <w:spacing w:line="240" w:lineRule="auto"/>
        <w:ind w:left="340" w:right="0" w:hanging="227"/>
        <w:jc w:val="left"/>
      </w:pPr>
      <w:r>
        <w:rPr>
          <w:rFonts w:ascii="Arial" w:hAnsi="Arial"/>
          <w:color w:val="00757A"/>
        </w:rPr>
        <w:t>ϐ </w:t>
      </w:r>
      <w:r>
        <w:rPr>
          <w:rFonts w:ascii="Arial" w:hAnsi="Arial"/>
          <w:color w:val="00757A"/>
          <w:spacing w:val="8"/>
        </w:rPr>
        <w:t> </w:t>
      </w:r>
      <w:r>
        <w:rPr>
          <w:color w:val="231F20"/>
        </w:rPr>
        <w:t>Laureate</w:t>
      </w:r>
      <w:r>
        <w:rPr>
          <w:color w:val="231F20"/>
          <w:spacing w:val="1"/>
        </w:rPr>
        <w:t> </w:t>
      </w:r>
      <w:r>
        <w:rPr>
          <w:color w:val="231F20"/>
        </w:rPr>
        <w:t>Professor</w:t>
      </w:r>
      <w:r>
        <w:rPr>
          <w:color w:val="231F20"/>
          <w:spacing w:val="1"/>
        </w:rPr>
        <w:t> </w:t>
      </w:r>
      <w:r>
        <w:rPr>
          <w:color w:val="231F20"/>
        </w:rPr>
        <w:t>John</w:t>
      </w:r>
      <w:r>
        <w:rPr>
          <w:color w:val="231F20"/>
          <w:spacing w:val="1"/>
        </w:rPr>
        <w:t> </w:t>
      </w:r>
      <w:r>
        <w:rPr>
          <w:color w:val="231F20"/>
        </w:rPr>
        <w:t>Hattie,</w:t>
      </w:r>
      <w:r>
        <w:rPr/>
      </w:r>
    </w:p>
    <w:p>
      <w:pPr>
        <w:pStyle w:val="BodyText"/>
        <w:spacing w:line="240" w:lineRule="auto" w:before="0"/>
        <w:ind w:left="114" w:right="0" w:firstLine="226"/>
        <w:jc w:val="left"/>
      </w:pPr>
      <w:r>
        <w:rPr>
          <w:color w:val="231F20"/>
        </w:rPr>
        <w:t>Chair/Non-Executive Director</w:t>
      </w:r>
      <w:r>
        <w:rPr/>
      </w:r>
    </w:p>
    <w:p>
      <w:pPr>
        <w:pStyle w:val="BodyText"/>
        <w:spacing w:line="240" w:lineRule="auto"/>
        <w:ind w:left="340" w:right="0" w:hanging="227"/>
        <w:jc w:val="left"/>
      </w:pPr>
      <w:r>
        <w:rPr>
          <w:rFonts w:ascii="Arial" w:hAnsi="Arial"/>
          <w:color w:val="00757A"/>
        </w:rPr>
        <w:t>ϐ </w:t>
      </w:r>
      <w:r>
        <w:rPr>
          <w:rFonts w:ascii="Arial" w:hAnsi="Arial"/>
          <w:color w:val="00757A"/>
          <w:spacing w:val="8"/>
        </w:rPr>
        <w:t> </w:t>
      </w:r>
      <w:r>
        <w:rPr>
          <w:color w:val="231F20"/>
        </w:rPr>
        <w:t>Mr</w:t>
      </w:r>
      <w:r>
        <w:rPr>
          <w:color w:val="231F20"/>
          <w:spacing w:val="1"/>
        </w:rPr>
        <w:t> </w:t>
      </w:r>
      <w:r>
        <w:rPr>
          <w:color w:val="231F20"/>
        </w:rPr>
        <w:t>Christopher</w:t>
      </w:r>
      <w:r>
        <w:rPr>
          <w:color w:val="231F20"/>
          <w:spacing w:val="1"/>
        </w:rPr>
        <w:t> </w:t>
      </w:r>
      <w:r>
        <w:rPr>
          <w:color w:val="231F20"/>
          <w:spacing w:val="-1"/>
        </w:rPr>
        <w:t>Wardlaw</w:t>
      </w:r>
      <w:r>
        <w:rPr>
          <w:color w:val="231F20"/>
          <w:spacing w:val="1"/>
        </w:rPr>
        <w:t> </w:t>
      </w:r>
      <w:r>
        <w:rPr>
          <w:color w:val="231F20"/>
        </w:rPr>
        <w:t>PSM,</w:t>
      </w:r>
      <w:r>
        <w:rPr/>
      </w:r>
    </w:p>
    <w:p>
      <w:pPr>
        <w:pStyle w:val="BodyText"/>
        <w:spacing w:line="240" w:lineRule="auto" w:before="0"/>
        <w:ind w:left="340" w:right="0"/>
        <w:jc w:val="left"/>
      </w:pPr>
      <w:r>
        <w:rPr>
          <w:color w:val="231F20"/>
        </w:rPr>
        <w:t>Deputy Chair/Non-Executive Director</w:t>
      </w:r>
      <w:r>
        <w:rPr/>
      </w:r>
    </w:p>
    <w:p>
      <w:pPr>
        <w:pStyle w:val="BodyText"/>
        <w:spacing w:line="240" w:lineRule="auto"/>
        <w:ind w:left="341" w:right="5072" w:hanging="227"/>
        <w:jc w:val="left"/>
      </w:pPr>
      <w:r>
        <w:rPr>
          <w:rFonts w:ascii="Arial" w:hAnsi="Arial"/>
          <w:color w:val="00757A"/>
        </w:rPr>
        <w:t>ϐ </w:t>
      </w:r>
      <w:r>
        <w:rPr>
          <w:rFonts w:ascii="Arial" w:hAnsi="Arial"/>
          <w:color w:val="00757A"/>
          <w:spacing w:val="8"/>
        </w:rPr>
        <w:t> </w:t>
      </w:r>
      <w:r>
        <w:rPr>
          <w:color w:val="231F20"/>
        </w:rPr>
        <w:t>Dr</w:t>
      </w:r>
      <w:r>
        <w:rPr>
          <w:color w:val="231F20"/>
          <w:spacing w:val="1"/>
        </w:rPr>
        <w:t> </w:t>
      </w:r>
      <w:r>
        <w:rPr>
          <w:color w:val="231F20"/>
        </w:rPr>
        <w:t>Jennifer</w:t>
      </w:r>
      <w:r>
        <w:rPr>
          <w:color w:val="231F20"/>
          <w:spacing w:val="1"/>
        </w:rPr>
        <w:t> </w:t>
      </w:r>
      <w:r>
        <w:rPr>
          <w:color w:val="231F20"/>
        </w:rPr>
        <w:t>Buckingham,</w:t>
      </w:r>
      <w:r>
        <w:rPr>
          <w:color w:val="231F20"/>
          <w:spacing w:val="1"/>
        </w:rPr>
        <w:t> </w:t>
      </w:r>
      <w:r>
        <w:rPr>
          <w:color w:val="231F20"/>
        </w:rPr>
        <w:t>Non-Executive</w:t>
      </w:r>
      <w:r>
        <w:rPr>
          <w:color w:val="231F20"/>
        </w:rPr>
        <w:t> Director</w:t>
      </w:r>
      <w:r>
        <w:rPr/>
      </w:r>
    </w:p>
    <w:p>
      <w:pPr>
        <w:pStyle w:val="BodyText"/>
        <w:spacing w:line="240" w:lineRule="auto"/>
        <w:ind w:left="114" w:right="0"/>
        <w:jc w:val="left"/>
      </w:pPr>
      <w:r>
        <w:rPr>
          <w:rFonts w:ascii="Arial" w:hAnsi="Arial"/>
          <w:color w:val="00757A"/>
        </w:rPr>
        <w:t>ϐ </w:t>
      </w:r>
      <w:r>
        <w:rPr>
          <w:rFonts w:ascii="Arial" w:hAnsi="Arial"/>
          <w:color w:val="00757A"/>
          <w:spacing w:val="8"/>
        </w:rPr>
        <w:t> </w:t>
      </w:r>
      <w:r>
        <w:rPr>
          <w:color w:val="231F20"/>
        </w:rPr>
        <w:t>Mr </w:t>
      </w:r>
      <w:r>
        <w:rPr>
          <w:color w:val="231F20"/>
          <w:spacing w:val="-7"/>
        </w:rPr>
        <w:t>Tony</w:t>
      </w:r>
      <w:r>
        <w:rPr>
          <w:color w:val="231F20"/>
          <w:spacing w:val="1"/>
        </w:rPr>
        <w:t> </w:t>
      </w:r>
      <w:r>
        <w:rPr>
          <w:color w:val="231F20"/>
        </w:rPr>
        <w:t>Cook</w:t>
      </w:r>
      <w:r>
        <w:rPr>
          <w:color w:val="231F20"/>
          <w:spacing w:val="1"/>
        </w:rPr>
        <w:t> </w:t>
      </w:r>
      <w:r>
        <w:rPr>
          <w:color w:val="231F20"/>
        </w:rPr>
        <w:t>PSM, Non-Executive</w:t>
      </w:r>
      <w:r>
        <w:rPr>
          <w:color w:val="231F20"/>
          <w:spacing w:val="1"/>
        </w:rPr>
        <w:t> </w:t>
      </w:r>
      <w:r>
        <w:rPr>
          <w:color w:val="231F20"/>
        </w:rPr>
        <w:t>Director</w:t>
      </w:r>
      <w:r>
        <w:rPr/>
      </w:r>
    </w:p>
    <w:p>
      <w:pPr>
        <w:pStyle w:val="BodyText"/>
        <w:spacing w:line="240" w:lineRule="auto"/>
        <w:ind w:left="114" w:right="0"/>
        <w:jc w:val="left"/>
      </w:pPr>
      <w:r>
        <w:rPr>
          <w:rFonts w:ascii="Arial" w:hAnsi="Arial"/>
          <w:color w:val="00757A"/>
        </w:rPr>
        <w:t>ϐ </w:t>
      </w:r>
      <w:r>
        <w:rPr>
          <w:rFonts w:ascii="Arial" w:hAnsi="Arial"/>
          <w:color w:val="00757A"/>
          <w:spacing w:val="8"/>
        </w:rPr>
        <w:t> </w:t>
      </w:r>
      <w:r>
        <w:rPr>
          <w:color w:val="231F20"/>
        </w:rPr>
        <w:t>Mr</w:t>
      </w:r>
      <w:r>
        <w:rPr>
          <w:color w:val="231F20"/>
          <w:spacing w:val="1"/>
        </w:rPr>
        <w:t> </w:t>
      </w:r>
      <w:r>
        <w:rPr>
          <w:color w:val="231F20"/>
        </w:rPr>
        <w:t>Rob Nairn,</w:t>
      </w:r>
      <w:r>
        <w:rPr>
          <w:color w:val="231F20"/>
          <w:spacing w:val="1"/>
        </w:rPr>
        <w:t> </w:t>
      </w:r>
      <w:r>
        <w:rPr>
          <w:color w:val="231F20"/>
        </w:rPr>
        <w:t>Non-Executive</w:t>
      </w:r>
      <w:r>
        <w:rPr>
          <w:color w:val="231F20"/>
          <w:spacing w:val="1"/>
        </w:rPr>
        <w:t> </w:t>
      </w:r>
      <w:r>
        <w:rPr>
          <w:color w:val="231F20"/>
        </w:rPr>
        <w:t>Director</w:t>
      </w:r>
      <w:r>
        <w:rPr/>
      </w:r>
    </w:p>
    <w:p>
      <w:pPr>
        <w:pStyle w:val="BodyText"/>
        <w:spacing w:line="340" w:lineRule="atLeast" w:before="1"/>
        <w:ind w:left="114" w:right="5043" w:hanging="1"/>
        <w:jc w:val="left"/>
      </w:pPr>
      <w:r>
        <w:rPr>
          <w:rFonts w:ascii="Arial" w:hAnsi="Arial"/>
          <w:color w:val="00757A"/>
        </w:rPr>
        <w:t>ϐ </w:t>
      </w:r>
      <w:r>
        <w:rPr>
          <w:rFonts w:ascii="Arial" w:hAnsi="Arial"/>
          <w:color w:val="00757A"/>
          <w:spacing w:val="8"/>
        </w:rPr>
        <w:t> </w:t>
      </w:r>
      <w:r>
        <w:rPr>
          <w:color w:val="231F20"/>
        </w:rPr>
        <w:t>Mr</w:t>
      </w:r>
      <w:r>
        <w:rPr>
          <w:color w:val="231F20"/>
          <w:spacing w:val="1"/>
        </w:rPr>
        <w:t> </w:t>
      </w:r>
      <w:r>
        <w:rPr>
          <w:color w:val="231F20"/>
        </w:rPr>
        <w:t>Mark </w:t>
      </w:r>
      <w:r>
        <w:rPr>
          <w:color w:val="231F20"/>
          <w:spacing w:val="-2"/>
        </w:rPr>
        <w:t>Mowbray,</w:t>
      </w:r>
      <w:r>
        <w:rPr>
          <w:color w:val="231F20"/>
          <w:spacing w:val="1"/>
        </w:rPr>
        <w:t> </w:t>
      </w:r>
      <w:r>
        <w:rPr>
          <w:color w:val="231F20"/>
        </w:rPr>
        <w:t>Non-Executive</w:t>
      </w:r>
      <w:r>
        <w:rPr>
          <w:color w:val="231F20"/>
          <w:spacing w:val="1"/>
        </w:rPr>
        <w:t> </w:t>
      </w:r>
      <w:r>
        <w:rPr>
          <w:color w:val="231F20"/>
        </w:rPr>
        <w:t>Director</w:t>
      </w:r>
      <w:r>
        <w:rPr>
          <w:color w:val="231F20"/>
          <w:spacing w:val="21"/>
        </w:rPr>
        <w:t> </w:t>
      </w:r>
      <w:r>
        <w:rPr>
          <w:rFonts w:ascii="Arial" w:hAnsi="Arial"/>
          <w:color w:val="00757A"/>
        </w:rPr>
        <w:t>ϐ </w:t>
      </w:r>
      <w:r>
        <w:rPr>
          <w:rFonts w:ascii="Arial" w:hAnsi="Arial"/>
          <w:color w:val="00757A"/>
          <w:spacing w:val="8"/>
        </w:rPr>
        <w:t> </w:t>
      </w:r>
      <w:r>
        <w:rPr>
          <w:color w:val="231F20"/>
        </w:rPr>
        <w:t>Ms</w:t>
      </w:r>
      <w:r>
        <w:rPr>
          <w:color w:val="231F20"/>
          <w:spacing w:val="1"/>
        </w:rPr>
        <w:t> </w:t>
      </w:r>
      <w:r>
        <w:rPr>
          <w:color w:val="231F20"/>
        </w:rPr>
        <w:t>Renez Lammon,</w:t>
      </w:r>
      <w:r>
        <w:rPr>
          <w:color w:val="231F20"/>
          <w:spacing w:val="1"/>
        </w:rPr>
        <w:t> </w:t>
      </w:r>
      <w:r>
        <w:rPr>
          <w:color w:val="231F20"/>
        </w:rPr>
        <w:t>Non-Executive</w:t>
      </w:r>
      <w:r>
        <w:rPr>
          <w:color w:val="231F20"/>
          <w:spacing w:val="1"/>
        </w:rPr>
        <w:t> </w:t>
      </w:r>
      <w:r>
        <w:rPr>
          <w:color w:val="231F20"/>
        </w:rPr>
        <w:t>Director</w:t>
      </w:r>
      <w:r>
        <w:rPr>
          <w:color w:val="231F20"/>
        </w:rPr>
        <w:t> </w:t>
      </w:r>
      <w:r>
        <w:rPr>
          <w:rFonts w:ascii="Arial" w:hAnsi="Arial"/>
          <w:color w:val="00757A"/>
        </w:rPr>
        <w:t>ϐ </w:t>
      </w:r>
      <w:r>
        <w:rPr>
          <w:rFonts w:ascii="Arial" w:hAnsi="Arial"/>
          <w:color w:val="00757A"/>
          <w:spacing w:val="9"/>
        </w:rPr>
        <w:t> </w:t>
      </w:r>
      <w:r>
        <w:rPr>
          <w:color w:val="231F20"/>
        </w:rPr>
        <w:t>Professor</w:t>
      </w:r>
      <w:r>
        <w:rPr>
          <w:color w:val="231F20"/>
          <w:spacing w:val="1"/>
        </w:rPr>
        <w:t> </w:t>
      </w:r>
      <w:r>
        <w:rPr>
          <w:color w:val="231F20"/>
        </w:rPr>
        <w:t>Donna</w:t>
      </w:r>
      <w:r>
        <w:rPr>
          <w:color w:val="231F20"/>
          <w:spacing w:val="1"/>
        </w:rPr>
        <w:t> </w:t>
      </w:r>
      <w:r>
        <w:rPr>
          <w:color w:val="231F20"/>
          <w:spacing w:val="-1"/>
        </w:rPr>
        <w:t>Pendergast,</w:t>
      </w:r>
      <w:r>
        <w:rPr/>
      </w:r>
    </w:p>
    <w:p>
      <w:pPr>
        <w:pStyle w:val="BodyText"/>
        <w:spacing w:line="240" w:lineRule="auto" w:before="0"/>
        <w:ind w:left="342" w:right="0"/>
        <w:jc w:val="left"/>
      </w:pPr>
      <w:r>
        <w:rPr>
          <w:color w:val="231F20"/>
        </w:rPr>
        <w:t>Non-Executive Director</w:t>
      </w:r>
      <w:r>
        <w:rPr/>
      </w:r>
    </w:p>
    <w:p>
      <w:pPr>
        <w:pStyle w:val="BodyText"/>
        <w:spacing w:line="240" w:lineRule="auto"/>
        <w:ind w:left="342" w:right="5072" w:hanging="227"/>
        <w:jc w:val="left"/>
      </w:pPr>
      <w:r>
        <w:rPr>
          <w:rFonts w:ascii="Arial" w:hAnsi="Arial"/>
          <w:color w:val="00757A"/>
        </w:rPr>
        <w:t>ϐ </w:t>
      </w:r>
      <w:r>
        <w:rPr>
          <w:rFonts w:ascii="Arial" w:hAnsi="Arial"/>
          <w:color w:val="00757A"/>
          <w:spacing w:val="8"/>
        </w:rPr>
        <w:t> </w:t>
      </w:r>
      <w:r>
        <w:rPr>
          <w:color w:val="231F20"/>
        </w:rPr>
        <w:t>Ms</w:t>
      </w:r>
      <w:r>
        <w:rPr>
          <w:color w:val="231F20"/>
          <w:spacing w:val="1"/>
        </w:rPr>
        <w:t> </w:t>
      </w:r>
      <w:r>
        <w:rPr>
          <w:color w:val="231F20"/>
        </w:rPr>
        <w:t>Beth</w:t>
      </w:r>
      <w:r>
        <w:rPr>
          <w:color w:val="231F20"/>
          <w:spacing w:val="1"/>
        </w:rPr>
        <w:t> </w:t>
      </w:r>
      <w:r>
        <w:rPr>
          <w:color w:val="231F20"/>
        </w:rPr>
        <w:t>Blackwood,</w:t>
      </w:r>
      <w:r>
        <w:rPr>
          <w:color w:val="231F20"/>
          <w:spacing w:val="1"/>
        </w:rPr>
        <w:t> </w:t>
      </w:r>
      <w:r>
        <w:rPr>
          <w:color w:val="231F20"/>
        </w:rPr>
        <w:t>Non-Executive</w:t>
      </w:r>
      <w:r>
        <w:rPr>
          <w:color w:val="231F20"/>
        </w:rPr>
        <w:t> Director</w:t>
      </w:r>
      <w:r>
        <w:rPr/>
      </w:r>
    </w:p>
    <w:p>
      <w:pPr>
        <w:pStyle w:val="BodyText"/>
        <w:spacing w:line="240" w:lineRule="auto"/>
        <w:ind w:left="115" w:right="0"/>
        <w:jc w:val="left"/>
      </w:pPr>
      <w:r>
        <w:rPr>
          <w:rFonts w:ascii="Arial" w:hAnsi="Arial"/>
          <w:color w:val="00757A"/>
        </w:rPr>
        <w:t>ϐ </w:t>
      </w:r>
      <w:r>
        <w:rPr>
          <w:rFonts w:ascii="Arial" w:hAnsi="Arial"/>
          <w:color w:val="00757A"/>
          <w:spacing w:val="8"/>
        </w:rPr>
        <w:t> </w:t>
      </w:r>
      <w:r>
        <w:rPr>
          <w:color w:val="231F20"/>
        </w:rPr>
        <w:t>Dr</w:t>
      </w:r>
      <w:r>
        <w:rPr>
          <w:color w:val="231F20"/>
          <w:spacing w:val="1"/>
        </w:rPr>
        <w:t> </w:t>
      </w:r>
      <w:r>
        <w:rPr>
          <w:color w:val="231F20"/>
          <w:spacing w:val="-2"/>
        </w:rPr>
        <w:t>Peter</w:t>
      </w:r>
      <w:r>
        <w:rPr>
          <w:color w:val="231F20"/>
        </w:rPr>
        <w:t> Lind,</w:t>
      </w:r>
      <w:r>
        <w:rPr>
          <w:color w:val="231F20"/>
          <w:spacing w:val="1"/>
        </w:rPr>
        <w:t> </w:t>
      </w:r>
      <w:r>
        <w:rPr>
          <w:color w:val="231F20"/>
        </w:rPr>
        <w:t>Non-Executive</w:t>
      </w:r>
      <w:r>
        <w:rPr>
          <w:color w:val="231F20"/>
          <w:spacing w:val="1"/>
        </w:rPr>
        <w:t> </w:t>
      </w:r>
      <w:r>
        <w:rPr>
          <w:color w:val="231F20"/>
        </w:rPr>
        <w:t>Director</w:t>
      </w:r>
      <w:r>
        <w:rPr/>
      </w:r>
    </w:p>
    <w:p>
      <w:pPr>
        <w:pStyle w:val="BodyText"/>
        <w:spacing w:line="240" w:lineRule="auto"/>
        <w:ind w:left="115" w:right="0"/>
        <w:jc w:val="left"/>
      </w:pPr>
      <w:r>
        <w:rPr>
          <w:rFonts w:ascii="Arial" w:hAnsi="Arial"/>
          <w:color w:val="00757A"/>
        </w:rPr>
        <w:t>ϐ </w:t>
      </w:r>
      <w:r>
        <w:rPr>
          <w:rFonts w:ascii="Arial" w:hAnsi="Arial"/>
          <w:color w:val="00757A"/>
          <w:spacing w:val="8"/>
        </w:rPr>
        <w:t> </w:t>
      </w:r>
      <w:r>
        <w:rPr>
          <w:color w:val="231F20"/>
        </w:rPr>
        <w:t>Ms</w:t>
      </w:r>
      <w:r>
        <w:rPr>
          <w:color w:val="231F20"/>
          <w:spacing w:val="1"/>
        </w:rPr>
        <w:t> </w:t>
      </w:r>
      <w:r>
        <w:rPr>
          <w:color w:val="231F20"/>
        </w:rPr>
        <w:t>Alex Gordon,</w:t>
      </w:r>
      <w:r>
        <w:rPr>
          <w:color w:val="231F20"/>
          <w:spacing w:val="1"/>
        </w:rPr>
        <w:t> </w:t>
      </w:r>
      <w:r>
        <w:rPr>
          <w:color w:val="231F20"/>
        </w:rPr>
        <w:t>Non-Executive</w:t>
      </w:r>
      <w:r>
        <w:rPr>
          <w:color w:val="231F20"/>
          <w:spacing w:val="1"/>
        </w:rPr>
        <w:t> </w:t>
      </w:r>
      <w:r>
        <w:rPr>
          <w:color w:val="231F20"/>
        </w:rPr>
        <w:t>Director</w:t>
      </w:r>
      <w:r>
        <w:rPr/>
      </w:r>
    </w:p>
    <w:p>
      <w:pPr>
        <w:pStyle w:val="BodyText"/>
        <w:spacing w:line="240" w:lineRule="auto"/>
        <w:ind w:left="115" w:right="5072"/>
        <w:jc w:val="left"/>
      </w:pPr>
      <w:r>
        <w:rPr>
          <w:color w:val="231F20"/>
        </w:rPr>
        <w:t>AITSL’s organisational structure and Board committees are reported on page 78.</w:t>
      </w:r>
      <w:r>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19"/>
          <w:szCs w:val="19"/>
        </w:rPr>
      </w:pPr>
    </w:p>
    <w:p>
      <w:pPr>
        <w:spacing w:before="0"/>
        <w:ind w:left="0" w:right="848" w:firstLine="0"/>
        <w:jc w:val="right"/>
        <w:rPr>
          <w:rFonts w:ascii="Swis721 Lt BT" w:hAnsi="Swis721 Lt BT" w:cs="Swis721 Lt BT" w:eastAsia="Swis721 Lt BT"/>
          <w:sz w:val="16"/>
          <w:szCs w:val="16"/>
        </w:rPr>
      </w:pPr>
      <w:r>
        <w:rPr>
          <w:rFonts w:ascii="Swis721 Lt BT"/>
          <w:color w:val="231F20"/>
          <w:sz w:val="16"/>
        </w:rPr>
        <w:t>43</w:t>
      </w:r>
      <w:r>
        <w:rPr>
          <w:rFonts w:ascii="Swis721 Lt BT"/>
          <w:sz w:val="16"/>
        </w:rPr>
      </w:r>
    </w:p>
    <w:p>
      <w:pPr>
        <w:spacing w:after="0"/>
        <w:jc w:val="right"/>
        <w:rPr>
          <w:rFonts w:ascii="Swis721 Lt BT" w:hAnsi="Swis721 Lt BT" w:cs="Swis721 Lt BT" w:eastAsia="Swis721 Lt BT"/>
          <w:sz w:val="16"/>
          <w:szCs w:val="16"/>
        </w:rPr>
        <w:sectPr>
          <w:footerReference w:type="default" r:id="rId73"/>
          <w:pgSz w:w="9980" w:h="14180"/>
          <w:pgMar w:footer="0" w:header="0" w:top="0" w:bottom="0" w:left="1020" w:right="0"/>
        </w:sectPr>
      </w:pPr>
    </w:p>
    <w:p>
      <w:pPr>
        <w:spacing w:before="48"/>
        <w:ind w:left="110" w:right="0" w:firstLine="0"/>
        <w:jc w:val="left"/>
        <w:rPr>
          <w:rFonts w:ascii="Swis721 Lt BT" w:hAnsi="Swis721 Lt BT" w:cs="Swis721 Lt BT" w:eastAsia="Swis721 Lt BT"/>
          <w:sz w:val="16"/>
          <w:szCs w:val="16"/>
        </w:rPr>
      </w:pPr>
      <w:r>
        <w:rPr>
          <w:rFonts w:ascii="Swis721 BT" w:hAnsi="Swis721 BT" w:cs="Swis721 BT" w:eastAsia="Swis721 BT"/>
          <w:b/>
          <w:bCs/>
          <w:color w:val="00757A"/>
          <w:sz w:val="16"/>
          <w:szCs w:val="16"/>
        </w:rPr>
        <w:t>DIRECTORS’ REPORT </w:t>
      </w:r>
      <w:r>
        <w:rPr>
          <w:rFonts w:ascii="Swis721 Lt BT" w:hAnsi="Swis721 Lt BT" w:cs="Swis721 Lt BT" w:eastAsia="Swis721 Lt BT"/>
          <w:color w:val="00757A"/>
          <w:sz w:val="16"/>
          <w:szCs w:val="16"/>
        </w:rPr>
        <w:t>CONTINUED</w:t>
      </w:r>
      <w:r>
        <w:rPr>
          <w:rFonts w:ascii="Swis721 Lt BT" w:hAnsi="Swis721 Lt BT" w:cs="Swis721 Lt BT" w:eastAsia="Swis721 Lt BT"/>
          <w:sz w:val="16"/>
          <w:szCs w:val="16"/>
        </w:rPr>
      </w:r>
    </w:p>
    <w:p>
      <w:pPr>
        <w:spacing w:line="240" w:lineRule="auto" w:before="0"/>
        <w:rPr>
          <w:rFonts w:ascii="Swis721 Lt BT" w:hAnsi="Swis721 Lt BT" w:cs="Swis721 Lt BT" w:eastAsia="Swis721 Lt BT"/>
          <w:sz w:val="16"/>
          <w:szCs w:val="16"/>
        </w:rPr>
      </w:pPr>
    </w:p>
    <w:p>
      <w:pPr>
        <w:spacing w:line="240" w:lineRule="auto" w:before="0"/>
        <w:rPr>
          <w:rFonts w:ascii="Swis721 Lt BT" w:hAnsi="Swis721 Lt BT" w:cs="Swis721 Lt BT" w:eastAsia="Swis721 Lt BT"/>
          <w:sz w:val="16"/>
          <w:szCs w:val="16"/>
        </w:rPr>
      </w:pPr>
    </w:p>
    <w:p>
      <w:pPr>
        <w:spacing w:line="240" w:lineRule="auto" w:before="10"/>
        <w:rPr>
          <w:rFonts w:ascii="Swis721 Lt BT" w:hAnsi="Swis721 Lt BT" w:cs="Swis721 Lt BT" w:eastAsia="Swis721 Lt BT"/>
          <w:sz w:val="18"/>
          <w:szCs w:val="18"/>
        </w:rPr>
      </w:pPr>
    </w:p>
    <w:p>
      <w:pPr>
        <w:pStyle w:val="Heading5"/>
        <w:spacing w:line="240" w:lineRule="auto"/>
        <w:ind w:right="0"/>
        <w:jc w:val="left"/>
        <w:rPr>
          <w:b w:val="0"/>
          <w:bCs w:val="0"/>
        </w:rPr>
      </w:pPr>
      <w:r>
        <w:rPr>
          <w:color w:val="005E63"/>
        </w:rPr>
        <w:t>BOARD OF DIRECTORS’ MEETINGS</w:t>
      </w:r>
      <w:r>
        <w:rPr>
          <w:b w:val="0"/>
          <w:bCs w:val="0"/>
        </w:rPr>
      </w: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1"/>
        <w:rPr>
          <w:rFonts w:ascii="Swis721 BT" w:hAnsi="Swis721 BT" w:cs="Swis721 BT" w:eastAsia="Swis721 BT"/>
          <w:b/>
          <w:bCs/>
          <w:sz w:val="21"/>
          <w:szCs w:val="21"/>
        </w:rPr>
      </w:pPr>
    </w:p>
    <w:p>
      <w:pPr>
        <w:spacing w:before="71"/>
        <w:ind w:left="191" w:right="6420" w:firstLine="0"/>
        <w:jc w:val="left"/>
        <w:rPr>
          <w:rFonts w:ascii="Swis721 Lt BT" w:hAnsi="Swis721 Lt BT" w:cs="Swis721 Lt BT" w:eastAsia="Swis721 Lt BT"/>
          <w:sz w:val="18"/>
          <w:szCs w:val="18"/>
        </w:rPr>
      </w:pPr>
      <w:r>
        <w:rPr/>
        <w:pict>
          <v:shape style="position:absolute;margin-left:42.52pt;margin-top:-227.890305pt;width:399.45pt;height:254.95pt;mso-position-horizontal-relative:page;mso-position-vertical-relative:paragraph;z-index:402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431"/>
                    <w:gridCol w:w="820"/>
                    <w:gridCol w:w="820"/>
                    <w:gridCol w:w="820"/>
                    <w:gridCol w:w="820"/>
                    <w:gridCol w:w="820"/>
                    <w:gridCol w:w="820"/>
                    <w:gridCol w:w="820"/>
                    <w:gridCol w:w="820"/>
                  </w:tblGrid>
                  <w:tr>
                    <w:trPr>
                      <w:trHeight w:val="514" w:hRule="exact"/>
                    </w:trPr>
                    <w:tc>
                      <w:tcPr>
                        <w:tcW w:w="1431" w:type="dxa"/>
                        <w:vMerge w:val="restart"/>
                        <w:tcBorders>
                          <w:top w:val="nil" w:sz="6" w:space="0" w:color="auto"/>
                          <w:left w:val="nil" w:sz="6" w:space="0" w:color="auto"/>
                          <w:right w:val="nil" w:sz="6" w:space="0" w:color="auto"/>
                        </w:tcBorders>
                        <w:shd w:val="clear" w:color="auto" w:fill="BFD22B"/>
                      </w:tcPr>
                      <w:p>
                        <w:pPr>
                          <w:pStyle w:val="TableParagraph"/>
                          <w:spacing w:line="240" w:lineRule="auto" w:before="44"/>
                          <w:ind w:left="79" w:right="0"/>
                          <w:jc w:val="left"/>
                          <w:rPr>
                            <w:rFonts w:ascii="Swis721 Cn BT" w:hAnsi="Swis721 Cn BT" w:cs="Swis721 Cn BT" w:eastAsia="Swis721 Cn BT"/>
                            <w:sz w:val="18"/>
                            <w:szCs w:val="18"/>
                          </w:rPr>
                        </w:pPr>
                        <w:r>
                          <w:rPr>
                            <w:rFonts w:ascii="Swis721 Cn BT"/>
                            <w:color w:val="303B41"/>
                            <w:sz w:val="18"/>
                          </w:rPr>
                          <w:t>Director</w:t>
                        </w:r>
                        <w:r>
                          <w:rPr>
                            <w:rFonts w:ascii="Swis721 Cn BT"/>
                            <w:sz w:val="18"/>
                          </w:rPr>
                        </w:r>
                      </w:p>
                    </w:tc>
                    <w:tc>
                      <w:tcPr>
                        <w:tcW w:w="1639" w:type="dxa"/>
                        <w:gridSpan w:val="2"/>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8"/>
                          <w:jc w:val="right"/>
                          <w:rPr>
                            <w:rFonts w:ascii="Swis721 Cn BT" w:hAnsi="Swis721 Cn BT" w:cs="Swis721 Cn BT" w:eastAsia="Swis721 Cn BT"/>
                            <w:sz w:val="18"/>
                            <w:szCs w:val="18"/>
                          </w:rPr>
                        </w:pPr>
                        <w:r>
                          <w:rPr>
                            <w:rFonts w:ascii="Swis721 Cn BT"/>
                            <w:color w:val="303B41"/>
                            <w:w w:val="95"/>
                            <w:sz w:val="18"/>
                          </w:rPr>
                          <w:t>Board</w:t>
                        </w:r>
                        <w:r>
                          <w:rPr>
                            <w:rFonts w:ascii="Swis721 Cn BT"/>
                            <w:sz w:val="18"/>
                          </w:rPr>
                        </w:r>
                      </w:p>
                    </w:tc>
                    <w:tc>
                      <w:tcPr>
                        <w:tcW w:w="1639" w:type="dxa"/>
                        <w:gridSpan w:val="2"/>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572" w:right="0"/>
                          <w:jc w:val="left"/>
                          <w:rPr>
                            <w:rFonts w:ascii="Swis721 Cn BT" w:hAnsi="Swis721 Cn BT" w:cs="Swis721 Cn BT" w:eastAsia="Swis721 Cn BT"/>
                            <w:sz w:val="18"/>
                            <w:szCs w:val="18"/>
                          </w:rPr>
                        </w:pPr>
                        <w:r>
                          <w:rPr>
                            <w:rFonts w:ascii="Swis721 Cn BT"/>
                            <w:color w:val="303B41"/>
                            <w:sz w:val="18"/>
                          </w:rPr>
                          <w:t>Audit and Risk</w:t>
                        </w:r>
                        <w:r>
                          <w:rPr>
                            <w:rFonts w:ascii="Swis721 Cn BT"/>
                            <w:sz w:val="18"/>
                          </w:rPr>
                        </w:r>
                      </w:p>
                    </w:tc>
                    <w:tc>
                      <w:tcPr>
                        <w:tcW w:w="1639" w:type="dxa"/>
                        <w:gridSpan w:val="2"/>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249" w:right="0"/>
                          <w:jc w:val="left"/>
                          <w:rPr>
                            <w:rFonts w:ascii="Swis721 Cn BT" w:hAnsi="Swis721 Cn BT" w:cs="Swis721 Cn BT" w:eastAsia="Swis721 Cn BT"/>
                            <w:sz w:val="18"/>
                            <w:szCs w:val="18"/>
                          </w:rPr>
                        </w:pPr>
                        <w:r>
                          <w:rPr>
                            <w:rFonts w:ascii="Swis721 Cn BT"/>
                            <w:color w:val="303B41"/>
                            <w:sz w:val="18"/>
                          </w:rPr>
                          <w:t>Finance Committee</w:t>
                        </w:r>
                        <w:r>
                          <w:rPr>
                            <w:rFonts w:ascii="Swis721 Cn BT"/>
                            <w:sz w:val="18"/>
                          </w:rPr>
                        </w:r>
                      </w:p>
                    </w:tc>
                    <w:tc>
                      <w:tcPr>
                        <w:tcW w:w="1639" w:type="dxa"/>
                        <w:gridSpan w:val="2"/>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819" w:right="78" w:hanging="208"/>
                          <w:jc w:val="left"/>
                          <w:rPr>
                            <w:rFonts w:ascii="Swis721 Cn BT" w:hAnsi="Swis721 Cn BT" w:cs="Swis721 Cn BT" w:eastAsia="Swis721 Cn BT"/>
                            <w:sz w:val="18"/>
                            <w:szCs w:val="18"/>
                          </w:rPr>
                        </w:pPr>
                        <w:r>
                          <w:rPr>
                            <w:rFonts w:ascii="Swis721 Cn BT"/>
                            <w:color w:val="303B41"/>
                            <w:spacing w:val="-1"/>
                            <w:sz w:val="18"/>
                          </w:rPr>
                          <w:t>Remuneration</w:t>
                        </w:r>
                        <w:r>
                          <w:rPr>
                            <w:rFonts w:ascii="Swis721 Cn BT"/>
                            <w:color w:val="303B41"/>
                            <w:spacing w:val="28"/>
                            <w:sz w:val="18"/>
                          </w:rPr>
                          <w:t> </w:t>
                        </w:r>
                        <w:r>
                          <w:rPr>
                            <w:rFonts w:ascii="Swis721 Cn BT"/>
                            <w:color w:val="303B41"/>
                            <w:sz w:val="18"/>
                          </w:rPr>
                          <w:t>Committee</w:t>
                        </w:r>
                        <w:r>
                          <w:rPr>
                            <w:rFonts w:ascii="Swis721 Cn BT"/>
                            <w:sz w:val="18"/>
                          </w:rPr>
                        </w:r>
                      </w:p>
                    </w:tc>
                  </w:tr>
                  <w:tr>
                    <w:trPr>
                      <w:trHeight w:val="730" w:hRule="exact"/>
                    </w:trPr>
                    <w:tc>
                      <w:tcPr>
                        <w:tcW w:w="1431" w:type="dxa"/>
                        <w:vMerge/>
                        <w:tcBorders>
                          <w:left w:val="nil" w:sz="6" w:space="0" w:color="auto"/>
                          <w:bottom w:val="single" w:sz="2" w:space="0" w:color="71797F"/>
                          <w:right w:val="nil" w:sz="6" w:space="0" w:color="auto"/>
                        </w:tcBorders>
                        <w:shd w:val="clear" w:color="auto" w:fill="BFD22B"/>
                      </w:tcPr>
                      <w:p>
                        <w:pPr/>
                      </w:p>
                    </w:tc>
                    <w:tc>
                      <w:tcPr>
                        <w:tcW w:w="820" w:type="dxa"/>
                        <w:tcBorders>
                          <w:top w:val="nil" w:sz="6" w:space="0" w:color="auto"/>
                          <w:left w:val="nil" w:sz="6" w:space="0" w:color="auto"/>
                          <w:bottom w:val="single" w:sz="2" w:space="0" w:color="71797F"/>
                          <w:right w:val="nil" w:sz="6" w:space="0" w:color="auto"/>
                        </w:tcBorders>
                        <w:shd w:val="clear" w:color="auto" w:fill="EBF0C9"/>
                      </w:tcPr>
                      <w:p>
                        <w:pPr>
                          <w:pStyle w:val="TableParagraph"/>
                          <w:spacing w:line="240" w:lineRule="auto" w:before="44"/>
                          <w:ind w:left="91" w:right="78" w:firstLine="107"/>
                          <w:jc w:val="left"/>
                          <w:rPr>
                            <w:rFonts w:ascii="Swis721 Cn BT" w:hAnsi="Swis721 Cn BT" w:cs="Swis721 Cn BT" w:eastAsia="Swis721 Cn BT"/>
                            <w:sz w:val="18"/>
                            <w:szCs w:val="18"/>
                          </w:rPr>
                        </w:pPr>
                        <w:r>
                          <w:rPr>
                            <w:rFonts w:ascii="Swis721 Cn BT"/>
                            <w:color w:val="303B41"/>
                            <w:sz w:val="18"/>
                          </w:rPr>
                          <w:t>Number eligible to</w:t>
                        </w:r>
                        <w:r>
                          <w:rPr>
                            <w:rFonts w:ascii="Swis721 Cn BT"/>
                            <w:sz w:val="18"/>
                          </w:rPr>
                        </w:r>
                      </w:p>
                      <w:p>
                        <w:pPr>
                          <w:pStyle w:val="TableParagraph"/>
                          <w:spacing w:line="240" w:lineRule="auto"/>
                          <w:ind w:left="321" w:right="0"/>
                          <w:jc w:val="left"/>
                          <w:rPr>
                            <w:rFonts w:ascii="Swis721 Cn BT" w:hAnsi="Swis721 Cn BT" w:cs="Swis721 Cn BT" w:eastAsia="Swis721 Cn BT"/>
                            <w:sz w:val="18"/>
                            <w:szCs w:val="18"/>
                          </w:rPr>
                        </w:pPr>
                        <w:r>
                          <w:rPr>
                            <w:rFonts w:ascii="Swis721 Cn BT"/>
                            <w:color w:val="303B41"/>
                            <w:sz w:val="18"/>
                          </w:rPr>
                          <w:t>attend</w:t>
                        </w:r>
                        <w:r>
                          <w:rPr>
                            <w:rFonts w:ascii="Swis721 Cn BT"/>
                            <w:sz w:val="18"/>
                          </w:rPr>
                        </w:r>
                      </w:p>
                    </w:tc>
                    <w:tc>
                      <w:tcPr>
                        <w:tcW w:w="820" w:type="dxa"/>
                        <w:tcBorders>
                          <w:top w:val="nil" w:sz="6" w:space="0" w:color="auto"/>
                          <w:left w:val="nil" w:sz="6" w:space="0" w:color="auto"/>
                          <w:bottom w:val="single" w:sz="2" w:space="0" w:color="71797F"/>
                          <w:right w:val="nil" w:sz="6" w:space="0" w:color="auto"/>
                        </w:tcBorders>
                      </w:tcPr>
                      <w:p>
                        <w:pPr>
                          <w:pStyle w:val="TableParagraph"/>
                          <w:spacing w:line="240" w:lineRule="auto" w:before="44"/>
                          <w:ind w:left="156" w:right="78" w:firstLine="42"/>
                          <w:jc w:val="left"/>
                          <w:rPr>
                            <w:rFonts w:ascii="Swis721 Cn BT" w:hAnsi="Swis721 Cn BT" w:cs="Swis721 Cn BT" w:eastAsia="Swis721 Cn BT"/>
                            <w:sz w:val="18"/>
                            <w:szCs w:val="18"/>
                          </w:rPr>
                        </w:pPr>
                        <w:r>
                          <w:rPr>
                            <w:rFonts w:ascii="Swis721 Cn BT"/>
                            <w:color w:val="303B41"/>
                            <w:sz w:val="18"/>
                          </w:rPr>
                          <w:t>Number attended</w:t>
                        </w:r>
                        <w:r>
                          <w:rPr>
                            <w:rFonts w:ascii="Swis721 Cn BT"/>
                            <w:sz w:val="18"/>
                          </w:rPr>
                        </w:r>
                      </w:p>
                    </w:tc>
                    <w:tc>
                      <w:tcPr>
                        <w:tcW w:w="820" w:type="dxa"/>
                        <w:tcBorders>
                          <w:top w:val="nil" w:sz="6" w:space="0" w:color="auto"/>
                          <w:left w:val="nil" w:sz="6" w:space="0" w:color="auto"/>
                          <w:bottom w:val="single" w:sz="2" w:space="0" w:color="71797F"/>
                          <w:right w:val="nil" w:sz="6" w:space="0" w:color="auto"/>
                        </w:tcBorders>
                        <w:shd w:val="clear" w:color="auto" w:fill="EBF0C9"/>
                      </w:tcPr>
                      <w:p>
                        <w:pPr>
                          <w:pStyle w:val="TableParagraph"/>
                          <w:spacing w:line="240" w:lineRule="auto" w:before="44"/>
                          <w:ind w:left="91" w:right="77" w:firstLine="107"/>
                          <w:jc w:val="left"/>
                          <w:rPr>
                            <w:rFonts w:ascii="Swis721 Cn BT" w:hAnsi="Swis721 Cn BT" w:cs="Swis721 Cn BT" w:eastAsia="Swis721 Cn BT"/>
                            <w:sz w:val="18"/>
                            <w:szCs w:val="18"/>
                          </w:rPr>
                        </w:pPr>
                        <w:r>
                          <w:rPr>
                            <w:rFonts w:ascii="Swis721 Cn BT"/>
                            <w:color w:val="303B41"/>
                            <w:sz w:val="18"/>
                          </w:rPr>
                          <w:t>Number eligible to</w:t>
                        </w:r>
                        <w:r>
                          <w:rPr>
                            <w:rFonts w:ascii="Swis721 Cn BT"/>
                            <w:sz w:val="18"/>
                          </w:rPr>
                        </w:r>
                      </w:p>
                      <w:p>
                        <w:pPr>
                          <w:pStyle w:val="TableParagraph"/>
                          <w:spacing w:line="240" w:lineRule="auto"/>
                          <w:ind w:left="321" w:right="0"/>
                          <w:jc w:val="left"/>
                          <w:rPr>
                            <w:rFonts w:ascii="Swis721 Cn BT" w:hAnsi="Swis721 Cn BT" w:cs="Swis721 Cn BT" w:eastAsia="Swis721 Cn BT"/>
                            <w:sz w:val="18"/>
                            <w:szCs w:val="18"/>
                          </w:rPr>
                        </w:pPr>
                        <w:r>
                          <w:rPr>
                            <w:rFonts w:ascii="Swis721 Cn BT"/>
                            <w:color w:val="303B41"/>
                            <w:sz w:val="18"/>
                          </w:rPr>
                          <w:t>attend</w:t>
                        </w:r>
                        <w:r>
                          <w:rPr>
                            <w:rFonts w:ascii="Swis721 Cn BT"/>
                            <w:sz w:val="18"/>
                          </w:rPr>
                        </w:r>
                      </w:p>
                    </w:tc>
                    <w:tc>
                      <w:tcPr>
                        <w:tcW w:w="820" w:type="dxa"/>
                        <w:tcBorders>
                          <w:top w:val="nil" w:sz="6" w:space="0" w:color="auto"/>
                          <w:left w:val="nil" w:sz="6" w:space="0" w:color="auto"/>
                          <w:bottom w:val="single" w:sz="2" w:space="0" w:color="71797F"/>
                          <w:right w:val="nil" w:sz="6" w:space="0" w:color="auto"/>
                        </w:tcBorders>
                      </w:tcPr>
                      <w:p>
                        <w:pPr>
                          <w:pStyle w:val="TableParagraph"/>
                          <w:spacing w:line="240" w:lineRule="auto" w:before="44"/>
                          <w:ind w:left="156" w:right="77" w:firstLine="42"/>
                          <w:jc w:val="left"/>
                          <w:rPr>
                            <w:rFonts w:ascii="Swis721 Cn BT" w:hAnsi="Swis721 Cn BT" w:cs="Swis721 Cn BT" w:eastAsia="Swis721 Cn BT"/>
                            <w:sz w:val="18"/>
                            <w:szCs w:val="18"/>
                          </w:rPr>
                        </w:pPr>
                        <w:r>
                          <w:rPr>
                            <w:rFonts w:ascii="Swis721 Cn BT"/>
                            <w:color w:val="303B41"/>
                            <w:sz w:val="18"/>
                          </w:rPr>
                          <w:t>Number attended</w:t>
                        </w:r>
                        <w:r>
                          <w:rPr>
                            <w:rFonts w:ascii="Swis721 Cn BT"/>
                            <w:sz w:val="18"/>
                          </w:rPr>
                        </w:r>
                      </w:p>
                    </w:tc>
                    <w:tc>
                      <w:tcPr>
                        <w:tcW w:w="820" w:type="dxa"/>
                        <w:tcBorders>
                          <w:top w:val="nil" w:sz="6" w:space="0" w:color="auto"/>
                          <w:left w:val="nil" w:sz="6" w:space="0" w:color="auto"/>
                          <w:bottom w:val="single" w:sz="2" w:space="0" w:color="71797F"/>
                          <w:right w:val="nil" w:sz="6" w:space="0" w:color="auto"/>
                        </w:tcBorders>
                        <w:shd w:val="clear" w:color="auto" w:fill="EBF0C9"/>
                      </w:tcPr>
                      <w:p>
                        <w:pPr>
                          <w:pStyle w:val="TableParagraph"/>
                          <w:spacing w:line="240" w:lineRule="auto" w:before="44"/>
                          <w:ind w:left="91" w:right="77" w:firstLine="107"/>
                          <w:jc w:val="left"/>
                          <w:rPr>
                            <w:rFonts w:ascii="Swis721 Cn BT" w:hAnsi="Swis721 Cn BT" w:cs="Swis721 Cn BT" w:eastAsia="Swis721 Cn BT"/>
                            <w:sz w:val="18"/>
                            <w:szCs w:val="18"/>
                          </w:rPr>
                        </w:pPr>
                        <w:r>
                          <w:rPr>
                            <w:rFonts w:ascii="Swis721 Cn BT"/>
                            <w:color w:val="303B41"/>
                            <w:sz w:val="18"/>
                          </w:rPr>
                          <w:t>Number eligible to</w:t>
                        </w:r>
                        <w:r>
                          <w:rPr>
                            <w:rFonts w:ascii="Swis721 Cn BT"/>
                            <w:sz w:val="18"/>
                          </w:rPr>
                        </w:r>
                      </w:p>
                      <w:p>
                        <w:pPr>
                          <w:pStyle w:val="TableParagraph"/>
                          <w:spacing w:line="240" w:lineRule="auto"/>
                          <w:ind w:left="321" w:right="0"/>
                          <w:jc w:val="left"/>
                          <w:rPr>
                            <w:rFonts w:ascii="Swis721 Cn BT" w:hAnsi="Swis721 Cn BT" w:cs="Swis721 Cn BT" w:eastAsia="Swis721 Cn BT"/>
                            <w:sz w:val="18"/>
                            <w:szCs w:val="18"/>
                          </w:rPr>
                        </w:pPr>
                        <w:r>
                          <w:rPr>
                            <w:rFonts w:ascii="Swis721 Cn BT"/>
                            <w:color w:val="303B41"/>
                            <w:sz w:val="18"/>
                          </w:rPr>
                          <w:t>attend</w:t>
                        </w:r>
                        <w:r>
                          <w:rPr>
                            <w:rFonts w:ascii="Swis721 Cn BT"/>
                            <w:sz w:val="18"/>
                          </w:rPr>
                        </w:r>
                      </w:p>
                    </w:tc>
                    <w:tc>
                      <w:tcPr>
                        <w:tcW w:w="820" w:type="dxa"/>
                        <w:tcBorders>
                          <w:top w:val="nil" w:sz="6" w:space="0" w:color="auto"/>
                          <w:left w:val="nil" w:sz="6" w:space="0" w:color="auto"/>
                          <w:bottom w:val="single" w:sz="2" w:space="0" w:color="71797F"/>
                          <w:right w:val="nil" w:sz="6" w:space="0" w:color="auto"/>
                        </w:tcBorders>
                      </w:tcPr>
                      <w:p>
                        <w:pPr>
                          <w:pStyle w:val="TableParagraph"/>
                          <w:spacing w:line="240" w:lineRule="auto" w:before="44"/>
                          <w:ind w:left="156" w:right="77" w:firstLine="42"/>
                          <w:jc w:val="left"/>
                          <w:rPr>
                            <w:rFonts w:ascii="Swis721 Cn BT" w:hAnsi="Swis721 Cn BT" w:cs="Swis721 Cn BT" w:eastAsia="Swis721 Cn BT"/>
                            <w:sz w:val="18"/>
                            <w:szCs w:val="18"/>
                          </w:rPr>
                        </w:pPr>
                        <w:r>
                          <w:rPr>
                            <w:rFonts w:ascii="Swis721 Cn BT"/>
                            <w:color w:val="303B41"/>
                            <w:sz w:val="18"/>
                          </w:rPr>
                          <w:t>Number attended</w:t>
                        </w:r>
                        <w:r>
                          <w:rPr>
                            <w:rFonts w:ascii="Swis721 Cn BT"/>
                            <w:sz w:val="18"/>
                          </w:rPr>
                        </w:r>
                      </w:p>
                    </w:tc>
                    <w:tc>
                      <w:tcPr>
                        <w:tcW w:w="820" w:type="dxa"/>
                        <w:tcBorders>
                          <w:top w:val="nil" w:sz="6" w:space="0" w:color="auto"/>
                          <w:left w:val="nil" w:sz="6" w:space="0" w:color="auto"/>
                          <w:bottom w:val="single" w:sz="2" w:space="0" w:color="71797F"/>
                          <w:right w:val="nil" w:sz="6" w:space="0" w:color="auto"/>
                        </w:tcBorders>
                        <w:shd w:val="clear" w:color="auto" w:fill="EBF0C9"/>
                      </w:tcPr>
                      <w:p>
                        <w:pPr>
                          <w:pStyle w:val="TableParagraph"/>
                          <w:spacing w:line="240" w:lineRule="auto" w:before="44"/>
                          <w:ind w:left="91" w:right="77" w:firstLine="107"/>
                          <w:jc w:val="left"/>
                          <w:rPr>
                            <w:rFonts w:ascii="Swis721 Cn BT" w:hAnsi="Swis721 Cn BT" w:cs="Swis721 Cn BT" w:eastAsia="Swis721 Cn BT"/>
                            <w:sz w:val="18"/>
                            <w:szCs w:val="18"/>
                          </w:rPr>
                        </w:pPr>
                        <w:r>
                          <w:rPr>
                            <w:rFonts w:ascii="Swis721 Cn BT"/>
                            <w:color w:val="303B41"/>
                            <w:sz w:val="18"/>
                          </w:rPr>
                          <w:t>Number eligible to</w:t>
                        </w:r>
                        <w:r>
                          <w:rPr>
                            <w:rFonts w:ascii="Swis721 Cn BT"/>
                            <w:sz w:val="18"/>
                          </w:rPr>
                        </w:r>
                      </w:p>
                      <w:p>
                        <w:pPr>
                          <w:pStyle w:val="TableParagraph"/>
                          <w:spacing w:line="240" w:lineRule="auto"/>
                          <w:ind w:left="321" w:right="0"/>
                          <w:jc w:val="left"/>
                          <w:rPr>
                            <w:rFonts w:ascii="Swis721 Cn BT" w:hAnsi="Swis721 Cn BT" w:cs="Swis721 Cn BT" w:eastAsia="Swis721 Cn BT"/>
                            <w:sz w:val="18"/>
                            <w:szCs w:val="18"/>
                          </w:rPr>
                        </w:pPr>
                        <w:r>
                          <w:rPr>
                            <w:rFonts w:ascii="Swis721 Cn BT"/>
                            <w:color w:val="303B41"/>
                            <w:sz w:val="18"/>
                          </w:rPr>
                          <w:t>attend</w:t>
                        </w:r>
                        <w:r>
                          <w:rPr>
                            <w:rFonts w:ascii="Swis721 Cn BT"/>
                            <w:sz w:val="18"/>
                          </w:rPr>
                        </w:r>
                      </w:p>
                    </w:tc>
                    <w:tc>
                      <w:tcPr>
                        <w:tcW w:w="820" w:type="dxa"/>
                        <w:tcBorders>
                          <w:top w:val="nil" w:sz="6" w:space="0" w:color="auto"/>
                          <w:left w:val="nil" w:sz="6" w:space="0" w:color="auto"/>
                          <w:bottom w:val="single" w:sz="2" w:space="0" w:color="71797F"/>
                          <w:right w:val="nil" w:sz="6" w:space="0" w:color="auto"/>
                        </w:tcBorders>
                      </w:tcPr>
                      <w:p>
                        <w:pPr>
                          <w:pStyle w:val="TableParagraph"/>
                          <w:spacing w:line="240" w:lineRule="auto" w:before="44"/>
                          <w:ind w:left="156" w:right="77" w:firstLine="42"/>
                          <w:jc w:val="left"/>
                          <w:rPr>
                            <w:rFonts w:ascii="Swis721 Cn BT" w:hAnsi="Swis721 Cn BT" w:cs="Swis721 Cn BT" w:eastAsia="Swis721 Cn BT"/>
                            <w:sz w:val="18"/>
                            <w:szCs w:val="18"/>
                          </w:rPr>
                        </w:pPr>
                        <w:r>
                          <w:rPr>
                            <w:rFonts w:ascii="Swis721 Cn BT"/>
                            <w:color w:val="303B41"/>
                            <w:sz w:val="18"/>
                          </w:rPr>
                          <w:t>Number attended</w:t>
                        </w:r>
                        <w:r>
                          <w:rPr>
                            <w:rFonts w:ascii="Swis721 Cn BT"/>
                            <w:sz w:val="18"/>
                          </w:rPr>
                        </w:r>
                      </w:p>
                    </w:tc>
                  </w:tr>
                  <w:tr>
                    <w:trPr>
                      <w:trHeight w:val="521" w:hRule="exact"/>
                    </w:trPr>
                    <w:tc>
                      <w:tcPr>
                        <w:tcW w:w="1431"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left="80" w:right="107"/>
                          <w:jc w:val="left"/>
                          <w:rPr>
                            <w:rFonts w:ascii="Swis721 Lt BT" w:hAnsi="Swis721 Lt BT" w:cs="Swis721 Lt BT" w:eastAsia="Swis721 Lt BT"/>
                            <w:sz w:val="18"/>
                            <w:szCs w:val="18"/>
                          </w:rPr>
                        </w:pPr>
                        <w:r>
                          <w:rPr>
                            <w:rFonts w:ascii="Swis721 Lt BT"/>
                            <w:color w:val="231F20"/>
                            <w:sz w:val="18"/>
                          </w:rPr>
                          <w:t>Laureate Professor Hattie</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3</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1</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2</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2</w:t>
                        </w:r>
                        <w:r>
                          <w:rPr>
                            <w:rFonts w:ascii="Swis721 Lt BT"/>
                            <w:sz w:val="18"/>
                          </w:rPr>
                        </w:r>
                      </w:p>
                    </w:tc>
                  </w:tr>
                  <w:tr>
                    <w:trPr>
                      <w:trHeight w:val="313" w:hRule="exact"/>
                    </w:trPr>
                    <w:tc>
                      <w:tcPr>
                        <w:tcW w:w="1431"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left="80" w:right="0"/>
                          <w:jc w:val="left"/>
                          <w:rPr>
                            <w:rFonts w:ascii="Swis721 Lt BT" w:hAnsi="Swis721 Lt BT" w:cs="Swis721 Lt BT" w:eastAsia="Swis721 Lt BT"/>
                            <w:sz w:val="18"/>
                            <w:szCs w:val="18"/>
                          </w:rPr>
                        </w:pPr>
                        <w:r>
                          <w:rPr>
                            <w:rFonts w:ascii="Swis721 Lt BT"/>
                            <w:color w:val="231F20"/>
                            <w:sz w:val="18"/>
                          </w:rPr>
                          <w:t>Mr </w:t>
                        </w:r>
                        <w:r>
                          <w:rPr>
                            <w:rFonts w:ascii="Swis721 Lt BT"/>
                            <w:color w:val="231F20"/>
                            <w:spacing w:val="-1"/>
                            <w:sz w:val="18"/>
                          </w:rPr>
                          <w:t>Wardlaw</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4</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3</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3</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3</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r>
                  <w:tr>
                    <w:trPr>
                      <w:trHeight w:val="313" w:hRule="exact"/>
                    </w:trPr>
                    <w:tc>
                      <w:tcPr>
                        <w:tcW w:w="1431"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left="80" w:right="0"/>
                          <w:jc w:val="left"/>
                          <w:rPr>
                            <w:rFonts w:ascii="Swis721 Lt BT" w:hAnsi="Swis721 Lt BT" w:cs="Swis721 Lt BT" w:eastAsia="Swis721 Lt BT"/>
                            <w:sz w:val="18"/>
                            <w:szCs w:val="18"/>
                          </w:rPr>
                        </w:pPr>
                        <w:r>
                          <w:rPr>
                            <w:rFonts w:ascii="Swis721 Lt BT"/>
                            <w:color w:val="231F20"/>
                            <w:sz w:val="18"/>
                          </w:rPr>
                          <w:t>Ms Blackwood</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r>
                  <w:tr>
                    <w:trPr>
                      <w:trHeight w:val="313" w:hRule="exact"/>
                    </w:trPr>
                    <w:tc>
                      <w:tcPr>
                        <w:tcW w:w="1431"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left="80" w:right="0"/>
                          <w:jc w:val="left"/>
                          <w:rPr>
                            <w:rFonts w:ascii="Swis721 Lt BT" w:hAnsi="Swis721 Lt BT" w:cs="Swis721 Lt BT" w:eastAsia="Swis721 Lt BT"/>
                            <w:sz w:val="18"/>
                            <w:szCs w:val="18"/>
                          </w:rPr>
                        </w:pPr>
                        <w:r>
                          <w:rPr>
                            <w:rFonts w:ascii="Swis721 Lt BT"/>
                            <w:color w:val="231F20"/>
                            <w:sz w:val="18"/>
                          </w:rPr>
                          <w:t>Dr Buckingham</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5</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3</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3</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2</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2</w:t>
                        </w:r>
                        <w:r>
                          <w:rPr>
                            <w:rFonts w:ascii="Swis721 Lt BT"/>
                            <w:sz w:val="18"/>
                          </w:rPr>
                        </w:r>
                      </w:p>
                    </w:tc>
                  </w:tr>
                  <w:tr>
                    <w:trPr>
                      <w:trHeight w:val="313" w:hRule="exact"/>
                    </w:trPr>
                    <w:tc>
                      <w:tcPr>
                        <w:tcW w:w="1431"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left="80" w:right="0"/>
                          <w:jc w:val="left"/>
                          <w:rPr>
                            <w:rFonts w:ascii="Swis721 Lt BT" w:hAnsi="Swis721 Lt BT" w:cs="Swis721 Lt BT" w:eastAsia="Swis721 Lt BT"/>
                            <w:sz w:val="18"/>
                            <w:szCs w:val="18"/>
                          </w:rPr>
                        </w:pPr>
                        <w:r>
                          <w:rPr>
                            <w:rFonts w:ascii="Swis721 Lt BT"/>
                            <w:color w:val="231F20"/>
                            <w:sz w:val="18"/>
                          </w:rPr>
                          <w:t>Mr Cook</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5</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3</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2</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2</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2</w:t>
                        </w:r>
                        <w:r>
                          <w:rPr>
                            <w:rFonts w:ascii="Swis721 Lt BT"/>
                            <w:sz w:val="18"/>
                          </w:rPr>
                        </w:r>
                      </w:p>
                    </w:tc>
                  </w:tr>
                  <w:tr>
                    <w:trPr>
                      <w:trHeight w:val="313" w:hRule="exact"/>
                    </w:trPr>
                    <w:tc>
                      <w:tcPr>
                        <w:tcW w:w="1431"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left="81" w:right="0"/>
                          <w:jc w:val="left"/>
                          <w:rPr>
                            <w:rFonts w:ascii="Swis721 Lt BT" w:hAnsi="Swis721 Lt BT" w:cs="Swis721 Lt BT" w:eastAsia="Swis721 Lt BT"/>
                            <w:sz w:val="18"/>
                            <w:szCs w:val="18"/>
                          </w:rPr>
                        </w:pPr>
                        <w:r>
                          <w:rPr>
                            <w:rFonts w:ascii="Swis721 Lt BT"/>
                            <w:color w:val="231F20"/>
                            <w:sz w:val="18"/>
                          </w:rPr>
                          <w:t>Ms Gordon</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4</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4</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r>
                  <w:tr>
                    <w:trPr>
                      <w:trHeight w:val="313" w:hRule="exact"/>
                    </w:trPr>
                    <w:tc>
                      <w:tcPr>
                        <w:tcW w:w="1431"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left="81" w:right="0"/>
                          <w:jc w:val="left"/>
                          <w:rPr>
                            <w:rFonts w:ascii="Swis721 Lt BT" w:hAnsi="Swis721 Lt BT" w:cs="Swis721 Lt BT" w:eastAsia="Swis721 Lt BT"/>
                            <w:sz w:val="18"/>
                            <w:szCs w:val="18"/>
                          </w:rPr>
                        </w:pPr>
                        <w:r>
                          <w:rPr>
                            <w:rFonts w:ascii="Swis721 Lt BT"/>
                            <w:color w:val="231F20"/>
                            <w:sz w:val="18"/>
                          </w:rPr>
                          <w:t>Ms Lammon</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r>
                  <w:tr>
                    <w:trPr>
                      <w:trHeight w:val="313" w:hRule="exact"/>
                    </w:trPr>
                    <w:tc>
                      <w:tcPr>
                        <w:tcW w:w="1431"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left="81" w:right="0"/>
                          <w:jc w:val="left"/>
                          <w:rPr>
                            <w:rFonts w:ascii="Swis721 Lt BT" w:hAnsi="Swis721 Lt BT" w:cs="Swis721 Lt BT" w:eastAsia="Swis721 Lt BT"/>
                            <w:sz w:val="18"/>
                            <w:szCs w:val="18"/>
                          </w:rPr>
                        </w:pPr>
                        <w:r>
                          <w:rPr>
                            <w:rFonts w:ascii="Swis721 Lt BT"/>
                            <w:color w:val="231F20"/>
                            <w:sz w:val="18"/>
                          </w:rPr>
                          <w:t>Dr Lind</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3</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2</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r>
                  <w:tr>
                    <w:trPr>
                      <w:trHeight w:val="313" w:hRule="exact"/>
                    </w:trPr>
                    <w:tc>
                      <w:tcPr>
                        <w:tcW w:w="1431"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left="81" w:right="0"/>
                          <w:jc w:val="left"/>
                          <w:rPr>
                            <w:rFonts w:ascii="Swis721 Lt BT" w:hAnsi="Swis721 Lt BT" w:cs="Swis721 Lt BT" w:eastAsia="Swis721 Lt BT"/>
                            <w:sz w:val="18"/>
                            <w:szCs w:val="18"/>
                          </w:rPr>
                        </w:pPr>
                        <w:r>
                          <w:rPr>
                            <w:rFonts w:ascii="Swis721 Lt BT"/>
                            <w:color w:val="231F20"/>
                            <w:sz w:val="18"/>
                          </w:rPr>
                          <w:t>Mr Mowbray</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7"/>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5</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4</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4</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r>
                  <w:tr>
                    <w:trPr>
                      <w:trHeight w:val="313" w:hRule="exact"/>
                    </w:trPr>
                    <w:tc>
                      <w:tcPr>
                        <w:tcW w:w="1431"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left="81" w:right="0"/>
                          <w:jc w:val="left"/>
                          <w:rPr>
                            <w:rFonts w:ascii="Swis721 Lt BT" w:hAnsi="Swis721 Lt BT" w:cs="Swis721 Lt BT" w:eastAsia="Swis721 Lt BT"/>
                            <w:sz w:val="18"/>
                            <w:szCs w:val="18"/>
                          </w:rPr>
                        </w:pPr>
                        <w:r>
                          <w:rPr>
                            <w:rFonts w:ascii="Swis721 Lt BT"/>
                            <w:color w:val="231F20"/>
                            <w:sz w:val="18"/>
                          </w:rPr>
                          <w:t>Mr Nairn</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4</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4</w:t>
                        </w:r>
                        <w:r>
                          <w:rPr>
                            <w:rFonts w:ascii="Swis721 Lt BT"/>
                            <w:sz w:val="18"/>
                          </w:rPr>
                        </w: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c>
                      <w:tcPr>
                        <w:tcW w:w="820" w:type="dxa"/>
                        <w:tcBorders>
                          <w:top w:val="single" w:sz="2" w:space="0" w:color="71797F"/>
                          <w:left w:val="nil" w:sz="6" w:space="0" w:color="auto"/>
                          <w:bottom w:val="single" w:sz="2" w:space="0" w:color="71797F"/>
                          <w:right w:val="nil" w:sz="6" w:space="0" w:color="auto"/>
                        </w:tcBorders>
                        <w:shd w:val="clear" w:color="auto" w:fill="EBF0C9"/>
                      </w:tcPr>
                      <w:p>
                        <w:pPr/>
                      </w:p>
                    </w:tc>
                    <w:tc>
                      <w:tcPr>
                        <w:tcW w:w="820" w:type="dxa"/>
                        <w:tcBorders>
                          <w:top w:val="single" w:sz="2" w:space="0" w:color="71797F"/>
                          <w:left w:val="nil" w:sz="6" w:space="0" w:color="auto"/>
                          <w:bottom w:val="single" w:sz="2" w:space="0" w:color="71797F"/>
                          <w:right w:val="nil" w:sz="6" w:space="0" w:color="auto"/>
                        </w:tcBorders>
                      </w:tcPr>
                      <w:p>
                        <w:pPr/>
                      </w:p>
                    </w:tc>
                  </w:tr>
                  <w:tr>
                    <w:trPr>
                      <w:trHeight w:val="521" w:hRule="exact"/>
                    </w:trPr>
                    <w:tc>
                      <w:tcPr>
                        <w:tcW w:w="1431" w:type="dxa"/>
                        <w:tcBorders>
                          <w:top w:val="single" w:sz="2" w:space="0" w:color="71797F"/>
                          <w:left w:val="nil" w:sz="6" w:space="0" w:color="auto"/>
                          <w:bottom w:val="nil" w:sz="6" w:space="0" w:color="auto"/>
                          <w:right w:val="nil" w:sz="6" w:space="0" w:color="auto"/>
                        </w:tcBorders>
                      </w:tcPr>
                      <w:p>
                        <w:pPr/>
                      </w:p>
                    </w:tc>
                    <w:tc>
                      <w:tcPr>
                        <w:tcW w:w="820" w:type="dxa"/>
                        <w:tcBorders>
                          <w:top w:val="single" w:sz="2" w:space="0" w:color="71797F"/>
                          <w:left w:val="nil" w:sz="6" w:space="0" w:color="auto"/>
                          <w:bottom w:val="nil" w:sz="6" w:space="0" w:color="auto"/>
                          <w:right w:val="nil" w:sz="6" w:space="0" w:color="auto"/>
                        </w:tcBorders>
                        <w:shd w:val="clear" w:color="auto" w:fill="EBF0C9"/>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nil" w:sz="6" w:space="0" w:color="auto"/>
                          <w:right w:val="nil" w:sz="6" w:space="0" w:color="auto"/>
                        </w:tcBorders>
                      </w:tcPr>
                      <w:p>
                        <w:pPr>
                          <w:pStyle w:val="TableParagraph"/>
                          <w:spacing w:line="240" w:lineRule="auto" w:before="48"/>
                          <w:ind w:right="76"/>
                          <w:jc w:val="right"/>
                          <w:rPr>
                            <w:rFonts w:ascii="Swis721 Lt BT" w:hAnsi="Swis721 Lt BT" w:cs="Swis721 Lt BT" w:eastAsia="Swis721 Lt BT"/>
                            <w:sz w:val="18"/>
                            <w:szCs w:val="18"/>
                          </w:rPr>
                        </w:pPr>
                        <w:r>
                          <w:rPr>
                            <w:rFonts w:ascii="Swis721 Lt BT"/>
                            <w:color w:val="231F20"/>
                            <w:w w:val="95"/>
                            <w:sz w:val="18"/>
                          </w:rPr>
                          <w:t>6</w:t>
                        </w:r>
                        <w:r>
                          <w:rPr>
                            <w:rFonts w:ascii="Swis721 Lt BT"/>
                            <w:sz w:val="18"/>
                          </w:rPr>
                        </w:r>
                      </w:p>
                    </w:tc>
                    <w:tc>
                      <w:tcPr>
                        <w:tcW w:w="820" w:type="dxa"/>
                        <w:tcBorders>
                          <w:top w:val="single" w:sz="2" w:space="0" w:color="71797F"/>
                          <w:left w:val="nil" w:sz="6" w:space="0" w:color="auto"/>
                          <w:bottom w:val="nil" w:sz="6" w:space="0" w:color="auto"/>
                          <w:right w:val="nil" w:sz="6" w:space="0" w:color="auto"/>
                        </w:tcBorders>
                        <w:shd w:val="clear" w:color="auto" w:fill="EBF0C9"/>
                      </w:tcPr>
                      <w:p>
                        <w:pPr/>
                      </w:p>
                    </w:tc>
                    <w:tc>
                      <w:tcPr>
                        <w:tcW w:w="820" w:type="dxa"/>
                        <w:tcBorders>
                          <w:top w:val="single" w:sz="2" w:space="0" w:color="71797F"/>
                          <w:left w:val="nil" w:sz="6" w:space="0" w:color="auto"/>
                          <w:bottom w:val="nil" w:sz="6" w:space="0" w:color="auto"/>
                          <w:right w:val="nil" w:sz="6" w:space="0" w:color="auto"/>
                        </w:tcBorders>
                      </w:tcPr>
                      <w:p>
                        <w:pPr/>
                      </w:p>
                    </w:tc>
                    <w:tc>
                      <w:tcPr>
                        <w:tcW w:w="820" w:type="dxa"/>
                        <w:tcBorders>
                          <w:top w:val="single" w:sz="2" w:space="0" w:color="71797F"/>
                          <w:left w:val="nil" w:sz="6" w:space="0" w:color="auto"/>
                          <w:bottom w:val="nil" w:sz="6" w:space="0" w:color="auto"/>
                          <w:right w:val="nil" w:sz="6" w:space="0" w:color="auto"/>
                        </w:tcBorders>
                        <w:shd w:val="clear" w:color="auto" w:fill="EBF0C9"/>
                      </w:tcPr>
                      <w:p>
                        <w:pPr/>
                      </w:p>
                    </w:tc>
                    <w:tc>
                      <w:tcPr>
                        <w:tcW w:w="820" w:type="dxa"/>
                        <w:tcBorders>
                          <w:top w:val="single" w:sz="2" w:space="0" w:color="71797F"/>
                          <w:left w:val="nil" w:sz="6" w:space="0" w:color="auto"/>
                          <w:bottom w:val="nil" w:sz="6" w:space="0" w:color="auto"/>
                          <w:right w:val="nil" w:sz="6" w:space="0" w:color="auto"/>
                        </w:tcBorders>
                      </w:tcPr>
                      <w:p>
                        <w:pPr/>
                      </w:p>
                    </w:tc>
                    <w:tc>
                      <w:tcPr>
                        <w:tcW w:w="820" w:type="dxa"/>
                        <w:tcBorders>
                          <w:top w:val="single" w:sz="2" w:space="0" w:color="71797F"/>
                          <w:left w:val="nil" w:sz="6" w:space="0" w:color="auto"/>
                          <w:bottom w:val="nil" w:sz="6" w:space="0" w:color="auto"/>
                          <w:right w:val="nil" w:sz="6" w:space="0" w:color="auto"/>
                        </w:tcBorders>
                        <w:shd w:val="clear" w:color="auto" w:fill="EBF0C9"/>
                      </w:tcPr>
                      <w:p>
                        <w:pPr/>
                      </w:p>
                    </w:tc>
                    <w:tc>
                      <w:tcPr>
                        <w:tcW w:w="820" w:type="dxa"/>
                        <w:tcBorders>
                          <w:top w:val="single" w:sz="2" w:space="0" w:color="71797F"/>
                          <w:left w:val="nil" w:sz="6" w:space="0" w:color="auto"/>
                          <w:bottom w:val="nil" w:sz="6" w:space="0" w:color="auto"/>
                          <w:right w:val="nil" w:sz="6" w:space="0" w:color="auto"/>
                        </w:tcBorders>
                      </w:tcPr>
                      <w:p>
                        <w:pPr/>
                      </w:p>
                    </w:tc>
                  </w:tr>
                </w:tbl>
                <w:p>
                  <w:pPr/>
                </w:p>
              </w:txbxContent>
            </v:textbox>
            <w10:wrap type="none"/>
          </v:shape>
        </w:pict>
      </w:r>
      <w:r>
        <w:rPr>
          <w:rFonts w:ascii="Swis721 Lt BT"/>
          <w:color w:val="231F20"/>
          <w:sz w:val="18"/>
        </w:rPr>
        <w:t>Professor </w:t>
      </w:r>
      <w:r>
        <w:rPr>
          <w:rFonts w:ascii="Swis721 Lt BT"/>
          <w:color w:val="231F20"/>
          <w:spacing w:val="-1"/>
          <w:sz w:val="18"/>
        </w:rPr>
        <w:t>Pendergast</w:t>
      </w:r>
      <w:r>
        <w:rPr>
          <w:rFonts w:ascii="Swis721 Lt BT"/>
          <w:sz w:val="18"/>
        </w:rPr>
      </w:r>
    </w:p>
    <w:p>
      <w:pPr>
        <w:spacing w:line="240" w:lineRule="auto" w:before="11"/>
        <w:rPr>
          <w:rFonts w:ascii="Swis721 Lt BT" w:hAnsi="Swis721 Lt BT" w:cs="Swis721 Lt BT" w:eastAsia="Swis721 Lt BT"/>
          <w:sz w:val="21"/>
          <w:szCs w:val="21"/>
        </w:rPr>
      </w:pPr>
    </w:p>
    <w:p>
      <w:pPr>
        <w:pStyle w:val="BodyText"/>
        <w:spacing w:line="240" w:lineRule="auto" w:before="69"/>
        <w:ind w:right="665"/>
        <w:jc w:val="left"/>
      </w:pPr>
      <w:r>
        <w:rPr>
          <w:color w:val="231F20"/>
        </w:rPr>
        <w:t>Jenny Morison attends the Audit and Risk Committee as an independent external </w:t>
      </w:r>
      <w:r>
        <w:rPr>
          <w:color w:val="231F20"/>
          <w:spacing w:val="-3"/>
        </w:rPr>
        <w:t>member.</w:t>
      </w:r>
      <w:r>
        <w:rPr>
          <w:color w:val="231F20"/>
          <w:spacing w:val="23"/>
        </w:rPr>
        <w:t> </w:t>
      </w:r>
      <w:r>
        <w:rPr>
          <w:color w:val="231F20"/>
        </w:rPr>
        <w:t>Ms Morison attended all four meetings held in 2018–19.</w:t>
      </w:r>
      <w:r>
        <w:rPr/>
      </w:r>
    </w:p>
    <w:p>
      <w:pPr>
        <w:pStyle w:val="BodyText"/>
        <w:spacing w:line="240" w:lineRule="auto"/>
        <w:ind w:right="868"/>
        <w:jc w:val="left"/>
      </w:pPr>
      <w:r>
        <w:rPr>
          <w:color w:val="231F20"/>
        </w:rPr>
        <w:t>Mr Stephen Elder attends the Finance Committee as an independent external </w:t>
      </w:r>
      <w:r>
        <w:rPr>
          <w:color w:val="231F20"/>
          <w:spacing w:val="-3"/>
        </w:rPr>
        <w:t>member.</w:t>
      </w:r>
      <w:r>
        <w:rPr>
          <w:color w:val="231F20"/>
          <w:spacing w:val="23"/>
        </w:rPr>
        <w:t> </w:t>
      </w:r>
      <w:r>
        <w:rPr>
          <w:color w:val="231F20"/>
        </w:rPr>
        <w:t>Mr Elder attended two of the three meetings held in 2018–19.</w:t>
      </w:r>
      <w:r>
        <w:rPr/>
      </w:r>
    </w:p>
    <w:p>
      <w:pPr>
        <w:spacing w:line="240" w:lineRule="auto" w:before="0"/>
        <w:rPr>
          <w:rFonts w:ascii="Swis721 Lt BT" w:hAnsi="Swis721 Lt BT" w:cs="Swis721 Lt BT" w:eastAsia="Swis721 Lt BT"/>
          <w:sz w:val="18"/>
          <w:szCs w:val="18"/>
        </w:rPr>
      </w:pPr>
    </w:p>
    <w:p>
      <w:pPr>
        <w:spacing w:line="240" w:lineRule="auto" w:before="3"/>
        <w:rPr>
          <w:rFonts w:ascii="Swis721 Lt BT" w:hAnsi="Swis721 Lt BT" w:cs="Swis721 Lt BT" w:eastAsia="Swis721 Lt BT"/>
          <w:sz w:val="16"/>
          <w:szCs w:val="16"/>
        </w:rPr>
      </w:pPr>
    </w:p>
    <w:p>
      <w:pPr>
        <w:pStyle w:val="Heading5"/>
        <w:spacing w:line="240" w:lineRule="auto"/>
        <w:ind w:right="0"/>
        <w:jc w:val="left"/>
        <w:rPr>
          <w:b w:val="0"/>
          <w:bCs w:val="0"/>
        </w:rPr>
      </w:pPr>
      <w:r>
        <w:rPr>
          <w:color w:val="005E63"/>
          <w:spacing w:val="-2"/>
        </w:rPr>
        <w:t>PRINCIPAL</w:t>
      </w:r>
      <w:r>
        <w:rPr>
          <w:color w:val="005E63"/>
        </w:rPr>
        <w:t> ACTIVITIES</w:t>
      </w:r>
      <w:r>
        <w:rPr>
          <w:b w:val="0"/>
        </w:rPr>
      </w:r>
    </w:p>
    <w:p>
      <w:pPr>
        <w:pStyle w:val="BodyText"/>
        <w:spacing w:line="240" w:lineRule="auto" w:before="215"/>
        <w:ind w:right="157"/>
        <w:jc w:val="left"/>
      </w:pPr>
      <w:r>
        <w:rPr>
          <w:color w:val="231F20"/>
        </w:rPr>
        <w:t>The principal activities of AITSL during the year were to play a lead role in national work on teacher quality and in promoting excellence in teaching and school leadership for the Australian, state</w:t>
      </w:r>
      <w:r>
        <w:rPr>
          <w:color w:val="231F20"/>
          <w:spacing w:val="-1"/>
        </w:rPr>
        <w:t> </w:t>
      </w:r>
      <w:r>
        <w:rPr>
          <w:color w:val="231F20"/>
        </w:rPr>
        <w:t>and</w:t>
      </w:r>
      <w:r>
        <w:rPr>
          <w:color w:val="231F20"/>
          <w:spacing w:val="-1"/>
        </w:rPr>
        <w:t> </w:t>
      </w:r>
      <w:r>
        <w:rPr>
          <w:color w:val="231F20"/>
        </w:rPr>
        <w:t>territory</w:t>
      </w:r>
      <w:r>
        <w:rPr>
          <w:color w:val="231F20"/>
          <w:spacing w:val="-1"/>
        </w:rPr>
        <w:t> </w:t>
      </w:r>
      <w:r>
        <w:rPr>
          <w:color w:val="231F20"/>
        </w:rPr>
        <w:t>governments. AITSL</w:t>
      </w:r>
      <w:r>
        <w:rPr>
          <w:color w:val="231F20"/>
          <w:spacing w:val="-1"/>
        </w:rPr>
        <w:t> </w:t>
      </w:r>
      <w:r>
        <w:rPr>
          <w:color w:val="231F20"/>
        </w:rPr>
        <w:t>does</w:t>
      </w:r>
      <w:r>
        <w:rPr>
          <w:color w:val="231F20"/>
          <w:spacing w:val="-1"/>
        </w:rPr>
        <w:t> </w:t>
      </w:r>
      <w:r>
        <w:rPr>
          <w:color w:val="231F20"/>
        </w:rPr>
        <w:t>this by</w:t>
      </w:r>
      <w:r>
        <w:rPr>
          <w:color w:val="231F20"/>
          <w:spacing w:val="-1"/>
        </w:rPr>
        <w:t> </w:t>
      </w:r>
      <w:r>
        <w:rPr>
          <w:color w:val="231F20"/>
        </w:rPr>
        <w:t>leading</w:t>
      </w:r>
      <w:r>
        <w:rPr>
          <w:color w:val="231F20"/>
          <w:spacing w:val="-1"/>
        </w:rPr>
        <w:t> </w:t>
      </w:r>
      <w:r>
        <w:rPr>
          <w:color w:val="231F20"/>
        </w:rPr>
        <w:t>significant educational</w:t>
      </w:r>
      <w:r>
        <w:rPr>
          <w:color w:val="231F20"/>
          <w:spacing w:val="-1"/>
        </w:rPr>
        <w:t> </w:t>
      </w:r>
      <w:r>
        <w:rPr>
          <w:color w:val="231F20"/>
        </w:rPr>
        <w:t>reforms</w:t>
      </w:r>
      <w:r>
        <w:rPr>
          <w:color w:val="231F20"/>
          <w:spacing w:val="-1"/>
        </w:rPr>
        <w:t> </w:t>
      </w:r>
      <w:r>
        <w:rPr>
          <w:color w:val="231F20"/>
        </w:rPr>
        <w:t>to</w:t>
      </w:r>
      <w:r>
        <w:rPr>
          <w:color w:val="231F20"/>
        </w:rPr>
        <w:t> improve the quality of teaching and leadership and to strengthen the professionalism of teaching.</w:t>
      </w:r>
      <w:r>
        <w:rPr/>
      </w:r>
    </w:p>
    <w:p>
      <w:pPr>
        <w:spacing w:line="240" w:lineRule="auto" w:before="0"/>
        <w:rPr>
          <w:rFonts w:ascii="Swis721 Lt BT" w:hAnsi="Swis721 Lt BT" w:cs="Swis721 Lt BT" w:eastAsia="Swis721 Lt BT"/>
          <w:sz w:val="18"/>
          <w:szCs w:val="18"/>
        </w:rPr>
      </w:pPr>
    </w:p>
    <w:p>
      <w:pPr>
        <w:spacing w:line="240" w:lineRule="auto" w:before="3"/>
        <w:rPr>
          <w:rFonts w:ascii="Swis721 Lt BT" w:hAnsi="Swis721 Lt BT" w:cs="Swis721 Lt BT" w:eastAsia="Swis721 Lt BT"/>
          <w:sz w:val="16"/>
          <w:szCs w:val="16"/>
        </w:rPr>
      </w:pPr>
    </w:p>
    <w:p>
      <w:pPr>
        <w:pStyle w:val="Heading5"/>
        <w:spacing w:line="240" w:lineRule="auto"/>
        <w:ind w:right="0"/>
        <w:jc w:val="left"/>
        <w:rPr>
          <w:b w:val="0"/>
          <w:bCs w:val="0"/>
        </w:rPr>
      </w:pPr>
      <w:r>
        <w:rPr>
          <w:color w:val="005E63"/>
          <w:spacing w:val="-1"/>
        </w:rPr>
        <w:t>OPERATING</w:t>
      </w:r>
      <w:r>
        <w:rPr>
          <w:color w:val="005E63"/>
        </w:rPr>
        <w:t> </w:t>
      </w:r>
      <w:r>
        <w:rPr>
          <w:color w:val="005E63"/>
          <w:spacing w:val="-4"/>
        </w:rPr>
        <w:t>RESULT</w:t>
      </w:r>
      <w:r>
        <w:rPr>
          <w:b w:val="0"/>
        </w:rPr>
      </w:r>
    </w:p>
    <w:p>
      <w:pPr>
        <w:pStyle w:val="BodyText"/>
        <w:spacing w:line="240" w:lineRule="auto" w:before="215"/>
        <w:ind w:right="296"/>
        <w:jc w:val="left"/>
      </w:pPr>
      <w:r>
        <w:rPr>
          <w:color w:val="231F20"/>
        </w:rPr>
        <w:t>The operating result for the year was a surplus of $4,000,593. The statement of comprehensive income on page 52 of the company’s Financial Report provides further information on the operating result.</w:t>
      </w:r>
      <w:r>
        <w:rPr/>
      </w:r>
    </w:p>
    <w:p>
      <w:pPr>
        <w:spacing w:after="0" w:line="240" w:lineRule="auto"/>
        <w:jc w:val="left"/>
        <w:sectPr>
          <w:footerReference w:type="even" r:id="rId74"/>
          <w:footerReference w:type="default" r:id="rId75"/>
          <w:pgSz w:w="9980" w:h="14180"/>
          <w:pgMar w:footer="452" w:header="0" w:top="800" w:bottom="640" w:left="740" w:right="1020"/>
          <w:pgNumType w:start="44"/>
        </w:sectPr>
      </w:pPr>
    </w:p>
    <w:p>
      <w:pPr>
        <w:spacing w:before="58"/>
        <w:ind w:left="0" w:right="10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7"/>
        <w:rPr>
          <w:rFonts w:ascii="Swis721 Lt BT" w:hAnsi="Swis721 Lt BT" w:cs="Swis721 Lt BT" w:eastAsia="Swis721 Lt BT"/>
          <w:sz w:val="23"/>
          <w:szCs w:val="23"/>
        </w:rPr>
      </w:pPr>
    </w:p>
    <w:p>
      <w:pPr>
        <w:spacing w:after="0" w:line="240" w:lineRule="auto"/>
        <w:rPr>
          <w:rFonts w:ascii="Swis721 Lt BT" w:hAnsi="Swis721 Lt BT" w:cs="Swis721 Lt BT" w:eastAsia="Swis721 Lt BT"/>
          <w:sz w:val="23"/>
          <w:szCs w:val="23"/>
        </w:rPr>
        <w:sectPr>
          <w:pgSz w:w="9980" w:h="14180"/>
          <w:pgMar w:header="0" w:footer="475" w:top="360" w:bottom="660" w:left="1000" w:right="740"/>
        </w:sectPr>
      </w:pPr>
    </w:p>
    <w:p>
      <w:pPr>
        <w:pStyle w:val="Heading5"/>
        <w:spacing w:line="240" w:lineRule="auto" w:before="61"/>
        <w:ind w:left="133" w:right="0"/>
        <w:jc w:val="left"/>
        <w:rPr>
          <w:b w:val="0"/>
          <w:bCs w:val="0"/>
        </w:rPr>
      </w:pPr>
      <w:r>
        <w:rPr>
          <w:color w:val="005E63"/>
        </w:rPr>
        <w:t>SIGNIFICANT ACTIVITIES</w:t>
      </w:r>
      <w:r>
        <w:rPr>
          <w:b w:val="0"/>
        </w:rPr>
      </w:r>
    </w:p>
    <w:p>
      <w:pPr>
        <w:pStyle w:val="BodyText"/>
        <w:spacing w:line="240" w:lineRule="auto" w:before="215"/>
        <w:ind w:left="133" w:right="24"/>
        <w:jc w:val="left"/>
      </w:pPr>
      <w:r>
        <w:rPr>
          <w:color w:val="231F20"/>
        </w:rPr>
        <w:t>The</w:t>
      </w:r>
      <w:r>
        <w:rPr>
          <w:color w:val="231F20"/>
          <w:spacing w:val="-2"/>
        </w:rPr>
        <w:t> </w:t>
      </w:r>
      <w:r>
        <w:rPr>
          <w:color w:val="231F20"/>
        </w:rPr>
        <w:t>Board</w:t>
      </w:r>
      <w:r>
        <w:rPr>
          <w:color w:val="231F20"/>
          <w:spacing w:val="-2"/>
        </w:rPr>
        <w:t> </w:t>
      </w:r>
      <w:r>
        <w:rPr>
          <w:color w:val="231F20"/>
        </w:rPr>
        <w:t>determined</w:t>
      </w:r>
      <w:r>
        <w:rPr>
          <w:color w:val="231F20"/>
          <w:spacing w:val="-1"/>
        </w:rPr>
        <w:t> </w:t>
      </w:r>
      <w:r>
        <w:rPr>
          <w:color w:val="231F20"/>
        </w:rPr>
        <w:t>that</w:t>
      </w:r>
      <w:r>
        <w:rPr>
          <w:color w:val="231F20"/>
          <w:spacing w:val="-2"/>
        </w:rPr>
        <w:t> </w:t>
      </w:r>
      <w:r>
        <w:rPr>
          <w:color w:val="231F20"/>
        </w:rPr>
        <w:t>no</w:t>
      </w:r>
      <w:r>
        <w:rPr>
          <w:color w:val="231F20"/>
          <w:spacing w:val="-2"/>
        </w:rPr>
        <w:t> </w:t>
      </w:r>
      <w:r>
        <w:rPr>
          <w:color w:val="231F20"/>
        </w:rPr>
        <w:t>significant</w:t>
      </w:r>
      <w:r>
        <w:rPr>
          <w:color w:val="231F20"/>
          <w:w w:val="99"/>
        </w:rPr>
        <w:t> </w:t>
      </w:r>
      <w:r>
        <w:rPr>
          <w:color w:val="231F20"/>
        </w:rPr>
        <w:t>activities or changes occurred during 2018–</w:t>
      </w:r>
      <w:r>
        <w:rPr>
          <w:color w:val="231F20"/>
        </w:rPr>
        <w:t> 19 that have affected the operations or structure of AITSL.</w:t>
      </w:r>
      <w:r>
        <w:rPr/>
      </w:r>
    </w:p>
    <w:p>
      <w:pPr>
        <w:spacing w:line="240" w:lineRule="auto" w:before="9"/>
        <w:rPr>
          <w:rFonts w:ascii="Swis721 Lt BT" w:hAnsi="Swis721 Lt BT" w:cs="Swis721 Lt BT" w:eastAsia="Swis721 Lt BT"/>
          <w:sz w:val="18"/>
          <w:szCs w:val="18"/>
        </w:rPr>
      </w:pPr>
    </w:p>
    <w:p>
      <w:pPr>
        <w:pStyle w:val="BodyText"/>
        <w:spacing w:line="216" w:lineRule="exact" w:before="0"/>
        <w:ind w:left="133" w:right="0"/>
        <w:jc w:val="left"/>
        <w:rPr>
          <w:rFonts w:ascii="Swis721 Md BT" w:hAnsi="Swis721 Md BT" w:cs="Swis721 Md BT" w:eastAsia="Swis721 Md BT"/>
        </w:rPr>
      </w:pPr>
      <w:r>
        <w:rPr>
          <w:rFonts w:ascii="Swis721 Md BT"/>
          <w:color w:val="303B41"/>
        </w:rPr>
        <w:t>Board appointments, cessations, resignations and re-appointments</w:t>
      </w:r>
      <w:r>
        <w:rPr>
          <w:rFonts w:ascii="Swis721 Md BT"/>
        </w:rPr>
      </w:r>
    </w:p>
    <w:p>
      <w:pPr>
        <w:pStyle w:val="BodyText"/>
        <w:spacing w:line="240" w:lineRule="auto" w:before="115"/>
        <w:ind w:left="133" w:right="0"/>
        <w:jc w:val="left"/>
      </w:pPr>
      <w:r>
        <w:rPr>
          <w:color w:val="231F20"/>
        </w:rPr>
        <w:t>The following movements on the Board of Directors occurred during the 2018–19 year:</w:t>
      </w:r>
      <w:r>
        <w:rPr/>
      </w:r>
    </w:p>
    <w:p>
      <w:pPr>
        <w:pStyle w:val="BodyText"/>
        <w:spacing w:line="240" w:lineRule="auto"/>
        <w:ind w:left="133" w:right="0"/>
        <w:jc w:val="left"/>
      </w:pPr>
      <w:r>
        <w:rPr>
          <w:rFonts w:ascii="Arial" w:hAnsi="Arial"/>
          <w:color w:val="00757A"/>
        </w:rPr>
        <w:t>ϐ </w:t>
      </w:r>
      <w:r>
        <w:rPr>
          <w:rFonts w:ascii="Arial" w:hAnsi="Arial"/>
          <w:color w:val="00757A"/>
          <w:spacing w:val="9"/>
        </w:rPr>
        <w:t> </w:t>
      </w:r>
      <w:r>
        <w:rPr>
          <w:color w:val="231F20"/>
        </w:rPr>
        <w:t>Ms</w:t>
      </w:r>
      <w:r>
        <w:rPr>
          <w:color w:val="231F20"/>
          <w:spacing w:val="1"/>
        </w:rPr>
        <w:t> </w:t>
      </w:r>
      <w:r>
        <w:rPr>
          <w:color w:val="231F20"/>
        </w:rPr>
        <w:t>Alex</w:t>
      </w:r>
      <w:r>
        <w:rPr>
          <w:color w:val="231F20"/>
          <w:spacing w:val="1"/>
        </w:rPr>
        <w:t> </w:t>
      </w:r>
      <w:r>
        <w:rPr>
          <w:color w:val="231F20"/>
        </w:rPr>
        <w:t>Gordon</w:t>
      </w:r>
      <w:r>
        <w:rPr/>
      </w:r>
    </w:p>
    <w:p>
      <w:pPr>
        <w:pStyle w:val="BodyText"/>
        <w:spacing w:line="240" w:lineRule="auto" w:before="0"/>
        <w:ind w:left="134" w:right="0" w:firstLine="226"/>
        <w:jc w:val="left"/>
      </w:pPr>
      <w:r>
        <w:rPr>
          <w:color w:val="231F20"/>
        </w:rPr>
        <w:t>(appointed 9 November 2018)</w:t>
      </w:r>
      <w:r>
        <w:rPr/>
      </w:r>
    </w:p>
    <w:p>
      <w:pPr>
        <w:pStyle w:val="BodyText"/>
        <w:spacing w:line="240" w:lineRule="auto"/>
        <w:ind w:left="360" w:right="126" w:hanging="227"/>
        <w:jc w:val="left"/>
      </w:pPr>
      <w:r>
        <w:rPr>
          <w:rFonts w:ascii="Arial" w:hAnsi="Arial"/>
          <w:color w:val="00757A"/>
        </w:rPr>
        <w:t>ϐ </w:t>
      </w:r>
      <w:r>
        <w:rPr>
          <w:rFonts w:ascii="Arial" w:hAnsi="Arial"/>
          <w:color w:val="00757A"/>
          <w:spacing w:val="8"/>
        </w:rPr>
        <w:t> </w:t>
      </w:r>
      <w:r>
        <w:rPr>
          <w:color w:val="231F20"/>
        </w:rPr>
        <w:t>Mr</w:t>
      </w:r>
      <w:r>
        <w:rPr>
          <w:color w:val="231F20"/>
          <w:spacing w:val="1"/>
        </w:rPr>
        <w:t> </w:t>
      </w:r>
      <w:r>
        <w:rPr>
          <w:color w:val="231F20"/>
        </w:rPr>
        <w:t>Christopher</w:t>
      </w:r>
      <w:r>
        <w:rPr>
          <w:color w:val="231F20"/>
          <w:spacing w:val="1"/>
        </w:rPr>
        <w:t> </w:t>
      </w:r>
      <w:r>
        <w:rPr>
          <w:color w:val="231F20"/>
          <w:spacing w:val="-1"/>
        </w:rPr>
        <w:t>Wardlaw</w:t>
      </w:r>
      <w:r>
        <w:rPr>
          <w:color w:val="231F20"/>
          <w:spacing w:val="1"/>
        </w:rPr>
        <w:t> </w:t>
      </w:r>
      <w:r>
        <w:rPr>
          <w:color w:val="231F20"/>
        </w:rPr>
        <w:t>PSM</w:t>
      </w:r>
      <w:r>
        <w:rPr>
          <w:color w:val="231F20"/>
          <w:spacing w:val="23"/>
        </w:rPr>
        <w:t> </w:t>
      </w:r>
      <w:r>
        <w:rPr>
          <w:color w:val="231F20"/>
        </w:rPr>
        <w:t>(reappointed 2 May 2019).</w:t>
      </w:r>
      <w:r>
        <w:rPr/>
      </w:r>
    </w:p>
    <w:p>
      <w:pPr>
        <w:spacing w:line="240" w:lineRule="auto" w:before="0"/>
        <w:rPr>
          <w:rFonts w:ascii="Swis721 Lt BT" w:hAnsi="Swis721 Lt BT" w:cs="Swis721 Lt BT" w:eastAsia="Swis721 Lt BT"/>
          <w:sz w:val="18"/>
          <w:szCs w:val="18"/>
        </w:rPr>
      </w:pPr>
    </w:p>
    <w:p>
      <w:pPr>
        <w:spacing w:line="240" w:lineRule="auto" w:before="9"/>
        <w:rPr>
          <w:rFonts w:ascii="Swis721 Lt BT" w:hAnsi="Swis721 Lt BT" w:cs="Swis721 Lt BT" w:eastAsia="Swis721 Lt BT"/>
          <w:sz w:val="25"/>
          <w:szCs w:val="25"/>
        </w:rPr>
      </w:pPr>
    </w:p>
    <w:p>
      <w:pPr>
        <w:pStyle w:val="Heading5"/>
        <w:spacing w:line="241" w:lineRule="auto"/>
        <w:ind w:left="133" w:right="0"/>
        <w:jc w:val="left"/>
        <w:rPr>
          <w:b w:val="0"/>
          <w:bCs w:val="0"/>
        </w:rPr>
      </w:pPr>
      <w:r>
        <w:rPr>
          <w:color w:val="005E63"/>
          <w:spacing w:val="-1"/>
        </w:rPr>
        <w:t>AUDITOR’S</w:t>
      </w:r>
      <w:r>
        <w:rPr>
          <w:color w:val="005E63"/>
        </w:rPr>
        <w:t> INDEPENDENCE</w:t>
      </w:r>
      <w:r>
        <w:rPr>
          <w:color w:val="005E63"/>
          <w:spacing w:val="24"/>
        </w:rPr>
        <w:t> </w:t>
      </w:r>
      <w:r>
        <w:rPr>
          <w:color w:val="005E63"/>
          <w:spacing w:val="-1"/>
        </w:rPr>
        <w:t>DECLARATION</w:t>
      </w:r>
      <w:r>
        <w:rPr>
          <w:b w:val="0"/>
          <w:bCs w:val="0"/>
        </w:rPr>
      </w:r>
    </w:p>
    <w:p>
      <w:pPr>
        <w:spacing w:before="213"/>
        <w:ind w:left="133" w:right="292"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A copy of the auditor’s independence declaration as required by division 60 of the </w:t>
      </w:r>
      <w:r>
        <w:rPr>
          <w:rFonts w:ascii="Swis721 Lt BT" w:hAnsi="Swis721 Lt BT" w:cs="Swis721 Lt BT" w:eastAsia="Swis721 Lt BT"/>
          <w:i/>
          <w:color w:val="231F20"/>
          <w:sz w:val="19"/>
          <w:szCs w:val="19"/>
        </w:rPr>
        <w:t>Australian Charities and </w:t>
      </w:r>
      <w:r>
        <w:rPr>
          <w:rFonts w:ascii="Swis721 Lt BT" w:hAnsi="Swis721 Lt BT" w:cs="Swis721 Lt BT" w:eastAsia="Swis721 Lt BT"/>
          <w:i/>
          <w:color w:val="231F20"/>
          <w:spacing w:val="-1"/>
          <w:sz w:val="19"/>
          <w:szCs w:val="19"/>
        </w:rPr>
        <w:t>Not-for-profits</w:t>
      </w:r>
      <w:r>
        <w:rPr>
          <w:rFonts w:ascii="Swis721 Lt BT" w:hAnsi="Swis721 Lt BT" w:cs="Swis721 Lt BT" w:eastAsia="Swis721 Lt BT"/>
          <w:sz w:val="19"/>
          <w:szCs w:val="19"/>
        </w:rPr>
      </w:r>
    </w:p>
    <w:p>
      <w:pPr>
        <w:spacing w:before="0"/>
        <w:ind w:left="133" w:right="0" w:firstLine="0"/>
        <w:jc w:val="left"/>
        <w:rPr>
          <w:rFonts w:ascii="Swis721 Lt BT" w:hAnsi="Swis721 Lt BT" w:cs="Swis721 Lt BT" w:eastAsia="Swis721 Lt BT"/>
          <w:sz w:val="19"/>
          <w:szCs w:val="19"/>
        </w:rPr>
      </w:pPr>
      <w:r>
        <w:rPr>
          <w:rFonts w:ascii="Swis721 Lt BT" w:hAnsi="Swis721 Lt BT" w:cs="Swis721 Lt BT" w:eastAsia="Swis721 Lt BT"/>
          <w:i/>
          <w:color w:val="231F20"/>
          <w:sz w:val="19"/>
          <w:szCs w:val="19"/>
        </w:rPr>
        <w:t>Commission Act 2012</w:t>
      </w:r>
      <w:r>
        <w:rPr>
          <w:rFonts w:ascii="Swis721 Lt BT" w:hAnsi="Swis721 Lt BT" w:cs="Swis721 Lt BT" w:eastAsia="Swis721 Lt BT"/>
          <w:i/>
          <w:color w:val="231F20"/>
          <w:spacing w:val="1"/>
          <w:sz w:val="19"/>
          <w:szCs w:val="19"/>
        </w:rPr>
        <w:t> </w:t>
      </w:r>
      <w:r>
        <w:rPr>
          <w:rFonts w:ascii="Swis721 Lt BT" w:hAnsi="Swis721 Lt BT" w:cs="Swis721 Lt BT" w:eastAsia="Swis721 Lt BT"/>
          <w:color w:val="231F20"/>
          <w:sz w:val="19"/>
          <w:szCs w:val="19"/>
        </w:rPr>
        <w:t>and section 307C of the</w:t>
      </w:r>
      <w:r>
        <w:rPr>
          <w:rFonts w:ascii="Swis721 Lt BT" w:hAnsi="Swis721 Lt BT" w:cs="Swis721 Lt BT" w:eastAsia="Swis721 Lt BT"/>
          <w:color w:val="231F20"/>
          <w:sz w:val="19"/>
          <w:szCs w:val="19"/>
        </w:rPr>
        <w:t> </w:t>
      </w:r>
      <w:r>
        <w:rPr>
          <w:rFonts w:ascii="Swis721 Lt BT" w:hAnsi="Swis721 Lt BT" w:cs="Swis721 Lt BT" w:eastAsia="Swis721 Lt BT"/>
          <w:i/>
          <w:color w:val="231F20"/>
          <w:sz w:val="19"/>
          <w:szCs w:val="19"/>
        </w:rPr>
        <w:t>Corporations Act 2001</w:t>
      </w:r>
      <w:r>
        <w:rPr>
          <w:rFonts w:ascii="Swis721 Lt BT" w:hAnsi="Swis721 Lt BT" w:cs="Swis721 Lt BT" w:eastAsia="Swis721 Lt BT"/>
          <w:i/>
          <w:color w:val="231F20"/>
          <w:spacing w:val="1"/>
          <w:sz w:val="19"/>
          <w:szCs w:val="19"/>
        </w:rPr>
        <w:t> </w:t>
      </w:r>
      <w:r>
        <w:rPr>
          <w:rFonts w:ascii="Swis721 Lt BT" w:hAnsi="Swis721 Lt BT" w:cs="Swis721 Lt BT" w:eastAsia="Swis721 Lt BT"/>
          <w:color w:val="231F20"/>
          <w:sz w:val="19"/>
          <w:szCs w:val="19"/>
        </w:rPr>
        <w:t>is set out on page 49</w:t>
      </w:r>
      <w:r>
        <w:rPr>
          <w:rFonts w:ascii="Swis721 Lt BT" w:hAnsi="Swis721 Lt BT" w:cs="Swis721 Lt BT" w:eastAsia="Swis721 Lt BT"/>
          <w:color w:val="231F20"/>
          <w:sz w:val="19"/>
          <w:szCs w:val="19"/>
        </w:rPr>
        <w:t> of</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the</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Financial</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Report and</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forms</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a</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part of</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the</w:t>
      </w:r>
      <w:r>
        <w:rPr>
          <w:rFonts w:ascii="Swis721 Lt BT" w:hAnsi="Swis721 Lt BT" w:cs="Swis721 Lt BT" w:eastAsia="Swis721 Lt BT"/>
          <w:color w:val="231F20"/>
          <w:sz w:val="19"/>
          <w:szCs w:val="19"/>
        </w:rPr>
        <w:t> Directors’</w:t>
      </w:r>
      <w:r>
        <w:rPr>
          <w:rFonts w:ascii="Swis721 Lt BT" w:hAnsi="Swis721 Lt BT" w:cs="Swis721 Lt BT" w:eastAsia="Swis721 Lt BT"/>
          <w:color w:val="231F20"/>
          <w:spacing w:val="-4"/>
          <w:sz w:val="19"/>
          <w:szCs w:val="19"/>
        </w:rPr>
        <w:t> </w:t>
      </w:r>
      <w:r>
        <w:rPr>
          <w:rFonts w:ascii="Swis721 Lt BT" w:hAnsi="Swis721 Lt BT" w:cs="Swis721 Lt BT" w:eastAsia="Swis721 Lt BT"/>
          <w:color w:val="231F20"/>
          <w:sz w:val="19"/>
          <w:szCs w:val="19"/>
        </w:rPr>
        <w:t>Report</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for</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the</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financial</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year</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ended</w:t>
      </w:r>
      <w:r>
        <w:rPr>
          <w:rFonts w:ascii="Swis721 Lt BT" w:hAnsi="Swis721 Lt BT" w:cs="Swis721 Lt BT" w:eastAsia="Swis721 Lt BT"/>
          <w:color w:val="231F20"/>
          <w:sz w:val="19"/>
          <w:szCs w:val="19"/>
        </w:rPr>
        <w:t> 30 June 2019.</w:t>
      </w:r>
      <w:r>
        <w:rPr>
          <w:rFonts w:ascii="Swis721 Lt BT" w:hAnsi="Swis721 Lt BT" w:cs="Swis721 Lt BT" w:eastAsia="Swis721 Lt BT"/>
          <w:sz w:val="19"/>
          <w:szCs w:val="19"/>
        </w:rPr>
      </w:r>
    </w:p>
    <w:p>
      <w:pPr>
        <w:pStyle w:val="Heading5"/>
        <w:spacing w:line="241" w:lineRule="auto" w:before="61"/>
        <w:ind w:left="136" w:right="176"/>
        <w:jc w:val="left"/>
        <w:rPr>
          <w:b w:val="0"/>
          <w:bCs w:val="0"/>
        </w:rPr>
      </w:pPr>
      <w:r>
        <w:rPr>
          <w:b w:val="0"/>
        </w:rPr>
        <w:br w:type="column"/>
      </w:r>
      <w:r>
        <w:rPr>
          <w:color w:val="005E63"/>
          <w:spacing w:val="-1"/>
        </w:rPr>
        <w:t>INDEMNIFICATION</w:t>
      </w:r>
      <w:r>
        <w:rPr>
          <w:color w:val="005E63"/>
        </w:rPr>
        <w:t> AND</w:t>
      </w:r>
      <w:r>
        <w:rPr>
          <w:color w:val="005E63"/>
          <w:spacing w:val="27"/>
        </w:rPr>
        <w:t> </w:t>
      </w:r>
      <w:r>
        <w:rPr>
          <w:color w:val="005E63"/>
        </w:rPr>
        <w:t>INSURANCE OF DIRECTORS</w:t>
      </w:r>
      <w:r>
        <w:rPr>
          <w:color w:val="005E63"/>
        </w:rPr>
        <w:t> AND OFFICERS</w:t>
      </w:r>
      <w:r>
        <w:rPr>
          <w:b w:val="0"/>
        </w:rPr>
      </w:r>
    </w:p>
    <w:p>
      <w:pPr>
        <w:pStyle w:val="BodyText"/>
        <w:spacing w:line="240" w:lineRule="auto" w:before="213"/>
        <w:ind w:left="136" w:right="176"/>
        <w:jc w:val="left"/>
      </w:pPr>
      <w:r>
        <w:rPr>
          <w:color w:val="231F20"/>
        </w:rPr>
        <w:t>During the </w:t>
      </w:r>
      <w:r>
        <w:rPr>
          <w:color w:val="231F20"/>
          <w:spacing w:val="-4"/>
        </w:rPr>
        <w:t>year,</w:t>
      </w:r>
      <w:r>
        <w:rPr>
          <w:color w:val="231F20"/>
        </w:rPr>
        <w:t> the company paid insurance</w:t>
      </w:r>
      <w:r>
        <w:rPr>
          <w:color w:val="231F20"/>
          <w:spacing w:val="22"/>
        </w:rPr>
        <w:t> </w:t>
      </w:r>
      <w:r>
        <w:rPr>
          <w:color w:val="231F20"/>
        </w:rPr>
        <w:t>premiums to Comcover to indemnify its</w:t>
      </w:r>
      <w:r>
        <w:rPr>
          <w:color w:val="231F20"/>
        </w:rPr>
        <w:t> Directors</w:t>
      </w:r>
      <w:r>
        <w:rPr>
          <w:color w:val="231F20"/>
          <w:spacing w:val="-2"/>
        </w:rPr>
        <w:t> </w:t>
      </w:r>
      <w:r>
        <w:rPr>
          <w:color w:val="231F20"/>
        </w:rPr>
        <w:t>and</w:t>
      </w:r>
      <w:r>
        <w:rPr>
          <w:color w:val="231F20"/>
          <w:spacing w:val="-1"/>
        </w:rPr>
        <w:t> </w:t>
      </w:r>
      <w:r>
        <w:rPr>
          <w:color w:val="231F20"/>
        </w:rPr>
        <w:t>Officers</w:t>
      </w:r>
      <w:r>
        <w:rPr>
          <w:color w:val="231F20"/>
          <w:spacing w:val="-1"/>
        </w:rPr>
        <w:t> </w:t>
      </w:r>
      <w:r>
        <w:rPr>
          <w:color w:val="231F20"/>
        </w:rPr>
        <w:t>for</w:t>
      </w:r>
      <w:r>
        <w:rPr>
          <w:color w:val="231F20"/>
          <w:spacing w:val="-2"/>
        </w:rPr>
        <w:t> </w:t>
      </w:r>
      <w:r>
        <w:rPr>
          <w:color w:val="231F20"/>
        </w:rPr>
        <w:t>the</w:t>
      </w:r>
      <w:r>
        <w:rPr>
          <w:color w:val="231F20"/>
          <w:spacing w:val="-1"/>
        </w:rPr>
        <w:t> </w:t>
      </w:r>
      <w:r>
        <w:rPr>
          <w:color w:val="231F20"/>
        </w:rPr>
        <w:t>professional</w:t>
      </w:r>
      <w:r>
        <w:rPr>
          <w:color w:val="231F20"/>
        </w:rPr>
        <w:t> risks associated with their responsibilities and role</w:t>
      </w:r>
      <w:r>
        <w:rPr>
          <w:color w:val="231F20"/>
          <w:spacing w:val="-2"/>
        </w:rPr>
        <w:t> </w:t>
      </w:r>
      <w:r>
        <w:rPr>
          <w:color w:val="231F20"/>
        </w:rPr>
        <w:t>as</w:t>
      </w:r>
      <w:r>
        <w:rPr>
          <w:color w:val="231F20"/>
          <w:spacing w:val="-1"/>
        </w:rPr>
        <w:t> </w:t>
      </w:r>
      <w:r>
        <w:rPr>
          <w:color w:val="231F20"/>
        </w:rPr>
        <w:t>director</w:t>
      </w:r>
      <w:r>
        <w:rPr>
          <w:color w:val="231F20"/>
          <w:spacing w:val="-1"/>
        </w:rPr>
        <w:t> </w:t>
      </w:r>
      <w:r>
        <w:rPr>
          <w:color w:val="231F20"/>
        </w:rPr>
        <w:t>or</w:t>
      </w:r>
      <w:r>
        <w:rPr>
          <w:color w:val="231F20"/>
          <w:spacing w:val="-2"/>
        </w:rPr>
        <w:t> </w:t>
      </w:r>
      <w:r>
        <w:rPr>
          <w:color w:val="231F20"/>
          <w:spacing w:val="-3"/>
        </w:rPr>
        <w:t>officer.</w:t>
      </w:r>
      <w:r>
        <w:rPr/>
      </w:r>
    </w:p>
    <w:p>
      <w:pPr>
        <w:spacing w:line="240" w:lineRule="auto" w:before="0"/>
        <w:rPr>
          <w:rFonts w:ascii="Swis721 Lt BT" w:hAnsi="Swis721 Lt BT" w:cs="Swis721 Lt BT" w:eastAsia="Swis721 Lt BT"/>
          <w:sz w:val="18"/>
          <w:szCs w:val="18"/>
        </w:rPr>
      </w:pPr>
    </w:p>
    <w:p>
      <w:pPr>
        <w:spacing w:line="240" w:lineRule="auto" w:before="9"/>
        <w:rPr>
          <w:rFonts w:ascii="Swis721 Lt BT" w:hAnsi="Swis721 Lt BT" w:cs="Swis721 Lt BT" w:eastAsia="Swis721 Lt BT"/>
          <w:sz w:val="25"/>
          <w:szCs w:val="25"/>
        </w:rPr>
      </w:pPr>
    </w:p>
    <w:p>
      <w:pPr>
        <w:pStyle w:val="Heading5"/>
        <w:spacing w:line="241" w:lineRule="auto"/>
        <w:ind w:left="136" w:right="176"/>
        <w:jc w:val="left"/>
        <w:rPr>
          <w:b w:val="0"/>
          <w:bCs w:val="0"/>
        </w:rPr>
      </w:pPr>
      <w:r>
        <w:rPr>
          <w:color w:val="005E63"/>
        </w:rPr>
        <w:t>EVENTS SUBSEQUENT TO THE</w:t>
      </w:r>
      <w:r>
        <w:rPr>
          <w:color w:val="005E63"/>
          <w:spacing w:val="22"/>
        </w:rPr>
        <w:t> </w:t>
      </w:r>
      <w:r>
        <w:rPr>
          <w:color w:val="005E63"/>
        </w:rPr>
        <w:t>END OF THE FINANCIAL YEAR</w:t>
      </w:r>
      <w:r>
        <w:rPr>
          <w:b w:val="0"/>
        </w:rPr>
      </w:r>
    </w:p>
    <w:p>
      <w:pPr>
        <w:pStyle w:val="BodyText"/>
        <w:spacing w:line="240" w:lineRule="auto" w:before="213"/>
        <w:ind w:left="136" w:right="176"/>
        <w:jc w:val="left"/>
      </w:pPr>
      <w:r>
        <w:rPr>
          <w:color w:val="231F20"/>
        </w:rPr>
        <w:t>No matters or circumstances have arisen since</w:t>
      </w:r>
      <w:r>
        <w:rPr>
          <w:color w:val="231F20"/>
          <w:spacing w:val="-1"/>
        </w:rPr>
        <w:t> </w:t>
      </w:r>
      <w:r>
        <w:rPr>
          <w:color w:val="231F20"/>
        </w:rPr>
        <w:t>the</w:t>
      </w:r>
      <w:r>
        <w:rPr>
          <w:color w:val="231F20"/>
          <w:spacing w:val="-1"/>
        </w:rPr>
        <w:t> </w:t>
      </w:r>
      <w:r>
        <w:rPr>
          <w:color w:val="231F20"/>
        </w:rPr>
        <w:t>end</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financial</w:t>
      </w:r>
      <w:r>
        <w:rPr>
          <w:color w:val="231F20"/>
          <w:spacing w:val="-1"/>
        </w:rPr>
        <w:t> </w:t>
      </w:r>
      <w:r>
        <w:rPr>
          <w:color w:val="231F20"/>
        </w:rPr>
        <w:t>year</w:t>
      </w:r>
      <w:r>
        <w:rPr>
          <w:color w:val="231F20"/>
          <w:spacing w:val="-1"/>
        </w:rPr>
        <w:t> </w:t>
      </w:r>
      <w:r>
        <w:rPr>
          <w:color w:val="231F20"/>
        </w:rPr>
        <w:t>that</w:t>
      </w:r>
      <w:r>
        <w:rPr>
          <w:color w:val="231F20"/>
        </w:rPr>
        <w:t> significantly</w:t>
      </w:r>
      <w:r>
        <w:rPr>
          <w:color w:val="231F20"/>
          <w:spacing w:val="-5"/>
        </w:rPr>
        <w:t> </w:t>
      </w:r>
      <w:r>
        <w:rPr>
          <w:color w:val="231F20"/>
        </w:rPr>
        <w:t>affected,</w:t>
      </w:r>
      <w:r>
        <w:rPr>
          <w:color w:val="231F20"/>
          <w:spacing w:val="-5"/>
        </w:rPr>
        <w:t> </w:t>
      </w:r>
      <w:r>
        <w:rPr>
          <w:color w:val="231F20"/>
        </w:rPr>
        <w:t>or</w:t>
      </w:r>
      <w:r>
        <w:rPr>
          <w:color w:val="231F20"/>
          <w:spacing w:val="-5"/>
        </w:rPr>
        <w:t> </w:t>
      </w:r>
      <w:r>
        <w:rPr>
          <w:color w:val="231F20"/>
        </w:rPr>
        <w:t>may</w:t>
      </w:r>
      <w:r>
        <w:rPr>
          <w:color w:val="231F20"/>
          <w:spacing w:val="-5"/>
        </w:rPr>
        <w:t> </w:t>
      </w:r>
      <w:r>
        <w:rPr>
          <w:color w:val="231F20"/>
        </w:rPr>
        <w:t>significantly</w:t>
      </w:r>
      <w:r>
        <w:rPr>
          <w:color w:val="231F20"/>
          <w:w w:val="99"/>
        </w:rPr>
        <w:t> </w:t>
      </w:r>
      <w:r>
        <w:rPr>
          <w:color w:val="231F20"/>
        </w:rPr>
        <w:t>affect, the operations of the company and the</w:t>
      </w:r>
      <w:r>
        <w:rPr>
          <w:color w:val="231F20"/>
        </w:rPr>
        <w:t> results of those operations.</w:t>
      </w:r>
      <w:r>
        <w:rPr/>
      </w:r>
    </w:p>
    <w:p>
      <w:pPr>
        <w:pStyle w:val="BodyText"/>
        <w:spacing w:line="240" w:lineRule="auto"/>
        <w:ind w:left="136" w:right="176"/>
        <w:jc w:val="left"/>
      </w:pPr>
      <w:r>
        <w:rPr>
          <w:color w:val="231F20"/>
        </w:rPr>
        <w:t>Signed in accordance with a resolution of the Board of Directors.</w:t>
      </w:r>
      <w:r>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5"/>
        <w:rPr>
          <w:rFonts w:ascii="Swis721 Lt BT" w:hAnsi="Swis721 Lt BT" w:cs="Swis721 Lt BT" w:eastAsia="Swis721 Lt BT"/>
          <w:sz w:val="11"/>
          <w:szCs w:val="11"/>
        </w:rPr>
      </w:pPr>
    </w:p>
    <w:p>
      <w:pPr>
        <w:spacing w:line="200" w:lineRule="atLeast"/>
        <w:ind w:left="133" w:right="0" w:firstLine="0"/>
        <w:rPr>
          <w:rFonts w:ascii="Swis721 Lt BT" w:hAnsi="Swis721 Lt BT" w:cs="Swis721 Lt BT" w:eastAsia="Swis721 Lt BT"/>
          <w:sz w:val="20"/>
          <w:szCs w:val="20"/>
        </w:rPr>
      </w:pPr>
      <w:r>
        <w:rPr>
          <w:rFonts w:ascii="Swis721 Lt BT" w:hAnsi="Swis721 Lt BT" w:cs="Swis721 Lt BT" w:eastAsia="Swis721 Lt BT"/>
          <w:sz w:val="20"/>
          <w:szCs w:val="20"/>
        </w:rPr>
        <w:drawing>
          <wp:inline distT="0" distB="0" distL="0" distR="0">
            <wp:extent cx="1312269" cy="700087"/>
            <wp:effectExtent l="0" t="0" r="0" b="0"/>
            <wp:docPr id="3" name="image49.png" descr=""/>
            <wp:cNvGraphicFramePr>
              <a:graphicFrameLocks noChangeAspect="1"/>
            </wp:cNvGraphicFramePr>
            <a:graphic>
              <a:graphicData uri="http://schemas.openxmlformats.org/drawingml/2006/picture">
                <pic:pic>
                  <pic:nvPicPr>
                    <pic:cNvPr id="4" name="image49.png"/>
                    <pic:cNvPicPr/>
                  </pic:nvPicPr>
                  <pic:blipFill>
                    <a:blip r:embed="rId76" cstate="print"/>
                    <a:stretch>
                      <a:fillRect/>
                    </a:stretch>
                  </pic:blipFill>
                  <pic:spPr>
                    <a:xfrm>
                      <a:off x="0" y="0"/>
                      <a:ext cx="1312269" cy="700087"/>
                    </a:xfrm>
                    <a:prstGeom prst="rect">
                      <a:avLst/>
                    </a:prstGeom>
                  </pic:spPr>
                </pic:pic>
              </a:graphicData>
            </a:graphic>
          </wp:inline>
        </w:drawing>
      </w:r>
      <w:r>
        <w:rPr>
          <w:rFonts w:ascii="Swis721 Lt BT" w:hAnsi="Swis721 Lt BT" w:cs="Swis721 Lt BT" w:eastAsia="Swis721 Lt BT"/>
          <w:sz w:val="20"/>
          <w:szCs w:val="20"/>
        </w:rPr>
      </w:r>
    </w:p>
    <w:p>
      <w:pPr>
        <w:pStyle w:val="BodyText"/>
        <w:spacing w:line="240" w:lineRule="auto" w:before="102"/>
        <w:ind w:left="136" w:right="991"/>
        <w:jc w:val="left"/>
      </w:pPr>
      <w:r>
        <w:rPr>
          <w:color w:val="231F20"/>
        </w:rPr>
        <w:t>Laureate Professor John Hattie Chair</w:t>
      </w:r>
      <w:r>
        <w:rPr/>
      </w:r>
    </w:p>
    <w:p>
      <w:pPr>
        <w:pStyle w:val="BodyText"/>
        <w:spacing w:line="240" w:lineRule="auto"/>
        <w:ind w:left="136" w:right="0"/>
        <w:jc w:val="left"/>
      </w:pPr>
      <w:r>
        <w:rPr>
          <w:color w:val="231F20"/>
        </w:rPr>
        <w:t>8 October 2019</w:t>
      </w:r>
      <w:r>
        <w:rPr/>
      </w:r>
    </w:p>
    <w:p>
      <w:pPr>
        <w:spacing w:after="0" w:line="240" w:lineRule="auto"/>
        <w:jc w:val="left"/>
        <w:sectPr>
          <w:type w:val="continuous"/>
          <w:pgSz w:w="9980" w:h="14180"/>
          <w:pgMar w:top="0" w:bottom="280" w:left="1000" w:right="740"/>
          <w:cols w:num="2" w:equalWidth="0">
            <w:col w:w="3925" w:space="239"/>
            <w:col w:w="4076"/>
          </w:cols>
        </w:sectPr>
      </w:pPr>
    </w:p>
    <w:p>
      <w:pPr>
        <w:spacing w:line="240" w:lineRule="auto" w:before="0"/>
        <w:rPr>
          <w:rFonts w:ascii="Swis721 Lt BT" w:hAnsi="Swis721 Lt BT" w:cs="Swis721 Lt BT" w:eastAsia="Swis721 Lt BT"/>
          <w:sz w:val="20"/>
          <w:szCs w:val="20"/>
        </w:rPr>
      </w:pPr>
      <w:r>
        <w:rPr/>
        <w:pict>
          <v:shape style="position:absolute;margin-left:389.074005pt;margin-top:0pt;width:109.824pt;height:708.660011pt;mso-position-horizontal-relative:page;mso-position-vertical-relative:page;z-index:-181600" type="#_x0000_t75" stroked="false">
            <v:imagedata r:id="rId77" o:title=""/>
          </v:shape>
        </w:pict>
      </w:r>
      <w:r>
        <w:rPr/>
        <w:pict>
          <v:group style="position:absolute;margin-left:0pt;margin-top:0pt;width:498.9pt;height:708.7pt;mso-position-horizontal-relative:page;mso-position-vertical-relative:page;z-index:-181576" coordorigin="0,0" coordsize="9978,14174">
            <v:shape style="position:absolute;left:0;top:0;width:9978;height:14174" coordorigin="0,0" coordsize="9978,14174" path="m0,14173l9978,14173,9978,0,0,0,0,14173e" filled="true" fillcolor="#005e63" stroked="false">
              <v:path arrowok="t"/>
              <v:fill type="solid"/>
            </v:shape>
            <w10:wrap type="none"/>
          </v:group>
        </w:pict>
      </w:r>
      <w:r>
        <w:rPr/>
        <w:pict>
          <v:group style="position:absolute;margin-left:369.987213pt;margin-top:253.028015pt;width:128.9500pt;height:455.65pt;mso-position-horizontal-relative:page;mso-position-vertical-relative:page;z-index:4096" coordorigin="7400,5061" coordsize="2579,9113">
            <v:shape style="position:absolute;left:7400;top:5061;width:2579;height:9113" coordorigin="7400,5061" coordsize="2579,9113" path="m9978,5061l7400,14173,9978,14173,9978,5061e" filled="true" fillcolor="#bfd22b" stroked="false">
              <v:path arrowok="t"/>
              <v:fill type="solid"/>
            </v:shape>
            <w10:wrap type="none"/>
          </v:group>
        </w:pict>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2"/>
        <w:rPr>
          <w:rFonts w:ascii="Swis721 Lt BT" w:hAnsi="Swis721 Lt BT" w:cs="Swis721 Lt BT" w:eastAsia="Swis721 Lt BT"/>
          <w:sz w:val="25"/>
          <w:szCs w:val="25"/>
        </w:rPr>
      </w:pPr>
    </w:p>
    <w:p>
      <w:pPr>
        <w:pStyle w:val="Heading2"/>
        <w:spacing w:line="456" w:lineRule="exact"/>
        <w:ind w:right="0"/>
        <w:jc w:val="left"/>
        <w:rPr>
          <w:b w:val="0"/>
          <w:bCs w:val="0"/>
        </w:rPr>
      </w:pPr>
      <w:bookmarkStart w:name="_TOC_250003" w:id="17"/>
      <w:bookmarkStart w:name="FINANCIAL REPORT" w:id="18"/>
      <w:r>
        <w:rPr>
          <w:b w:val="0"/>
        </w:rPr>
      </w:r>
      <w:r>
        <w:rPr>
          <w:color w:val="FFFFFF"/>
        </w:rPr>
        <w:t>FINANCIAL REPORT</w:t>
      </w:r>
      <w:bookmarkEnd w:id="17"/>
      <w:r>
        <w:rPr>
          <w:b w:val="0"/>
        </w:rPr>
      </w:r>
    </w:p>
    <w:p>
      <w:pPr>
        <w:pStyle w:val="Heading8"/>
        <w:spacing w:line="241" w:lineRule="exact" w:before="0"/>
        <w:ind w:right="0"/>
        <w:jc w:val="left"/>
      </w:pPr>
      <w:r>
        <w:rPr>
          <w:color w:val="FFFFFF"/>
          <w:spacing w:val="-2"/>
        </w:rPr>
        <w:t>For</w:t>
      </w:r>
      <w:r>
        <w:rPr>
          <w:color w:val="FFFFFF"/>
        </w:rPr>
        <w:t> the year ended 30 June 2019</w:t>
      </w:r>
      <w:r>
        <w:rPr/>
      </w: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0"/>
          <w:szCs w:val="20"/>
        </w:rPr>
      </w:pPr>
    </w:p>
    <w:p>
      <w:pPr>
        <w:spacing w:line="240" w:lineRule="auto" w:before="0"/>
        <w:rPr>
          <w:rFonts w:ascii="Swis721 Md BT" w:hAnsi="Swis721 Md BT" w:cs="Swis721 Md BT" w:eastAsia="Swis721 Md BT"/>
          <w:sz w:val="22"/>
          <w:szCs w:val="22"/>
        </w:rPr>
      </w:pPr>
    </w:p>
    <w:p>
      <w:pPr>
        <w:pStyle w:val="Heading6"/>
        <w:tabs>
          <w:tab w:pos="5750" w:val="right" w:leader="none"/>
        </w:tabs>
        <w:spacing w:line="240" w:lineRule="auto" w:before="61"/>
        <w:ind w:left="110" w:right="0"/>
        <w:jc w:val="left"/>
        <w:rPr>
          <w:rFonts w:ascii="Swis721 Md BT" w:hAnsi="Swis721 Md BT" w:cs="Swis721 Md BT" w:eastAsia="Swis721 Md BT"/>
        </w:rPr>
      </w:pPr>
      <w:r>
        <w:rPr>
          <w:rFonts w:ascii="Swis721 Md BT" w:hAnsi="Swis721 Md BT" w:cs="Swis721 Md BT" w:eastAsia="Swis721 Md BT"/>
          <w:color w:val="FFFFFF"/>
        </w:rPr>
        <w:t>Directors’ Declaration</w:t>
        <w:tab/>
        <w:t>48</w:t>
      </w:r>
      <w:r>
        <w:rPr>
          <w:rFonts w:ascii="Swis721 Md BT" w:hAnsi="Swis721 Md BT" w:cs="Swis721 Md BT" w:eastAsia="Swis721 Md BT"/>
        </w:rPr>
      </w:r>
    </w:p>
    <w:p>
      <w:pPr>
        <w:pStyle w:val="Heading6"/>
        <w:tabs>
          <w:tab w:pos="5750" w:val="right" w:leader="none"/>
        </w:tabs>
        <w:spacing w:line="240" w:lineRule="auto" w:before="151"/>
        <w:ind w:left="110" w:right="0"/>
        <w:jc w:val="left"/>
        <w:rPr>
          <w:rFonts w:ascii="Swis721 Md BT" w:hAnsi="Swis721 Md BT" w:cs="Swis721 Md BT" w:eastAsia="Swis721 Md BT"/>
        </w:rPr>
      </w:pPr>
      <w:r>
        <w:rPr>
          <w:rFonts w:ascii="Swis721 Md BT" w:hAnsi="Swis721 Md BT" w:cs="Swis721 Md BT" w:eastAsia="Swis721 Md BT"/>
          <w:color w:val="FFFFFF"/>
        </w:rPr>
        <w:t>Auditor’s Independence Declaration</w:t>
        <w:tab/>
        <w:t>49</w:t>
      </w:r>
      <w:r>
        <w:rPr>
          <w:rFonts w:ascii="Swis721 Md BT" w:hAnsi="Swis721 Md BT" w:cs="Swis721 Md BT" w:eastAsia="Swis721 Md BT"/>
        </w:rPr>
      </w:r>
    </w:p>
    <w:p>
      <w:pPr>
        <w:pStyle w:val="Heading6"/>
        <w:tabs>
          <w:tab w:pos="5750" w:val="right" w:leader="none"/>
        </w:tabs>
        <w:spacing w:line="240" w:lineRule="auto" w:before="151"/>
        <w:ind w:left="110" w:right="0"/>
        <w:jc w:val="left"/>
        <w:rPr>
          <w:rFonts w:ascii="Swis721 Md BT" w:hAnsi="Swis721 Md BT" w:cs="Swis721 Md BT" w:eastAsia="Swis721 Md BT"/>
        </w:rPr>
      </w:pPr>
      <w:r>
        <w:rPr>
          <w:rFonts w:ascii="Swis721 Md BT" w:hAnsi="Swis721 Md BT" w:cs="Swis721 Md BT" w:eastAsia="Swis721 Md BT"/>
          <w:color w:val="FFFFFF"/>
        </w:rPr>
        <w:t>Independent Auditor’s Report</w:t>
        <w:tab/>
        <w:t>50</w:t>
      </w:r>
      <w:r>
        <w:rPr>
          <w:rFonts w:ascii="Swis721 Md BT" w:hAnsi="Swis721 Md BT" w:cs="Swis721 Md BT" w:eastAsia="Swis721 Md BT"/>
        </w:rPr>
      </w:r>
    </w:p>
    <w:p>
      <w:pPr>
        <w:pStyle w:val="Heading6"/>
        <w:tabs>
          <w:tab w:pos="5750" w:val="right" w:leader="none"/>
        </w:tabs>
        <w:spacing w:line="240" w:lineRule="auto" w:before="151"/>
        <w:ind w:left="110" w:right="0"/>
        <w:jc w:val="left"/>
        <w:rPr>
          <w:rFonts w:ascii="Swis721 Md BT" w:hAnsi="Swis721 Md BT" w:cs="Swis721 Md BT" w:eastAsia="Swis721 Md BT"/>
        </w:rPr>
      </w:pPr>
      <w:r>
        <w:rPr>
          <w:rFonts w:ascii="Swis721 Md BT"/>
          <w:color w:val="FFFFFF"/>
        </w:rPr>
        <w:t>Statement of Comprehensive Income</w:t>
        <w:tab/>
        <w:t>52</w:t>
      </w:r>
      <w:r>
        <w:rPr>
          <w:rFonts w:ascii="Swis721 Md BT"/>
        </w:rPr>
      </w:r>
    </w:p>
    <w:p>
      <w:pPr>
        <w:pStyle w:val="Heading6"/>
        <w:tabs>
          <w:tab w:pos="5750" w:val="right" w:leader="none"/>
        </w:tabs>
        <w:spacing w:line="240" w:lineRule="auto" w:before="151"/>
        <w:ind w:left="110" w:right="0"/>
        <w:jc w:val="left"/>
        <w:rPr>
          <w:rFonts w:ascii="Swis721 Md BT" w:hAnsi="Swis721 Md BT" w:cs="Swis721 Md BT" w:eastAsia="Swis721 Md BT"/>
        </w:rPr>
      </w:pPr>
      <w:r>
        <w:rPr>
          <w:rFonts w:ascii="Swis721 Md BT"/>
          <w:color w:val="FFFFFF"/>
        </w:rPr>
        <w:t>Statement of Financial </w:t>
      </w:r>
      <w:r>
        <w:rPr>
          <w:rFonts w:ascii="Swis721 Md BT"/>
          <w:color w:val="FFFFFF"/>
          <w:spacing w:val="-1"/>
        </w:rPr>
        <w:t>Position</w:t>
        <w:tab/>
      </w:r>
      <w:r>
        <w:rPr>
          <w:rFonts w:ascii="Swis721 Md BT"/>
          <w:color w:val="FFFFFF"/>
        </w:rPr>
        <w:t>53</w:t>
      </w:r>
      <w:r>
        <w:rPr>
          <w:rFonts w:ascii="Swis721 Md BT"/>
        </w:rPr>
      </w:r>
    </w:p>
    <w:p>
      <w:pPr>
        <w:pStyle w:val="Heading6"/>
        <w:tabs>
          <w:tab w:pos="5750" w:val="right" w:leader="none"/>
        </w:tabs>
        <w:spacing w:line="240" w:lineRule="auto" w:before="151"/>
        <w:ind w:left="110" w:right="0"/>
        <w:jc w:val="left"/>
        <w:rPr>
          <w:rFonts w:ascii="Swis721 Md BT" w:hAnsi="Swis721 Md BT" w:cs="Swis721 Md BT" w:eastAsia="Swis721 Md BT"/>
        </w:rPr>
      </w:pPr>
      <w:r>
        <w:rPr>
          <w:rFonts w:ascii="Swis721 Md BT"/>
          <w:color w:val="FFFFFF"/>
        </w:rPr>
        <w:t>Statement of Changes in Equity</w:t>
        <w:tab/>
        <w:t>54</w:t>
      </w:r>
      <w:r>
        <w:rPr>
          <w:rFonts w:ascii="Swis721 Md BT"/>
        </w:rPr>
      </w:r>
    </w:p>
    <w:p>
      <w:pPr>
        <w:pStyle w:val="Heading6"/>
        <w:tabs>
          <w:tab w:pos="5750" w:val="right" w:leader="none"/>
        </w:tabs>
        <w:spacing w:line="240" w:lineRule="auto" w:before="151"/>
        <w:ind w:left="110" w:right="0"/>
        <w:jc w:val="left"/>
        <w:rPr>
          <w:rFonts w:ascii="Swis721 Md BT" w:hAnsi="Swis721 Md BT" w:cs="Swis721 Md BT" w:eastAsia="Swis721 Md BT"/>
        </w:rPr>
      </w:pPr>
      <w:r>
        <w:rPr>
          <w:rFonts w:ascii="Swis721 Md BT"/>
          <w:color w:val="FFFFFF"/>
        </w:rPr>
        <w:t>Statement of Cash Flows</w:t>
        <w:tab/>
        <w:t>55</w:t>
      </w:r>
      <w:r>
        <w:rPr>
          <w:rFonts w:ascii="Swis721 Md BT"/>
        </w:rPr>
      </w:r>
    </w:p>
    <w:p>
      <w:pPr>
        <w:pStyle w:val="Heading6"/>
        <w:spacing w:line="240" w:lineRule="auto" w:before="151"/>
        <w:ind w:left="110" w:right="0"/>
        <w:jc w:val="left"/>
        <w:rPr>
          <w:rFonts w:ascii="Swis721 Md BT" w:hAnsi="Swis721 Md BT" w:cs="Swis721 Md BT" w:eastAsia="Swis721 Md BT"/>
        </w:rPr>
      </w:pPr>
      <w:r>
        <w:rPr>
          <w:rFonts w:ascii="Swis721 Md BT"/>
          <w:color w:val="FFFFFF"/>
        </w:rPr>
        <w:t>Notes</w:t>
      </w:r>
      <w:r>
        <w:rPr>
          <w:rFonts w:ascii="Swis721 Md BT"/>
          <w:color w:val="FFFFFF"/>
          <w:spacing w:val="-3"/>
        </w:rPr>
        <w:t> </w:t>
      </w:r>
      <w:r>
        <w:rPr>
          <w:rFonts w:ascii="Swis721 Md BT"/>
          <w:color w:val="FFFFFF"/>
        </w:rPr>
        <w:t>to</w:t>
      </w:r>
      <w:r>
        <w:rPr>
          <w:rFonts w:ascii="Swis721 Md BT"/>
          <w:color w:val="FFFFFF"/>
          <w:spacing w:val="-2"/>
        </w:rPr>
        <w:t> </w:t>
      </w:r>
      <w:r>
        <w:rPr>
          <w:rFonts w:ascii="Swis721 Md BT"/>
          <w:color w:val="FFFFFF"/>
        </w:rPr>
        <w:t>the</w:t>
      </w:r>
      <w:r>
        <w:rPr>
          <w:rFonts w:ascii="Swis721 Md BT"/>
          <w:color w:val="FFFFFF"/>
          <w:spacing w:val="-2"/>
        </w:rPr>
        <w:t> </w:t>
      </w:r>
      <w:r>
        <w:rPr>
          <w:rFonts w:ascii="Swis721 Md BT"/>
          <w:color w:val="FFFFFF"/>
        </w:rPr>
        <w:t>financial</w:t>
      </w:r>
      <w:r>
        <w:rPr>
          <w:rFonts w:ascii="Swis721 Md BT"/>
          <w:color w:val="FFFFFF"/>
          <w:spacing w:val="-3"/>
        </w:rPr>
        <w:t> </w:t>
      </w:r>
      <w:r>
        <w:rPr>
          <w:rFonts w:ascii="Swis721 Md BT"/>
          <w:color w:val="FFFFFF"/>
        </w:rPr>
        <w:t>statements:</w:t>
      </w:r>
      <w:r>
        <w:rPr>
          <w:rFonts w:ascii="Swis721 Md BT"/>
        </w:rPr>
      </w:r>
    </w:p>
    <w:p>
      <w:pPr>
        <w:pStyle w:val="Heading6"/>
        <w:tabs>
          <w:tab w:pos="1150" w:val="left" w:leader="none"/>
          <w:tab w:pos="5750" w:val="right" w:leader="none"/>
        </w:tabs>
        <w:spacing w:line="240" w:lineRule="auto" w:before="151"/>
        <w:ind w:left="110" w:right="0"/>
        <w:jc w:val="left"/>
      </w:pPr>
      <w:r>
        <w:rPr>
          <w:color w:val="FFFFFF"/>
        </w:rPr>
        <w:t>Note 1:</w:t>
        <w:tab/>
        <w:t>Objective of the entity</w:t>
        <w:tab/>
        <w:t>56</w:t>
      </w:r>
      <w:r>
        <w:rPr/>
      </w:r>
    </w:p>
    <w:p>
      <w:pPr>
        <w:pStyle w:val="Heading6"/>
        <w:tabs>
          <w:tab w:pos="1150" w:val="left" w:leader="none"/>
          <w:tab w:pos="5750" w:val="right" w:leader="none"/>
        </w:tabs>
        <w:spacing w:line="240" w:lineRule="auto" w:before="151"/>
        <w:ind w:left="110" w:right="0"/>
        <w:jc w:val="left"/>
      </w:pPr>
      <w:r>
        <w:rPr>
          <w:color w:val="FFFFFF"/>
        </w:rPr>
        <w:t>Note 2:</w:t>
        <w:tab/>
        <w:t>Basis of preparation</w:t>
        <w:tab/>
        <w:t>56</w:t>
      </w:r>
      <w:r>
        <w:rPr/>
      </w:r>
    </w:p>
    <w:p>
      <w:pPr>
        <w:pStyle w:val="Heading6"/>
        <w:tabs>
          <w:tab w:pos="1150" w:val="left" w:leader="none"/>
          <w:tab w:pos="5750" w:val="right" w:leader="none"/>
        </w:tabs>
        <w:spacing w:line="240" w:lineRule="auto" w:before="151"/>
        <w:ind w:left="110" w:right="0"/>
        <w:jc w:val="left"/>
      </w:pPr>
      <w:r>
        <w:rPr>
          <w:color w:val="FFFFFF"/>
        </w:rPr>
        <w:t>Note 3:</w:t>
        <w:tab/>
        <w:t>Significant</w:t>
      </w:r>
      <w:r>
        <w:rPr>
          <w:color w:val="FFFFFF"/>
          <w:spacing w:val="-1"/>
        </w:rPr>
        <w:t> </w:t>
      </w:r>
      <w:r>
        <w:rPr>
          <w:color w:val="FFFFFF"/>
        </w:rPr>
        <w:t>accounting</w:t>
      </w:r>
      <w:r>
        <w:rPr>
          <w:color w:val="FFFFFF"/>
          <w:spacing w:val="-1"/>
        </w:rPr>
        <w:t> </w:t>
      </w:r>
      <w:r>
        <w:rPr>
          <w:color w:val="FFFFFF"/>
        </w:rPr>
        <w:t>policies</w:t>
        <w:tab/>
        <w:t>57</w:t>
      </w:r>
      <w:r>
        <w:rPr/>
      </w:r>
    </w:p>
    <w:p>
      <w:pPr>
        <w:pStyle w:val="Heading6"/>
        <w:tabs>
          <w:tab w:pos="1150" w:val="left" w:leader="none"/>
          <w:tab w:pos="5750" w:val="right" w:leader="none"/>
        </w:tabs>
        <w:spacing w:line="240" w:lineRule="auto" w:before="151"/>
        <w:ind w:left="110" w:right="0"/>
        <w:jc w:val="left"/>
      </w:pPr>
      <w:r>
        <w:rPr>
          <w:color w:val="FFFFFF"/>
        </w:rPr>
        <w:t>Note 4:</w:t>
        <w:tab/>
        <w:t>Non-current assets</w:t>
        <w:tab/>
        <w:t>59</w:t>
      </w:r>
      <w:r>
        <w:rPr/>
      </w:r>
    </w:p>
    <w:p>
      <w:pPr>
        <w:pStyle w:val="Heading6"/>
        <w:tabs>
          <w:tab w:pos="1150" w:val="left" w:leader="none"/>
          <w:tab w:pos="5750" w:val="right" w:leader="none"/>
        </w:tabs>
        <w:spacing w:line="240" w:lineRule="auto" w:before="151"/>
        <w:ind w:left="110" w:right="0"/>
        <w:jc w:val="left"/>
      </w:pPr>
      <w:r>
        <w:rPr>
          <w:color w:val="FFFFFF"/>
        </w:rPr>
        <w:t>Note 5:</w:t>
        <w:tab/>
      </w:r>
      <w:r>
        <w:rPr>
          <w:color w:val="FFFFFF"/>
          <w:spacing w:val="-2"/>
        </w:rPr>
        <w:t>Fair</w:t>
      </w:r>
      <w:r>
        <w:rPr>
          <w:color w:val="FFFFFF"/>
        </w:rPr>
        <w:t> value measurements</w:t>
        <w:tab/>
        <w:t>61</w:t>
      </w:r>
      <w:r>
        <w:rPr/>
      </w:r>
    </w:p>
    <w:p>
      <w:pPr>
        <w:pStyle w:val="Heading6"/>
        <w:tabs>
          <w:tab w:pos="1150" w:val="left" w:leader="none"/>
          <w:tab w:pos="5750" w:val="right" w:leader="none"/>
        </w:tabs>
        <w:spacing w:line="240" w:lineRule="auto" w:before="151"/>
        <w:ind w:left="110" w:right="0"/>
        <w:jc w:val="left"/>
      </w:pPr>
      <w:r>
        <w:rPr>
          <w:color w:val="FFFFFF"/>
        </w:rPr>
        <w:t>Note 6:</w:t>
        <w:tab/>
        <w:t>Provisions</w:t>
        <w:tab/>
        <w:t>62</w:t>
      </w:r>
      <w:r>
        <w:rPr/>
      </w:r>
    </w:p>
    <w:p>
      <w:pPr>
        <w:pStyle w:val="Heading6"/>
        <w:tabs>
          <w:tab w:pos="1150" w:val="left" w:leader="none"/>
          <w:tab w:pos="5750" w:val="right" w:leader="none"/>
        </w:tabs>
        <w:spacing w:line="240" w:lineRule="auto" w:before="151"/>
        <w:ind w:left="110" w:right="0"/>
        <w:jc w:val="left"/>
      </w:pPr>
      <w:r>
        <w:rPr>
          <w:color w:val="FFFFFF"/>
        </w:rPr>
        <w:t>Note 7:</w:t>
        <w:tab/>
        <w:t>Cash</w:t>
      </w:r>
      <w:r>
        <w:rPr>
          <w:color w:val="FFFFFF"/>
          <w:spacing w:val="-1"/>
        </w:rPr>
        <w:t> </w:t>
      </w:r>
      <w:r>
        <w:rPr>
          <w:color w:val="FFFFFF"/>
        </w:rPr>
        <w:t>flow reconciliation</w:t>
        <w:tab/>
        <w:t>64</w:t>
      </w:r>
      <w:r>
        <w:rPr/>
      </w:r>
    </w:p>
    <w:p>
      <w:pPr>
        <w:pStyle w:val="Heading6"/>
        <w:tabs>
          <w:tab w:pos="1150" w:val="left" w:leader="none"/>
        </w:tabs>
        <w:spacing w:line="240" w:lineRule="auto" w:before="151"/>
        <w:ind w:left="110" w:right="0"/>
        <w:jc w:val="left"/>
      </w:pPr>
      <w:r>
        <w:rPr>
          <w:color w:val="FFFFFF"/>
        </w:rPr>
        <w:t>Note 8:</w:t>
        <w:tab/>
      </w:r>
      <w:r>
        <w:rPr>
          <w:color w:val="FFFFFF"/>
          <w:spacing w:val="-2"/>
        </w:rPr>
        <w:t>Key</w:t>
      </w:r>
      <w:r>
        <w:rPr>
          <w:color w:val="FFFFFF"/>
        </w:rPr>
        <w:t> management personnel</w:t>
      </w:r>
      <w:r>
        <w:rPr/>
      </w:r>
    </w:p>
    <w:p>
      <w:pPr>
        <w:pStyle w:val="Heading6"/>
        <w:tabs>
          <w:tab w:pos="5750" w:val="right" w:leader="none"/>
        </w:tabs>
        <w:spacing w:line="240" w:lineRule="auto"/>
        <w:ind w:left="1150" w:right="0"/>
        <w:jc w:val="left"/>
      </w:pPr>
      <w:r>
        <w:rPr>
          <w:color w:val="FFFFFF"/>
        </w:rPr>
        <w:t>remuneration</w:t>
        <w:tab/>
        <w:t>64</w:t>
      </w:r>
      <w:r>
        <w:rPr/>
      </w:r>
    </w:p>
    <w:p>
      <w:pPr>
        <w:pStyle w:val="Heading6"/>
        <w:tabs>
          <w:tab w:pos="1150" w:val="left" w:leader="none"/>
          <w:tab w:pos="5750" w:val="right" w:leader="none"/>
        </w:tabs>
        <w:spacing w:line="240" w:lineRule="auto" w:before="151"/>
        <w:ind w:left="110" w:right="0"/>
        <w:jc w:val="left"/>
      </w:pPr>
      <w:r>
        <w:rPr>
          <w:color w:val="FFFFFF"/>
        </w:rPr>
        <w:t>Note 9:</w:t>
        <w:tab/>
        <w:t>Related party disclosure</w:t>
        <w:tab/>
        <w:t>65</w:t>
      </w:r>
      <w:r>
        <w:rPr/>
      </w:r>
    </w:p>
    <w:p>
      <w:pPr>
        <w:pStyle w:val="Heading6"/>
        <w:tabs>
          <w:tab w:pos="5750" w:val="right" w:leader="none"/>
        </w:tabs>
        <w:spacing w:line="240" w:lineRule="auto" w:before="151"/>
        <w:ind w:left="110" w:right="0"/>
        <w:jc w:val="left"/>
      </w:pPr>
      <w:r>
        <w:rPr>
          <w:color w:val="FFFFFF"/>
        </w:rPr>
        <w:t>Note 10: </w:t>
      </w:r>
      <w:r>
        <w:rPr>
          <w:color w:val="FFFFFF"/>
          <w:spacing w:val="28"/>
        </w:rPr>
        <w:t> </w:t>
      </w:r>
      <w:r>
        <w:rPr>
          <w:color w:val="FFFFFF"/>
        </w:rPr>
        <w:t>Financial Instruments</w:t>
        <w:tab/>
        <w:t>66</w:t>
      </w:r>
      <w:r>
        <w:rPr/>
      </w:r>
    </w:p>
    <w:p>
      <w:pPr>
        <w:pStyle w:val="Heading6"/>
        <w:tabs>
          <w:tab w:pos="5750" w:val="right" w:leader="none"/>
        </w:tabs>
        <w:spacing w:line="240" w:lineRule="auto" w:before="151"/>
        <w:ind w:left="110" w:right="0"/>
        <w:jc w:val="left"/>
      </w:pPr>
      <w:r>
        <w:rPr>
          <w:color w:val="FFFFFF"/>
        </w:rPr>
        <w:t>Note 11: </w:t>
      </w:r>
      <w:r>
        <w:rPr>
          <w:color w:val="FFFFFF"/>
          <w:spacing w:val="28"/>
        </w:rPr>
        <w:t> </w:t>
      </w:r>
      <w:r>
        <w:rPr>
          <w:color w:val="FFFFFF"/>
        </w:rPr>
        <w:t>Commitments</w:t>
        <w:tab/>
        <w:t>68</w:t>
      </w:r>
      <w:r>
        <w:rPr/>
      </w:r>
    </w:p>
    <w:p>
      <w:pPr>
        <w:pStyle w:val="Heading6"/>
        <w:tabs>
          <w:tab w:pos="5750" w:val="right" w:leader="none"/>
        </w:tabs>
        <w:spacing w:line="240" w:lineRule="auto" w:before="151"/>
        <w:ind w:left="110" w:right="0"/>
        <w:jc w:val="left"/>
      </w:pPr>
      <w:r>
        <w:rPr>
          <w:color w:val="FFFFFF"/>
        </w:rPr>
        <w:t>Note 12: </w:t>
      </w:r>
      <w:r>
        <w:rPr>
          <w:color w:val="FFFFFF"/>
          <w:spacing w:val="28"/>
        </w:rPr>
        <w:t> </w:t>
      </w:r>
      <w:r>
        <w:rPr>
          <w:color w:val="FFFFFF"/>
        </w:rPr>
        <w:t>Explanations of major budget variances</w:t>
        <w:tab/>
        <w:t>69</w:t>
      </w:r>
      <w:r>
        <w:rPr/>
      </w:r>
    </w:p>
    <w:p>
      <w:pPr>
        <w:pStyle w:val="Heading6"/>
        <w:tabs>
          <w:tab w:pos="5750" w:val="right" w:leader="none"/>
        </w:tabs>
        <w:spacing w:line="240" w:lineRule="auto" w:before="151"/>
        <w:ind w:left="110" w:right="0"/>
        <w:jc w:val="left"/>
      </w:pPr>
      <w:r>
        <w:rPr>
          <w:color w:val="FFFFFF"/>
        </w:rPr>
        <w:t>Note 13: </w:t>
      </w:r>
      <w:r>
        <w:rPr>
          <w:color w:val="FFFFFF"/>
          <w:spacing w:val="28"/>
        </w:rPr>
        <w:t> </w:t>
      </w:r>
      <w:r>
        <w:rPr>
          <w:color w:val="FFFFFF"/>
        </w:rPr>
        <w:t>Member’s guarantee</w:t>
        <w:tab/>
        <w:t>70</w:t>
      </w:r>
      <w:r>
        <w:rPr/>
      </w:r>
    </w:p>
    <w:p>
      <w:pPr>
        <w:pStyle w:val="Heading6"/>
        <w:tabs>
          <w:tab w:pos="5750" w:val="right" w:leader="none"/>
        </w:tabs>
        <w:spacing w:line="240" w:lineRule="auto" w:before="151"/>
        <w:ind w:left="110" w:right="0"/>
        <w:jc w:val="left"/>
      </w:pPr>
      <w:r>
        <w:rPr>
          <w:color w:val="FFFFFF"/>
        </w:rPr>
        <w:t>Note 14: </w:t>
      </w:r>
      <w:r>
        <w:rPr>
          <w:color w:val="FFFFFF"/>
          <w:spacing w:val="28"/>
        </w:rPr>
        <w:t> </w:t>
      </w:r>
      <w:r>
        <w:rPr>
          <w:color w:val="FFFFFF"/>
        </w:rPr>
        <w:t>Entity details</w:t>
        <w:tab/>
        <w:t>70</w:t>
      </w:r>
      <w:r>
        <w:rPr/>
      </w:r>
    </w:p>
    <w:p>
      <w:pPr>
        <w:spacing w:after="0" w:line="240" w:lineRule="auto"/>
        <w:jc w:val="left"/>
        <w:sectPr>
          <w:pgSz w:w="9980" w:h="14180"/>
          <w:pgMar w:header="0" w:footer="452" w:top="0" w:bottom="640" w:left="740" w:right="0"/>
        </w:sectPr>
      </w:pPr>
    </w:p>
    <w:p>
      <w:pPr>
        <w:spacing w:before="65"/>
        <w:ind w:left="0" w:right="108" w:firstLine="0"/>
        <w:jc w:val="right"/>
        <w:rPr>
          <w:rFonts w:ascii="Arial" w:hAnsi="Arial" w:cs="Arial" w:eastAsia="Arial"/>
          <w:sz w:val="16"/>
          <w:szCs w:val="16"/>
        </w:rPr>
      </w:pPr>
      <w:r>
        <w:rPr/>
        <w:pict>
          <v:group style="position:absolute;margin-left:-.715779pt;margin-top:.000001pt;width:499.65pt;height:708.3pt;mso-position-horizontal-relative:page;mso-position-vertical-relative:page;z-index:-181528" coordorigin="-14,0" coordsize="9993,14166">
            <v:shape style="position:absolute;left:0;top:0;width:9978;height:12960" type="#_x0000_t75" stroked="false">
              <v:imagedata r:id="rId80" o:title=""/>
            </v:shape>
            <v:group style="position:absolute;left:8990;top:29;width:974;height:2" coordorigin="8990,29" coordsize="974,2">
              <v:shape style="position:absolute;left:8990;top:29;width:974;height:2" coordorigin="8990,29" coordsize="974,0" path="m8990,29l9964,29e" filled="false" stroked="true" strokeweight="1.431558pt" strokecolor="#000000">
                <v:path arrowok="t"/>
              </v:shape>
            </v:group>
            <v:group style="position:absolute;left:9935;top:14;width:2;height:1494" coordorigin="9935,14" coordsize="2,1494">
              <v:shape style="position:absolute;left:9935;top:14;width:2;height:1494" coordorigin="9935,14" coordsize="0,1494" path="m9935,1508l9935,14e" filled="false" stroked="true" strokeweight=".715779pt" strokecolor="#e8a823">
                <v:path arrowok="t"/>
              </v:shape>
            </v:group>
            <v:group style="position:absolute;left:9914;top:4179;width:2;height:3002" coordorigin="9914,4179" coordsize="2,3002">
              <v:shape style="position:absolute;left:9914;top:4179;width:2;height:3002" coordorigin="9914,4179" coordsize="0,3002" path="m9914,7180l9914,4179e" filled="false" stroked="true" strokeweight="2.147337pt" strokecolor="#bc9387">
                <v:path arrowok="t"/>
              </v:shape>
            </v:group>
            <v:group style="position:absolute;left:9885;top:12522;width:2;height:1609" coordorigin="9885,12522" coordsize="2,1609">
              <v:shape style="position:absolute;left:9885;top:12522;width:2;height:1609" coordorigin="9885,12522" coordsize="0,1609" path="m9885,14130l9885,12522e" filled="false" stroked="true" strokeweight="3.578895pt" strokecolor="#a88390">
                <v:path arrowok="t"/>
              </v:shape>
            </v:group>
            <v:group style="position:absolute;left:1747;top:12996;width:4581;height:2" coordorigin="1747,12996" coordsize="4581,2">
              <v:shape style="position:absolute;left:1747;top:12996;width:4581;height:2" coordorigin="1747,12996" coordsize="4581,0" path="m1747,12996l6327,12996e" filled="false" stroked="true" strokeweight="2.863116pt" strokecolor="#7777ac">
                <v:path arrowok="t"/>
              </v:shape>
            </v:group>
            <v:group style="position:absolute;left:0;top:14116;width:7330;height:2" coordorigin="0,14116" coordsize="7330,2">
              <v:shape style="position:absolute;left:0;top:14116;width:7330;height:2" coordorigin="0,14116" coordsize="7330,0" path="m0,14116l7330,14116e" filled="false" stroked="true" strokeweight="1.431558pt" strokecolor="#ac97a0">
                <v:path arrowok="t"/>
              </v:shape>
            </v:group>
            <w10:wrap type="none"/>
          </v:group>
        </w:pict>
      </w:r>
      <w:r>
        <w:rPr>
          <w:rFonts w:ascii="Arial"/>
          <w:color w:val="41342A"/>
          <w:w w:val="90"/>
          <w:sz w:val="16"/>
        </w:rPr>
        <w:t>AN</w:t>
      </w:r>
      <w:r>
        <w:rPr>
          <w:rFonts w:ascii="Arial"/>
          <w:color w:val="41342A"/>
          <w:spacing w:val="-6"/>
          <w:w w:val="90"/>
          <w:sz w:val="16"/>
        </w:rPr>
        <w:t>N</w:t>
      </w:r>
      <w:r>
        <w:rPr>
          <w:rFonts w:ascii="Arial"/>
          <w:color w:val="41342A"/>
          <w:w w:val="90"/>
          <w:sz w:val="16"/>
        </w:rPr>
        <w:t>UA</w:t>
      </w:r>
      <w:r>
        <w:rPr>
          <w:rFonts w:ascii="Arial"/>
          <w:color w:val="41342A"/>
          <w:spacing w:val="17"/>
          <w:w w:val="90"/>
          <w:sz w:val="16"/>
        </w:rPr>
        <w:t>L</w:t>
      </w:r>
      <w:r>
        <w:rPr>
          <w:rFonts w:ascii="Arial"/>
          <w:color w:val="41342A"/>
          <w:w w:val="90"/>
          <w:sz w:val="16"/>
        </w:rPr>
        <w:t>R</w:t>
      </w:r>
      <w:r>
        <w:rPr>
          <w:rFonts w:ascii="Arial"/>
          <w:color w:val="41342A"/>
          <w:spacing w:val="-15"/>
          <w:w w:val="90"/>
          <w:sz w:val="16"/>
        </w:rPr>
        <w:t>E</w:t>
      </w:r>
      <w:r>
        <w:rPr>
          <w:rFonts w:ascii="Arial"/>
          <w:color w:val="504648"/>
          <w:w w:val="90"/>
          <w:sz w:val="16"/>
        </w:rPr>
        <w:t>PORT</w:t>
      </w:r>
      <w:r>
        <w:rPr>
          <w:rFonts w:ascii="Arial"/>
          <w:color w:val="504648"/>
          <w:spacing w:val="3"/>
          <w:w w:val="90"/>
          <w:sz w:val="16"/>
        </w:rPr>
        <w:t> </w:t>
      </w:r>
      <w:r>
        <w:rPr>
          <w:rFonts w:ascii="Arial"/>
          <w:color w:val="504648"/>
          <w:w w:val="90"/>
          <w:sz w:val="16"/>
        </w:rPr>
        <w:t>rot</w:t>
      </w:r>
      <w:r>
        <w:rPr>
          <w:rFonts w:ascii="Arial"/>
          <w:color w:val="504648"/>
          <w:spacing w:val="-10"/>
          <w:w w:val="90"/>
          <w:sz w:val="16"/>
        </w:rPr>
        <w:t> </w:t>
      </w:r>
      <w:r>
        <w:rPr>
          <w:rFonts w:ascii="Arial"/>
          <w:color w:val="75593F"/>
          <w:w w:val="90"/>
          <w:sz w:val="16"/>
        </w:rPr>
        <w:t>8</w:t>
      </w:r>
      <w:r>
        <w:rPr>
          <w:rFonts w:ascii="Arial"/>
          <w:color w:val="75593F"/>
          <w:spacing w:val="-20"/>
          <w:w w:val="90"/>
          <w:sz w:val="16"/>
        </w:rPr>
        <w:t>-</w:t>
      </w:r>
      <w:r>
        <w:rPr>
          <w:rFonts w:ascii="Arial"/>
          <w:color w:val="504648"/>
          <w:spacing w:val="-33"/>
          <w:w w:val="90"/>
          <w:sz w:val="16"/>
        </w:rPr>
        <w:t>1</w:t>
      </w:r>
      <w:r>
        <w:rPr>
          <w:rFonts w:ascii="Arial"/>
          <w:color w:val="75593F"/>
          <w:w w:val="90"/>
          <w:sz w:val="16"/>
        </w:rPr>
        <w:t>9</w:t>
      </w:r>
      <w:r>
        <w:rPr>
          <w:rFonts w:ascii="Arial"/>
          <w:sz w:val="16"/>
        </w:rPr>
      </w:r>
    </w:p>
    <w:p>
      <w:pPr>
        <w:spacing w:after="0"/>
        <w:jc w:val="right"/>
        <w:rPr>
          <w:rFonts w:ascii="Arial" w:hAnsi="Arial" w:cs="Arial" w:eastAsia="Arial"/>
          <w:sz w:val="16"/>
          <w:szCs w:val="16"/>
        </w:rPr>
        <w:sectPr>
          <w:footerReference w:type="default" r:id="rId78"/>
          <w:footerReference w:type="even" r:id="rId79"/>
          <w:pgSz w:w="9980" w:h="14180"/>
          <w:pgMar w:footer="475" w:header="0" w:top="360" w:bottom="660" w:left="1000" w:right="720"/>
        </w:sectPr>
      </w:pPr>
    </w:p>
    <w:p>
      <w:pPr>
        <w:spacing w:line="283" w:lineRule="exact" w:before="42"/>
        <w:ind w:left="110" w:right="0" w:firstLine="0"/>
        <w:jc w:val="left"/>
        <w:rPr>
          <w:rFonts w:ascii="Swis721 BT" w:hAnsi="Swis721 BT" w:cs="Swis721 BT" w:eastAsia="Swis721 BT"/>
          <w:sz w:val="24"/>
          <w:szCs w:val="24"/>
        </w:rPr>
      </w:pPr>
      <w:bookmarkStart w:name="DIRECTORS’ DECLARATION" w:id="19"/>
      <w:bookmarkEnd w:id="19"/>
      <w:r>
        <w:rPr/>
      </w:r>
      <w:r>
        <w:rPr>
          <w:rFonts w:ascii="Swis721 BT" w:hAnsi="Swis721 BT" w:cs="Swis721 BT" w:eastAsia="Swis721 BT"/>
          <w:b/>
          <w:bCs/>
          <w:color w:val="005E63"/>
          <w:sz w:val="24"/>
          <w:szCs w:val="24"/>
        </w:rPr>
        <w:t>DIRECTORS’ </w:t>
      </w:r>
      <w:r>
        <w:rPr>
          <w:rFonts w:ascii="Swis721 BT" w:hAnsi="Swis721 BT" w:cs="Swis721 BT" w:eastAsia="Swis721 BT"/>
          <w:b/>
          <w:bCs/>
          <w:color w:val="005E63"/>
          <w:spacing w:val="-1"/>
          <w:sz w:val="24"/>
          <w:szCs w:val="24"/>
        </w:rPr>
        <w:t>DECLARATION</w:t>
      </w:r>
      <w:r>
        <w:rPr>
          <w:rFonts w:ascii="Swis721 BT" w:hAnsi="Swis721 BT" w:cs="Swis721 BT" w:eastAsia="Swis721 BT"/>
          <w:sz w:val="24"/>
          <w:szCs w:val="24"/>
        </w:rPr>
      </w:r>
    </w:p>
    <w:p>
      <w:pPr>
        <w:pStyle w:val="Heading8"/>
        <w:spacing w:line="260" w:lineRule="exact" w:before="0"/>
        <w:ind w:right="0"/>
        <w:jc w:val="left"/>
      </w:pPr>
      <w:r>
        <w:rPr>
          <w:color w:val="00757A"/>
          <w:spacing w:val="-2"/>
        </w:rPr>
        <w:t>For</w:t>
      </w:r>
      <w:r>
        <w:rPr>
          <w:color w:val="00757A"/>
        </w:rPr>
        <w:t> the year ended 30 June 2019</w:t>
      </w:r>
      <w:r>
        <w:rPr/>
      </w:r>
    </w:p>
    <w:p>
      <w:pPr>
        <w:spacing w:line="240" w:lineRule="auto" w:before="0"/>
        <w:rPr>
          <w:rFonts w:ascii="Swis721 Md BT" w:hAnsi="Swis721 Md BT" w:cs="Swis721 Md BT" w:eastAsia="Swis721 Md BT"/>
          <w:sz w:val="22"/>
          <w:szCs w:val="22"/>
        </w:rPr>
      </w:pPr>
    </w:p>
    <w:p>
      <w:pPr>
        <w:spacing w:line="240" w:lineRule="auto" w:before="0"/>
        <w:rPr>
          <w:rFonts w:ascii="Swis721 Md BT" w:hAnsi="Swis721 Md BT" w:cs="Swis721 Md BT" w:eastAsia="Swis721 Md BT"/>
          <w:sz w:val="22"/>
          <w:szCs w:val="22"/>
        </w:rPr>
      </w:pPr>
    </w:p>
    <w:p>
      <w:pPr>
        <w:spacing w:line="240" w:lineRule="auto" w:before="5"/>
        <w:rPr>
          <w:rFonts w:ascii="Swis721 Md BT" w:hAnsi="Swis721 Md BT" w:cs="Swis721 Md BT" w:eastAsia="Swis721 Md BT"/>
          <w:sz w:val="24"/>
          <w:szCs w:val="24"/>
        </w:rPr>
      </w:pPr>
    </w:p>
    <w:p>
      <w:pPr>
        <w:pStyle w:val="BodyText"/>
        <w:spacing w:line="240" w:lineRule="auto" w:before="0"/>
        <w:ind w:right="0"/>
        <w:jc w:val="left"/>
      </w:pPr>
      <w:r>
        <w:rPr>
          <w:color w:val="231F20"/>
        </w:rPr>
        <w:t>The Directors of the Australian Institute for </w:t>
      </w:r>
      <w:r>
        <w:rPr>
          <w:color w:val="231F20"/>
          <w:spacing w:val="-26"/>
        </w:rPr>
        <w:t>T</w:t>
      </w:r>
      <w:r>
        <w:rPr>
          <w:color w:val="231F20"/>
        </w:rPr>
        <w:t>eaching and School Leadership Limited declare that:</w:t>
      </w:r>
      <w:r>
        <w:rPr/>
      </w:r>
    </w:p>
    <w:p>
      <w:pPr>
        <w:spacing w:line="240" w:lineRule="auto" w:before="11"/>
        <w:rPr>
          <w:rFonts w:ascii="Swis721 Lt BT" w:hAnsi="Swis721 Lt BT" w:cs="Swis721 Lt BT" w:eastAsia="Swis721 Lt BT"/>
          <w:sz w:val="18"/>
          <w:szCs w:val="18"/>
        </w:rPr>
      </w:pPr>
    </w:p>
    <w:p>
      <w:pPr>
        <w:numPr>
          <w:ilvl w:val="0"/>
          <w:numId w:val="1"/>
        </w:numPr>
        <w:tabs>
          <w:tab w:pos="394" w:val="left" w:leader="none"/>
        </w:tabs>
        <w:spacing w:before="0"/>
        <w:ind w:left="393" w:right="354" w:hanging="283"/>
        <w:jc w:val="left"/>
        <w:rPr>
          <w:rFonts w:ascii="Swis721 Lt BT" w:hAnsi="Swis721 Lt BT" w:cs="Swis721 Lt BT" w:eastAsia="Swis721 Lt BT"/>
          <w:sz w:val="19"/>
          <w:szCs w:val="19"/>
        </w:rPr>
      </w:pPr>
      <w:r>
        <w:rPr>
          <w:rFonts w:ascii="Swis721 Lt BT"/>
          <w:color w:val="231F20"/>
          <w:sz w:val="19"/>
        </w:rPr>
        <w:t>The</w:t>
      </w:r>
      <w:r>
        <w:rPr>
          <w:rFonts w:ascii="Swis721 Lt BT"/>
          <w:color w:val="231F20"/>
          <w:spacing w:val="-1"/>
          <w:sz w:val="19"/>
        </w:rPr>
        <w:t> </w:t>
      </w:r>
      <w:r>
        <w:rPr>
          <w:rFonts w:ascii="Swis721 Lt BT"/>
          <w:color w:val="231F20"/>
          <w:sz w:val="19"/>
        </w:rPr>
        <w:t>financial</w:t>
      </w:r>
      <w:r>
        <w:rPr>
          <w:rFonts w:ascii="Swis721 Lt BT"/>
          <w:color w:val="231F20"/>
          <w:spacing w:val="-1"/>
          <w:sz w:val="19"/>
        </w:rPr>
        <w:t> </w:t>
      </w:r>
      <w:r>
        <w:rPr>
          <w:rFonts w:ascii="Swis721 Lt BT"/>
          <w:color w:val="231F20"/>
          <w:sz w:val="19"/>
        </w:rPr>
        <w:t>statements and</w:t>
      </w:r>
      <w:r>
        <w:rPr>
          <w:rFonts w:ascii="Swis721 Lt BT"/>
          <w:color w:val="231F20"/>
          <w:spacing w:val="-1"/>
          <w:sz w:val="19"/>
        </w:rPr>
        <w:t> </w:t>
      </w:r>
      <w:r>
        <w:rPr>
          <w:rFonts w:ascii="Swis721 Lt BT"/>
          <w:color w:val="231F20"/>
          <w:sz w:val="19"/>
        </w:rPr>
        <w:t>accompanying</w:t>
      </w:r>
      <w:r>
        <w:rPr>
          <w:rFonts w:ascii="Swis721 Lt BT"/>
          <w:color w:val="231F20"/>
          <w:spacing w:val="-1"/>
          <w:sz w:val="19"/>
        </w:rPr>
        <w:t> </w:t>
      </w:r>
      <w:r>
        <w:rPr>
          <w:rFonts w:ascii="Swis721 Lt BT"/>
          <w:color w:val="231F20"/>
          <w:sz w:val="19"/>
        </w:rPr>
        <w:t>notes are</w:t>
      </w:r>
      <w:r>
        <w:rPr>
          <w:rFonts w:ascii="Swis721 Lt BT"/>
          <w:color w:val="231F20"/>
          <w:spacing w:val="-1"/>
          <w:sz w:val="19"/>
        </w:rPr>
        <w:t> </w:t>
      </w:r>
      <w:r>
        <w:rPr>
          <w:rFonts w:ascii="Swis721 Lt BT"/>
          <w:color w:val="231F20"/>
          <w:sz w:val="19"/>
        </w:rPr>
        <w:t>in accordance</w:t>
      </w:r>
      <w:r>
        <w:rPr>
          <w:rFonts w:ascii="Swis721 Lt BT"/>
          <w:color w:val="231F20"/>
          <w:spacing w:val="-1"/>
          <w:sz w:val="19"/>
        </w:rPr>
        <w:t> </w:t>
      </w:r>
      <w:r>
        <w:rPr>
          <w:rFonts w:ascii="Swis721 Lt BT"/>
          <w:color w:val="231F20"/>
          <w:sz w:val="19"/>
        </w:rPr>
        <w:t>with</w:t>
      </w:r>
      <w:r>
        <w:rPr>
          <w:rFonts w:ascii="Swis721 Lt BT"/>
          <w:color w:val="231F20"/>
          <w:spacing w:val="-1"/>
          <w:sz w:val="19"/>
        </w:rPr>
        <w:t> </w:t>
      </w:r>
      <w:r>
        <w:rPr>
          <w:rFonts w:ascii="Swis721 Lt BT"/>
          <w:color w:val="231F20"/>
          <w:sz w:val="19"/>
        </w:rPr>
        <w:t>the </w:t>
      </w:r>
      <w:r>
        <w:rPr>
          <w:rFonts w:ascii="Swis721 Lt BT"/>
          <w:i/>
          <w:color w:val="231F20"/>
          <w:sz w:val="19"/>
        </w:rPr>
        <w:t>Australian</w:t>
      </w:r>
      <w:r>
        <w:rPr>
          <w:rFonts w:ascii="Swis721 Lt BT"/>
          <w:i/>
          <w:color w:val="231F20"/>
          <w:sz w:val="19"/>
        </w:rPr>
        <w:t> Charities and </w:t>
      </w:r>
      <w:r>
        <w:rPr>
          <w:rFonts w:ascii="Swis721 Lt BT"/>
          <w:i/>
          <w:color w:val="231F20"/>
          <w:spacing w:val="-1"/>
          <w:sz w:val="19"/>
        </w:rPr>
        <w:t>Not-for-profits</w:t>
      </w:r>
      <w:r>
        <w:rPr>
          <w:rFonts w:ascii="Swis721 Lt BT"/>
          <w:i/>
          <w:color w:val="231F20"/>
          <w:sz w:val="19"/>
        </w:rPr>
        <w:t> Commission Act 2012 </w:t>
      </w:r>
      <w:r>
        <w:rPr>
          <w:rFonts w:ascii="Swis721 Lt BT"/>
          <w:color w:val="231F20"/>
          <w:sz w:val="19"/>
        </w:rPr>
        <w:t>and the </w:t>
      </w:r>
      <w:r>
        <w:rPr>
          <w:rFonts w:ascii="Swis721 Lt BT"/>
          <w:i/>
          <w:color w:val="231F20"/>
          <w:sz w:val="19"/>
        </w:rPr>
        <w:t>Corporations Act 2001 </w:t>
      </w:r>
      <w:r>
        <w:rPr>
          <w:rFonts w:ascii="Swis721 Lt BT"/>
          <w:color w:val="231F20"/>
          <w:sz w:val="19"/>
        </w:rPr>
        <w:t>including:</w:t>
      </w:r>
      <w:r>
        <w:rPr>
          <w:rFonts w:ascii="Swis721 Lt BT"/>
          <w:sz w:val="19"/>
        </w:rPr>
      </w:r>
    </w:p>
    <w:p>
      <w:pPr>
        <w:spacing w:line="240" w:lineRule="auto" w:before="11"/>
        <w:rPr>
          <w:rFonts w:ascii="Swis721 Lt BT" w:hAnsi="Swis721 Lt BT" w:cs="Swis721 Lt BT" w:eastAsia="Swis721 Lt BT"/>
          <w:sz w:val="18"/>
          <w:szCs w:val="18"/>
        </w:rPr>
      </w:pPr>
    </w:p>
    <w:p>
      <w:pPr>
        <w:pStyle w:val="BodyText"/>
        <w:numPr>
          <w:ilvl w:val="1"/>
          <w:numId w:val="1"/>
        </w:numPr>
        <w:tabs>
          <w:tab w:pos="678" w:val="left" w:leader="none"/>
        </w:tabs>
        <w:spacing w:line="240" w:lineRule="auto" w:before="0" w:after="0"/>
        <w:ind w:left="677" w:right="525" w:hanging="284"/>
        <w:jc w:val="left"/>
      </w:pPr>
      <w:r>
        <w:rPr>
          <w:color w:val="231F20"/>
        </w:rPr>
        <w:t>Giving</w:t>
      </w:r>
      <w:r>
        <w:rPr>
          <w:color w:val="231F20"/>
          <w:spacing w:val="-1"/>
        </w:rPr>
        <w:t> </w:t>
      </w:r>
      <w:r>
        <w:rPr>
          <w:color w:val="231F20"/>
        </w:rPr>
        <w:t>a true</w:t>
      </w:r>
      <w:r>
        <w:rPr>
          <w:color w:val="231F20"/>
          <w:spacing w:val="-1"/>
        </w:rPr>
        <w:t> </w:t>
      </w:r>
      <w:r>
        <w:rPr>
          <w:color w:val="231F20"/>
        </w:rPr>
        <w:t>and fair</w:t>
      </w:r>
      <w:r>
        <w:rPr>
          <w:color w:val="231F20"/>
          <w:spacing w:val="-1"/>
        </w:rPr>
        <w:t> </w:t>
      </w:r>
      <w:r>
        <w:rPr>
          <w:color w:val="231F20"/>
        </w:rPr>
        <w:t>view of the</w:t>
      </w:r>
      <w:r>
        <w:rPr>
          <w:color w:val="231F20"/>
          <w:spacing w:val="-1"/>
        </w:rPr>
        <w:t> </w:t>
      </w:r>
      <w:r>
        <w:rPr>
          <w:color w:val="231F20"/>
        </w:rPr>
        <w:t>company’s financial</w:t>
      </w:r>
      <w:r>
        <w:rPr>
          <w:color w:val="231F20"/>
          <w:spacing w:val="-1"/>
        </w:rPr>
        <w:t> </w:t>
      </w:r>
      <w:r>
        <w:rPr>
          <w:color w:val="231F20"/>
        </w:rPr>
        <w:t>position as</w:t>
      </w:r>
      <w:r>
        <w:rPr>
          <w:color w:val="231F20"/>
          <w:spacing w:val="-1"/>
        </w:rPr>
        <w:t> </w:t>
      </w:r>
      <w:r>
        <w:rPr>
          <w:color w:val="231F20"/>
        </w:rPr>
        <w:t>at 30 June</w:t>
      </w:r>
      <w:r>
        <w:rPr>
          <w:color w:val="231F20"/>
          <w:spacing w:val="-1"/>
        </w:rPr>
        <w:t> </w:t>
      </w:r>
      <w:r>
        <w:rPr>
          <w:color w:val="231F20"/>
        </w:rPr>
        <w:t>2019 and</w:t>
      </w:r>
      <w:r>
        <w:rPr>
          <w:color w:val="231F20"/>
        </w:rPr>
        <w:t> of its performance for the year ended on that date.</w:t>
      </w:r>
      <w:r>
        <w:rPr/>
      </w:r>
    </w:p>
    <w:p>
      <w:pPr>
        <w:spacing w:line="240" w:lineRule="auto" w:before="11"/>
        <w:rPr>
          <w:rFonts w:ascii="Swis721 Lt BT" w:hAnsi="Swis721 Lt BT" w:cs="Swis721 Lt BT" w:eastAsia="Swis721 Lt BT"/>
          <w:sz w:val="18"/>
          <w:szCs w:val="18"/>
        </w:rPr>
      </w:pPr>
    </w:p>
    <w:p>
      <w:pPr>
        <w:numPr>
          <w:ilvl w:val="1"/>
          <w:numId w:val="1"/>
        </w:numPr>
        <w:tabs>
          <w:tab w:pos="678" w:val="left" w:leader="none"/>
        </w:tabs>
        <w:spacing w:before="0"/>
        <w:ind w:left="677" w:right="216" w:hanging="284"/>
        <w:jc w:val="left"/>
        <w:rPr>
          <w:rFonts w:ascii="Swis721 Lt BT" w:hAnsi="Swis721 Lt BT" w:cs="Swis721 Lt BT" w:eastAsia="Swis721 Lt BT"/>
          <w:sz w:val="19"/>
          <w:szCs w:val="19"/>
        </w:rPr>
      </w:pPr>
      <w:r>
        <w:rPr>
          <w:rFonts w:ascii="Swis721 Lt BT"/>
          <w:color w:val="231F20"/>
          <w:sz w:val="19"/>
        </w:rPr>
        <w:t>Complying with the Australian Accounting Standards - Reduced Disclosure Requirements (including the Australian Accounting Interpretations), the </w:t>
      </w:r>
      <w:r>
        <w:rPr>
          <w:rFonts w:ascii="Swis721 Lt BT"/>
          <w:i/>
          <w:color w:val="231F20"/>
          <w:sz w:val="19"/>
        </w:rPr>
        <w:t>Corporations Regulations 2001</w:t>
      </w:r>
      <w:r>
        <w:rPr>
          <w:rFonts w:ascii="Swis721 Lt BT"/>
          <w:i/>
          <w:color w:val="231F20"/>
          <w:sz w:val="19"/>
        </w:rPr>
        <w:t> </w:t>
      </w:r>
      <w:r>
        <w:rPr>
          <w:rFonts w:ascii="Swis721 Lt BT"/>
          <w:color w:val="231F20"/>
          <w:sz w:val="19"/>
        </w:rPr>
        <w:t>and the </w:t>
      </w:r>
      <w:r>
        <w:rPr>
          <w:rFonts w:ascii="Swis721 Lt BT"/>
          <w:i/>
          <w:color w:val="231F20"/>
          <w:sz w:val="19"/>
        </w:rPr>
        <w:t>Australian Charities and </w:t>
      </w:r>
      <w:r>
        <w:rPr>
          <w:rFonts w:ascii="Swis721 Lt BT"/>
          <w:i/>
          <w:color w:val="231F20"/>
          <w:spacing w:val="-1"/>
          <w:sz w:val="19"/>
        </w:rPr>
        <w:t>Not-for-profits</w:t>
      </w:r>
      <w:r>
        <w:rPr>
          <w:rFonts w:ascii="Swis721 Lt BT"/>
          <w:i/>
          <w:color w:val="231F20"/>
          <w:sz w:val="19"/>
        </w:rPr>
        <w:t> Commission Regulation 2013</w:t>
      </w:r>
      <w:r>
        <w:rPr>
          <w:rFonts w:ascii="Swis721 Lt BT"/>
          <w:color w:val="231F20"/>
          <w:sz w:val="19"/>
        </w:rPr>
        <w:t>; and</w:t>
      </w:r>
      <w:r>
        <w:rPr>
          <w:rFonts w:ascii="Swis721 Lt BT"/>
          <w:sz w:val="19"/>
        </w:rPr>
      </w:r>
    </w:p>
    <w:p>
      <w:pPr>
        <w:spacing w:line="240" w:lineRule="auto" w:before="11"/>
        <w:rPr>
          <w:rFonts w:ascii="Swis721 Lt BT" w:hAnsi="Swis721 Lt BT" w:cs="Swis721 Lt BT" w:eastAsia="Swis721 Lt BT"/>
          <w:sz w:val="18"/>
          <w:szCs w:val="18"/>
        </w:rPr>
      </w:pPr>
    </w:p>
    <w:p>
      <w:pPr>
        <w:pStyle w:val="BodyText"/>
        <w:numPr>
          <w:ilvl w:val="0"/>
          <w:numId w:val="1"/>
        </w:numPr>
        <w:tabs>
          <w:tab w:pos="394" w:val="left" w:leader="none"/>
        </w:tabs>
        <w:spacing w:line="240" w:lineRule="auto" w:before="0" w:after="0"/>
        <w:ind w:left="393" w:right="109" w:hanging="283"/>
        <w:jc w:val="left"/>
      </w:pPr>
      <w:r>
        <w:rPr>
          <w:color w:val="231F20"/>
        </w:rPr>
        <w:t>There are reasonable grounds to believe that the company will be able to pay its debts as and when they become due and payable.</w:t>
      </w:r>
      <w:r>
        <w:rPr/>
      </w:r>
    </w:p>
    <w:p>
      <w:pPr>
        <w:spacing w:line="240" w:lineRule="auto" w:before="11"/>
        <w:rPr>
          <w:rFonts w:ascii="Swis721 Lt BT" w:hAnsi="Swis721 Lt BT" w:cs="Swis721 Lt BT" w:eastAsia="Swis721 Lt BT"/>
          <w:sz w:val="18"/>
          <w:szCs w:val="18"/>
        </w:rPr>
      </w:pPr>
    </w:p>
    <w:p>
      <w:pPr>
        <w:pStyle w:val="BodyText"/>
        <w:spacing w:line="240" w:lineRule="auto" w:before="0"/>
        <w:ind w:right="0"/>
        <w:jc w:val="left"/>
      </w:pPr>
      <w:r>
        <w:rPr>
          <w:color w:val="231F20"/>
        </w:rPr>
        <w:t>This declaration is made on 8 October 2019 in accordance with a resolution of the Directors.</w:t>
      </w:r>
      <w:r>
        <w:rPr/>
      </w: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0"/>
        <w:rPr>
          <w:rFonts w:ascii="Swis721 Lt BT" w:hAnsi="Swis721 Lt BT" w:cs="Swis721 Lt BT" w:eastAsia="Swis721 Lt BT"/>
          <w:sz w:val="20"/>
          <w:szCs w:val="20"/>
        </w:rPr>
      </w:pPr>
    </w:p>
    <w:p>
      <w:pPr>
        <w:spacing w:line="240" w:lineRule="auto" w:before="11"/>
        <w:rPr>
          <w:rFonts w:ascii="Swis721 Lt BT" w:hAnsi="Swis721 Lt BT" w:cs="Swis721 Lt BT" w:eastAsia="Swis721 Lt BT"/>
          <w:sz w:val="22"/>
          <w:szCs w:val="22"/>
        </w:rPr>
      </w:pPr>
    </w:p>
    <w:p>
      <w:pPr>
        <w:tabs>
          <w:tab w:pos="4107" w:val="left" w:leader="none"/>
        </w:tabs>
        <w:spacing w:line="200" w:lineRule="atLeast"/>
        <w:ind w:left="216" w:right="0" w:firstLine="0"/>
        <w:rPr>
          <w:rFonts w:ascii="Swis721 Lt BT" w:hAnsi="Swis721 Lt BT" w:cs="Swis721 Lt BT" w:eastAsia="Swis721 Lt BT"/>
          <w:sz w:val="20"/>
          <w:szCs w:val="20"/>
        </w:rPr>
      </w:pPr>
      <w:r>
        <w:rPr>
          <w:rFonts w:ascii="Swis721 Lt BT"/>
          <w:sz w:val="20"/>
        </w:rPr>
        <w:drawing>
          <wp:inline distT="0" distB="0" distL="0" distR="0">
            <wp:extent cx="1312269" cy="700087"/>
            <wp:effectExtent l="0" t="0" r="0" b="0"/>
            <wp:docPr id="5" name="image52.png" descr=""/>
            <wp:cNvGraphicFramePr>
              <a:graphicFrameLocks noChangeAspect="1"/>
            </wp:cNvGraphicFramePr>
            <a:graphic>
              <a:graphicData uri="http://schemas.openxmlformats.org/drawingml/2006/picture">
                <pic:pic>
                  <pic:nvPicPr>
                    <pic:cNvPr id="6" name="image52.png"/>
                    <pic:cNvPicPr/>
                  </pic:nvPicPr>
                  <pic:blipFill>
                    <a:blip r:embed="rId81" cstate="print"/>
                    <a:stretch>
                      <a:fillRect/>
                    </a:stretch>
                  </pic:blipFill>
                  <pic:spPr>
                    <a:xfrm>
                      <a:off x="0" y="0"/>
                      <a:ext cx="1312269" cy="700087"/>
                    </a:xfrm>
                    <a:prstGeom prst="rect">
                      <a:avLst/>
                    </a:prstGeom>
                  </pic:spPr>
                </pic:pic>
              </a:graphicData>
            </a:graphic>
          </wp:inline>
        </w:drawing>
      </w:r>
      <w:r>
        <w:rPr>
          <w:rFonts w:ascii="Swis721 Lt BT"/>
          <w:sz w:val="20"/>
        </w:rPr>
      </w:r>
      <w:r>
        <w:rPr>
          <w:rFonts w:ascii="Swis721 Lt BT"/>
          <w:sz w:val="20"/>
        </w:rPr>
        <w:tab/>
      </w:r>
      <w:r>
        <w:rPr>
          <w:rFonts w:ascii="Swis721 Lt BT"/>
          <w:position w:val="9"/>
          <w:sz w:val="20"/>
        </w:rPr>
        <w:drawing>
          <wp:inline distT="0" distB="0" distL="0" distR="0">
            <wp:extent cx="1547554" cy="651510"/>
            <wp:effectExtent l="0" t="0" r="0" b="0"/>
            <wp:docPr id="7" name="image53.png" descr=""/>
            <wp:cNvGraphicFramePr>
              <a:graphicFrameLocks noChangeAspect="1"/>
            </wp:cNvGraphicFramePr>
            <a:graphic>
              <a:graphicData uri="http://schemas.openxmlformats.org/drawingml/2006/picture">
                <pic:pic>
                  <pic:nvPicPr>
                    <pic:cNvPr id="8" name="image53.png"/>
                    <pic:cNvPicPr/>
                  </pic:nvPicPr>
                  <pic:blipFill>
                    <a:blip r:embed="rId82" cstate="print"/>
                    <a:stretch>
                      <a:fillRect/>
                    </a:stretch>
                  </pic:blipFill>
                  <pic:spPr>
                    <a:xfrm>
                      <a:off x="0" y="0"/>
                      <a:ext cx="1547554" cy="651510"/>
                    </a:xfrm>
                    <a:prstGeom prst="rect">
                      <a:avLst/>
                    </a:prstGeom>
                  </pic:spPr>
                </pic:pic>
              </a:graphicData>
            </a:graphic>
          </wp:inline>
        </w:drawing>
      </w:r>
      <w:r>
        <w:rPr>
          <w:rFonts w:ascii="Swis721 Lt BT"/>
          <w:position w:val="9"/>
          <w:sz w:val="20"/>
        </w:rPr>
      </w:r>
    </w:p>
    <w:p>
      <w:pPr>
        <w:spacing w:line="240" w:lineRule="auto" w:before="9"/>
        <w:rPr>
          <w:rFonts w:ascii="Swis721 Lt BT" w:hAnsi="Swis721 Lt BT" w:cs="Swis721 Lt BT" w:eastAsia="Swis721 Lt BT"/>
          <w:sz w:val="13"/>
          <w:szCs w:val="13"/>
        </w:rPr>
      </w:pPr>
    </w:p>
    <w:p>
      <w:pPr>
        <w:tabs>
          <w:tab w:pos="4277" w:val="left" w:leader="none"/>
        </w:tabs>
        <w:spacing w:line="20" w:lineRule="atLeast"/>
        <w:ind w:left="100" w:right="0" w:firstLine="0"/>
        <w:rPr>
          <w:rFonts w:ascii="Swis721 Lt BT" w:hAnsi="Swis721 Lt BT" w:cs="Swis721 Lt BT" w:eastAsia="Swis721 Lt BT"/>
          <w:sz w:val="2"/>
          <w:szCs w:val="2"/>
        </w:rPr>
      </w:pPr>
      <w:r>
        <w:rPr>
          <w:rFonts w:ascii="Swis721 Lt BT"/>
          <w:sz w:val="2"/>
        </w:rPr>
        <w:pict>
          <v:group style="width:157.5pt;height:1pt;mso-position-horizontal-relative:char;mso-position-vertical-relative:line" coordorigin="0,0" coordsize="3150,20">
            <v:group style="position:absolute;left:50;top:10;width:3070;height:2" coordorigin="50,10" coordsize="3070,2">
              <v:shape style="position:absolute;left:50;top:10;width:3070;height:2" coordorigin="50,10" coordsize="3070,0" path="m50,10l3119,10e" filled="false" stroked="true" strokeweight="1pt" strokecolor="#00757a">
                <v:path arrowok="t"/>
                <v:stroke dashstyle="dash"/>
              </v:shape>
            </v:group>
            <v:group style="position:absolute;left:10;top:10;width:2;height:2" coordorigin="10,10" coordsize="2,2">
              <v:shape style="position:absolute;left:10;top:10;width:2;height:2" coordorigin="10,10" coordsize="0,0" path="m10,10l10,10e" filled="false" stroked="true" strokeweight="1pt" strokecolor="#00757a">
                <v:path arrowok="t"/>
              </v:shape>
            </v:group>
            <v:group style="position:absolute;left:3139;top:10;width:2;height:2" coordorigin="3139,10" coordsize="2,2">
              <v:shape style="position:absolute;left:3139;top:10;width:2;height:2" coordorigin="3139,10" coordsize="0,0" path="m3139,10l3139,10e" filled="false" stroked="true" strokeweight="1pt" strokecolor="#00757a">
                <v:path arrowok="t"/>
              </v:shape>
            </v:group>
          </v:group>
        </w:pict>
      </w:r>
      <w:r>
        <w:rPr>
          <w:rFonts w:ascii="Swis721 Lt BT"/>
          <w:sz w:val="2"/>
        </w:rPr>
      </w:r>
      <w:r>
        <w:rPr>
          <w:rFonts w:ascii="Swis721 Lt BT"/>
          <w:sz w:val="2"/>
        </w:rPr>
        <w:tab/>
      </w:r>
      <w:r>
        <w:rPr>
          <w:rFonts w:ascii="Swis721 Lt BT"/>
          <w:sz w:val="2"/>
        </w:rPr>
        <w:pict>
          <v:group style="width:157.5pt;height:1pt;mso-position-horizontal-relative:char;mso-position-vertical-relative:line" coordorigin="0,0" coordsize="3150,20">
            <v:group style="position:absolute;left:50;top:10;width:3070;height:2" coordorigin="50,10" coordsize="3070,2">
              <v:shape style="position:absolute;left:50;top:10;width:3070;height:2" coordorigin="50,10" coordsize="3070,0" path="m50,10l3119,10e" filled="false" stroked="true" strokeweight="1pt" strokecolor="#00757a">
                <v:path arrowok="t"/>
                <v:stroke dashstyle="dash"/>
              </v:shape>
            </v:group>
            <v:group style="position:absolute;left:10;top:10;width:2;height:2" coordorigin="10,10" coordsize="2,2">
              <v:shape style="position:absolute;left:10;top:10;width:2;height:2" coordorigin="10,10" coordsize="0,0" path="m10,10l10,10e" filled="false" stroked="true" strokeweight="1pt" strokecolor="#00757a">
                <v:path arrowok="t"/>
              </v:shape>
            </v:group>
            <v:group style="position:absolute;left:3139;top:10;width:2;height:2" coordorigin="3139,10" coordsize="2,2">
              <v:shape style="position:absolute;left:3139;top:10;width:2;height:2" coordorigin="3139,10" coordsize="0,0" path="m3139,10l3139,10e" filled="false" stroked="true" strokeweight="1pt" strokecolor="#00757a">
                <v:path arrowok="t"/>
              </v:shape>
            </v:group>
          </v:group>
        </w:pict>
      </w:r>
      <w:r>
        <w:rPr>
          <w:rFonts w:ascii="Swis721 Lt BT"/>
          <w:sz w:val="2"/>
        </w:rPr>
      </w:r>
    </w:p>
    <w:p>
      <w:pPr>
        <w:spacing w:after="0" w:line="20" w:lineRule="atLeast"/>
        <w:rPr>
          <w:rFonts w:ascii="Swis721 Lt BT" w:hAnsi="Swis721 Lt BT" w:cs="Swis721 Lt BT" w:eastAsia="Swis721 Lt BT"/>
          <w:sz w:val="2"/>
          <w:szCs w:val="2"/>
        </w:rPr>
        <w:sectPr>
          <w:pgSz w:w="9980" w:h="14180"/>
          <w:pgMar w:header="0" w:footer="452" w:top="1040" w:bottom="640" w:left="740" w:right="1060"/>
        </w:sectPr>
      </w:pPr>
    </w:p>
    <w:p>
      <w:pPr>
        <w:pStyle w:val="BodyText"/>
        <w:spacing w:line="240" w:lineRule="auto" w:before="72"/>
        <w:ind w:right="0"/>
        <w:jc w:val="left"/>
        <w:rPr>
          <w:rFonts w:ascii="Swis721 Md BT" w:hAnsi="Swis721 Md BT" w:cs="Swis721 Md BT" w:eastAsia="Swis721 Md BT"/>
        </w:rPr>
      </w:pPr>
      <w:r>
        <w:rPr>
          <w:rFonts w:ascii="Swis721 Md BT"/>
          <w:color w:val="231F20"/>
        </w:rPr>
        <w:t>Laureate Professor John Hattie Chair</w:t>
      </w:r>
      <w:r>
        <w:rPr>
          <w:rFonts w:ascii="Swis721 Md BT"/>
        </w:rPr>
      </w:r>
    </w:p>
    <w:p>
      <w:pPr>
        <w:pStyle w:val="BodyText"/>
        <w:spacing w:line="240" w:lineRule="auto" w:before="72"/>
        <w:ind w:left="280" w:right="2068"/>
        <w:jc w:val="left"/>
        <w:rPr>
          <w:rFonts w:ascii="Swis721 Md BT" w:hAnsi="Swis721 Md BT" w:cs="Swis721 Md BT" w:eastAsia="Swis721 Md BT"/>
        </w:rPr>
      </w:pPr>
      <w:r>
        <w:rPr/>
        <w:br w:type="column"/>
      </w:r>
      <w:r>
        <w:rPr>
          <w:rFonts w:ascii="Swis721 Md BT"/>
          <w:color w:val="231F20"/>
        </w:rPr>
        <w:t>Christopher </w:t>
      </w:r>
      <w:r>
        <w:rPr>
          <w:rFonts w:ascii="Swis721 Md BT"/>
          <w:color w:val="231F20"/>
          <w:spacing w:val="-1"/>
        </w:rPr>
        <w:t>Wardlaw</w:t>
      </w:r>
      <w:r>
        <w:rPr>
          <w:rFonts w:ascii="Swis721 Md BT"/>
          <w:color w:val="231F20"/>
          <w:spacing w:val="21"/>
        </w:rPr>
        <w:t> </w:t>
      </w:r>
      <w:r>
        <w:rPr>
          <w:rFonts w:ascii="Swis721 Md BT"/>
          <w:color w:val="231F20"/>
        </w:rPr>
        <w:t>Director</w:t>
      </w:r>
      <w:r>
        <w:rPr>
          <w:rFonts w:ascii="Swis721 Md BT"/>
        </w:rPr>
      </w:r>
    </w:p>
    <w:p>
      <w:pPr>
        <w:spacing w:after="0" w:line="240" w:lineRule="auto"/>
        <w:jc w:val="left"/>
        <w:rPr>
          <w:rFonts w:ascii="Swis721 Md BT" w:hAnsi="Swis721 Md BT" w:cs="Swis721 Md BT" w:eastAsia="Swis721 Md BT"/>
        </w:rPr>
        <w:sectPr>
          <w:type w:val="continuous"/>
          <w:pgSz w:w="9980" w:h="14180"/>
          <w:pgMar w:top="0" w:bottom="280" w:left="740" w:right="1060"/>
          <w:cols w:num="2" w:equalWidth="0">
            <w:col w:w="2813" w:space="1183"/>
            <w:col w:w="4184"/>
          </w:cols>
        </w:sectPr>
      </w:pPr>
    </w:p>
    <w:p>
      <w:pPr>
        <w:spacing w:before="58"/>
        <w:ind w:left="0" w:right="148" w:firstLine="0"/>
        <w:jc w:val="right"/>
        <w:rPr>
          <w:rFonts w:ascii="Swis721 Lt BT" w:hAnsi="Swis721 Lt BT" w:cs="Swis721 Lt BT" w:eastAsia="Swis721 Lt BT"/>
          <w:sz w:val="14"/>
          <w:szCs w:val="14"/>
        </w:rPr>
      </w:pPr>
      <w:bookmarkStart w:name="AUDITOR’S INDEPENDENCE DECLARATION" w:id="20"/>
      <w:bookmarkEnd w:id="20"/>
      <w:r>
        <w:rPr/>
      </w: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16"/>
          <w:szCs w:val="16"/>
        </w:rPr>
      </w:pPr>
    </w:p>
    <w:p>
      <w:pPr>
        <w:pStyle w:val="Heading5"/>
        <w:spacing w:line="240" w:lineRule="auto" w:before="61"/>
        <w:ind w:left="113" w:right="0"/>
        <w:jc w:val="left"/>
        <w:rPr>
          <w:b w:val="0"/>
          <w:bCs w:val="0"/>
        </w:rPr>
      </w:pPr>
      <w:r>
        <w:rPr>
          <w:color w:val="005E63"/>
          <w:spacing w:val="-1"/>
        </w:rPr>
        <w:t>AUDITOR’S</w:t>
      </w:r>
      <w:r>
        <w:rPr>
          <w:color w:val="005E63"/>
        </w:rPr>
        <w:t> INDEPENDENCE </w:t>
      </w:r>
      <w:r>
        <w:rPr>
          <w:color w:val="005E63"/>
          <w:spacing w:val="-1"/>
        </w:rPr>
        <w:t>DECLARATION</w:t>
      </w:r>
      <w:r>
        <w:rPr>
          <w:b w:val="0"/>
          <w:bCs w:val="0"/>
        </w:rPr>
      </w: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0"/>
        <w:rPr>
          <w:rFonts w:ascii="Swis721 BT" w:hAnsi="Swis721 BT" w:cs="Swis721 BT" w:eastAsia="Swis721 BT"/>
          <w:b/>
          <w:bCs/>
          <w:sz w:val="20"/>
          <w:szCs w:val="20"/>
        </w:rPr>
      </w:pPr>
    </w:p>
    <w:p>
      <w:pPr>
        <w:spacing w:line="240" w:lineRule="auto" w:before="2"/>
        <w:rPr>
          <w:rFonts w:ascii="Swis721 BT" w:hAnsi="Swis721 BT" w:cs="Swis721 BT" w:eastAsia="Swis721 BT"/>
          <w:b/>
          <w:bCs/>
          <w:sz w:val="28"/>
          <w:szCs w:val="28"/>
        </w:rPr>
      </w:pPr>
    </w:p>
    <w:p>
      <w:pPr>
        <w:spacing w:line="246" w:lineRule="auto" w:before="77"/>
        <w:ind w:left="1459" w:right="5054" w:firstLine="0"/>
        <w:jc w:val="left"/>
        <w:rPr>
          <w:rFonts w:ascii="Calibri" w:hAnsi="Calibri" w:cs="Calibri" w:eastAsia="Calibri"/>
          <w:sz w:val="13"/>
          <w:szCs w:val="13"/>
        </w:rPr>
      </w:pPr>
      <w:r>
        <w:rPr/>
        <w:pict>
          <v:group style="position:absolute;margin-left:56.693001pt;margin-top:-128.527847pt;width:402.1pt;height:562.3pt;mso-position-horizontal-relative:page;mso-position-vertical-relative:paragraph;z-index:-181456" coordorigin="1134,-2571" coordsize="8042,11246">
            <v:group style="position:absolute;left:1178;top:-2526;width:7997;height:11201" coordorigin="1178,-2526" coordsize="7997,11201">
              <v:shape style="position:absolute;left:1178;top:-2526;width:7997;height:11201" coordorigin="1178,-2526" coordsize="7997,11201" path="m1178,-2526l9175,-2526,9175,8674,1178,8674,1178,-2526xe" filled="true" fillcolor="#231f20" stroked="false">
                <v:path arrowok="t"/>
                <v:fill type="solid"/>
              </v:shape>
            </v:group>
            <v:group style="position:absolute;left:9119;top:-2571;width:9;height:11200" coordorigin="9119,-2571" coordsize="9,11200">
              <v:shape style="position:absolute;left:9119;top:-2571;width:9;height:11200" coordorigin="9119,-2571" coordsize="9,11200" path="m9119,8629l9128,8629,9128,-2571,9119,-2571,9119,8629xe" filled="true" fillcolor="#ffffff" stroked="false">
                <v:path arrowok="t"/>
                <v:fill type="solid"/>
              </v:shape>
            </v:group>
            <v:group style="position:absolute;left:1134;top:-2571;width:9;height:11200" coordorigin="1134,-2571" coordsize="9,11200">
              <v:shape style="position:absolute;left:1134;top:-2571;width:9;height:11200" coordorigin="1134,-2571" coordsize="9,11200" path="m1134,8629l1142,8629,1142,-2571,1134,-2571,1134,8629xe" filled="true" fillcolor="#ffffff" stroked="false">
                <v:path arrowok="t"/>
                <v:fill type="solid"/>
              </v:shape>
            </v:group>
            <v:group style="position:absolute;left:1142;top:-2571;width:7978;height:11200" coordorigin="1142,-2571" coordsize="7978,11200">
              <v:shape style="position:absolute;left:1142;top:-2571;width:7978;height:11200" coordorigin="1142,-2571" coordsize="7978,11200" path="m1142,-2571l9119,-2571,9119,8629,1142,8629,1142,-2571xe" filled="true" fillcolor="#ffffff" stroked="false">
                <v:path arrowok="t"/>
                <v:fill type="solid"/>
              </v:shape>
              <v:shape style="position:absolute;left:1142;top:-2571;width:7965;height:1968" type="#_x0000_t75" stroked="false">
                <v:imagedata r:id="rId84" o:title=""/>
              </v:shape>
              <v:shape style="position:absolute;left:2477;top:3754;width:1010;height:582" type="#_x0000_t75" stroked="false">
                <v:imagedata r:id="rId85" o:title=""/>
              </v:shape>
            </v:group>
            <w10:wrap type="none"/>
          </v:group>
        </w:pict>
      </w:r>
      <w:r>
        <w:rPr>
          <w:rFonts w:ascii="Calibri"/>
          <w:color w:val="231F20"/>
          <w:spacing w:val="-4"/>
          <w:w w:val="105"/>
          <w:sz w:val="13"/>
        </w:rPr>
        <w:t>Laureate</w:t>
      </w:r>
      <w:r>
        <w:rPr>
          <w:rFonts w:ascii="Calibri"/>
          <w:color w:val="231F20"/>
          <w:spacing w:val="-6"/>
          <w:w w:val="105"/>
          <w:sz w:val="13"/>
        </w:rPr>
        <w:t> </w:t>
      </w:r>
      <w:r>
        <w:rPr>
          <w:rFonts w:ascii="Calibri"/>
          <w:color w:val="231F20"/>
          <w:spacing w:val="-4"/>
          <w:w w:val="105"/>
          <w:sz w:val="13"/>
        </w:rPr>
        <w:t>Professor</w:t>
      </w:r>
      <w:r>
        <w:rPr>
          <w:rFonts w:ascii="Calibri"/>
          <w:color w:val="231F20"/>
          <w:spacing w:val="-7"/>
          <w:w w:val="105"/>
          <w:sz w:val="13"/>
        </w:rPr>
        <w:t> </w:t>
      </w:r>
      <w:r>
        <w:rPr>
          <w:rFonts w:ascii="Calibri"/>
          <w:color w:val="231F20"/>
          <w:spacing w:val="-4"/>
          <w:w w:val="105"/>
          <w:sz w:val="13"/>
        </w:rPr>
        <w:t>John</w:t>
      </w:r>
      <w:r>
        <w:rPr>
          <w:rFonts w:ascii="Calibri"/>
          <w:color w:val="231F20"/>
          <w:spacing w:val="-7"/>
          <w:w w:val="105"/>
          <w:sz w:val="13"/>
        </w:rPr>
        <w:t> </w:t>
      </w:r>
      <w:r>
        <w:rPr>
          <w:rFonts w:ascii="Calibri"/>
          <w:color w:val="231F20"/>
          <w:spacing w:val="-4"/>
          <w:w w:val="105"/>
          <w:sz w:val="13"/>
        </w:rPr>
        <w:t>Hattie</w:t>
      </w:r>
      <w:r>
        <w:rPr>
          <w:rFonts w:ascii="Calibri"/>
          <w:color w:val="231F20"/>
          <w:spacing w:val="28"/>
          <w:w w:val="103"/>
          <w:sz w:val="13"/>
        </w:rPr>
        <w:t> </w:t>
      </w:r>
      <w:r>
        <w:rPr>
          <w:rFonts w:ascii="Calibri"/>
          <w:color w:val="231F20"/>
          <w:spacing w:val="-1"/>
          <w:w w:val="105"/>
          <w:sz w:val="13"/>
        </w:rPr>
        <w:t>Chair</w:t>
      </w:r>
      <w:r>
        <w:rPr>
          <w:rFonts w:ascii="Calibri"/>
          <w:sz w:val="13"/>
        </w:rPr>
      </w:r>
    </w:p>
    <w:p>
      <w:pPr>
        <w:spacing w:line="246" w:lineRule="auto" w:before="0"/>
        <w:ind w:left="1459" w:right="3152" w:firstLine="0"/>
        <w:jc w:val="left"/>
        <w:rPr>
          <w:rFonts w:ascii="Calibri" w:hAnsi="Calibri" w:cs="Calibri" w:eastAsia="Calibri"/>
          <w:sz w:val="13"/>
          <w:szCs w:val="13"/>
        </w:rPr>
      </w:pPr>
      <w:r>
        <w:rPr>
          <w:rFonts w:ascii="Calibri"/>
          <w:color w:val="231F20"/>
          <w:w w:val="105"/>
          <w:sz w:val="13"/>
        </w:rPr>
        <w:t>Australian</w:t>
      </w:r>
      <w:r>
        <w:rPr>
          <w:rFonts w:ascii="Calibri"/>
          <w:color w:val="231F20"/>
          <w:spacing w:val="-11"/>
          <w:w w:val="105"/>
          <w:sz w:val="13"/>
        </w:rPr>
        <w:t> </w:t>
      </w:r>
      <w:r>
        <w:rPr>
          <w:rFonts w:ascii="Calibri"/>
          <w:color w:val="231F20"/>
          <w:spacing w:val="-1"/>
          <w:w w:val="105"/>
          <w:sz w:val="13"/>
        </w:rPr>
        <w:t>Institute</w:t>
      </w:r>
      <w:r>
        <w:rPr>
          <w:rFonts w:ascii="Calibri"/>
          <w:color w:val="231F20"/>
          <w:spacing w:val="-10"/>
          <w:w w:val="105"/>
          <w:sz w:val="13"/>
        </w:rPr>
        <w:t> </w:t>
      </w:r>
      <w:r>
        <w:rPr>
          <w:rFonts w:ascii="Calibri"/>
          <w:color w:val="231F20"/>
          <w:w w:val="105"/>
          <w:sz w:val="13"/>
        </w:rPr>
        <w:t>for</w:t>
      </w:r>
      <w:r>
        <w:rPr>
          <w:rFonts w:ascii="Calibri"/>
          <w:color w:val="231F20"/>
          <w:spacing w:val="-11"/>
          <w:w w:val="105"/>
          <w:sz w:val="13"/>
        </w:rPr>
        <w:t> </w:t>
      </w:r>
      <w:r>
        <w:rPr>
          <w:rFonts w:ascii="Calibri"/>
          <w:color w:val="231F20"/>
          <w:spacing w:val="-1"/>
          <w:w w:val="105"/>
          <w:sz w:val="13"/>
        </w:rPr>
        <w:t>Teaching</w:t>
      </w:r>
      <w:r>
        <w:rPr>
          <w:rFonts w:ascii="Calibri"/>
          <w:color w:val="231F20"/>
          <w:spacing w:val="-10"/>
          <w:w w:val="105"/>
          <w:sz w:val="13"/>
        </w:rPr>
        <w:t> </w:t>
      </w:r>
      <w:r>
        <w:rPr>
          <w:rFonts w:ascii="Calibri"/>
          <w:color w:val="231F20"/>
          <w:spacing w:val="-1"/>
          <w:w w:val="105"/>
          <w:sz w:val="13"/>
        </w:rPr>
        <w:t>and</w:t>
      </w:r>
      <w:r>
        <w:rPr>
          <w:rFonts w:ascii="Calibri"/>
          <w:color w:val="231F20"/>
          <w:spacing w:val="-11"/>
          <w:w w:val="105"/>
          <w:sz w:val="13"/>
        </w:rPr>
        <w:t> </w:t>
      </w:r>
      <w:r>
        <w:rPr>
          <w:rFonts w:ascii="Calibri"/>
          <w:color w:val="231F20"/>
          <w:spacing w:val="-1"/>
          <w:w w:val="105"/>
          <w:sz w:val="13"/>
        </w:rPr>
        <w:t>School</w:t>
      </w:r>
      <w:r>
        <w:rPr>
          <w:rFonts w:ascii="Calibri"/>
          <w:color w:val="231F20"/>
          <w:spacing w:val="-10"/>
          <w:w w:val="105"/>
          <w:sz w:val="13"/>
        </w:rPr>
        <w:t> </w:t>
      </w:r>
      <w:r>
        <w:rPr>
          <w:rFonts w:ascii="Calibri"/>
          <w:color w:val="231F20"/>
          <w:spacing w:val="-1"/>
          <w:w w:val="105"/>
          <w:sz w:val="13"/>
        </w:rPr>
        <w:t>Leadership</w:t>
      </w:r>
      <w:r>
        <w:rPr>
          <w:rFonts w:ascii="Calibri"/>
          <w:color w:val="231F20"/>
          <w:spacing w:val="-10"/>
          <w:w w:val="105"/>
          <w:sz w:val="13"/>
        </w:rPr>
        <w:t> </w:t>
      </w:r>
      <w:r>
        <w:rPr>
          <w:rFonts w:ascii="Calibri"/>
          <w:color w:val="231F20"/>
          <w:spacing w:val="-1"/>
          <w:w w:val="105"/>
          <w:sz w:val="13"/>
        </w:rPr>
        <w:t>Limited</w:t>
      </w:r>
      <w:r>
        <w:rPr>
          <w:rFonts w:ascii="Calibri"/>
          <w:color w:val="231F20"/>
          <w:spacing w:val="69"/>
          <w:w w:val="103"/>
          <w:sz w:val="13"/>
        </w:rPr>
        <w:t> </w:t>
      </w:r>
      <w:r>
        <w:rPr>
          <w:rFonts w:ascii="Calibri"/>
          <w:color w:val="231F20"/>
          <w:spacing w:val="-1"/>
          <w:w w:val="105"/>
          <w:sz w:val="13"/>
        </w:rPr>
        <w:t>Level</w:t>
      </w:r>
      <w:r>
        <w:rPr>
          <w:rFonts w:ascii="Calibri"/>
          <w:color w:val="231F20"/>
          <w:spacing w:val="-8"/>
          <w:w w:val="105"/>
          <w:sz w:val="13"/>
        </w:rPr>
        <w:t> </w:t>
      </w:r>
      <w:r>
        <w:rPr>
          <w:rFonts w:ascii="Calibri"/>
          <w:color w:val="231F20"/>
          <w:spacing w:val="-1"/>
          <w:w w:val="105"/>
          <w:sz w:val="13"/>
        </w:rPr>
        <w:t>8,</w:t>
      </w:r>
      <w:r>
        <w:rPr>
          <w:rFonts w:ascii="Calibri"/>
          <w:color w:val="231F20"/>
          <w:spacing w:val="-8"/>
          <w:w w:val="105"/>
          <w:sz w:val="13"/>
        </w:rPr>
        <w:t> </w:t>
      </w:r>
      <w:r>
        <w:rPr>
          <w:rFonts w:ascii="Calibri"/>
          <w:color w:val="231F20"/>
          <w:spacing w:val="-1"/>
          <w:w w:val="105"/>
          <w:sz w:val="13"/>
        </w:rPr>
        <w:t>440</w:t>
      </w:r>
      <w:r>
        <w:rPr>
          <w:rFonts w:ascii="Calibri"/>
          <w:color w:val="231F20"/>
          <w:spacing w:val="-7"/>
          <w:w w:val="105"/>
          <w:sz w:val="13"/>
        </w:rPr>
        <w:t> </w:t>
      </w:r>
      <w:r>
        <w:rPr>
          <w:rFonts w:ascii="Calibri"/>
          <w:color w:val="231F20"/>
          <w:spacing w:val="-1"/>
          <w:w w:val="105"/>
          <w:sz w:val="13"/>
        </w:rPr>
        <w:t>Collins</w:t>
      </w:r>
      <w:r>
        <w:rPr>
          <w:rFonts w:ascii="Calibri"/>
          <w:color w:val="231F20"/>
          <w:spacing w:val="-8"/>
          <w:w w:val="105"/>
          <w:sz w:val="13"/>
        </w:rPr>
        <w:t> </w:t>
      </w:r>
      <w:r>
        <w:rPr>
          <w:rFonts w:ascii="Calibri"/>
          <w:color w:val="231F20"/>
          <w:spacing w:val="-1"/>
          <w:w w:val="105"/>
          <w:sz w:val="13"/>
        </w:rPr>
        <w:t>Street</w:t>
      </w:r>
      <w:r>
        <w:rPr>
          <w:rFonts w:ascii="Calibri"/>
          <w:sz w:val="13"/>
        </w:rPr>
      </w:r>
    </w:p>
    <w:p>
      <w:pPr>
        <w:spacing w:before="0"/>
        <w:ind w:left="1459" w:right="0" w:firstLine="0"/>
        <w:jc w:val="both"/>
        <w:rPr>
          <w:rFonts w:ascii="Calibri" w:hAnsi="Calibri" w:cs="Calibri" w:eastAsia="Calibri"/>
          <w:sz w:val="13"/>
          <w:szCs w:val="13"/>
        </w:rPr>
      </w:pPr>
      <w:r>
        <w:rPr>
          <w:rFonts w:ascii="Calibri"/>
          <w:color w:val="231F20"/>
          <w:spacing w:val="-1"/>
          <w:w w:val="105"/>
          <w:sz w:val="13"/>
        </w:rPr>
        <w:t>Melbourne</w:t>
      </w:r>
      <w:r>
        <w:rPr>
          <w:rFonts w:ascii="Calibri"/>
          <w:color w:val="231F20"/>
          <w:spacing w:val="-12"/>
          <w:w w:val="105"/>
          <w:sz w:val="13"/>
        </w:rPr>
        <w:t> </w:t>
      </w:r>
      <w:r>
        <w:rPr>
          <w:rFonts w:ascii="Calibri"/>
          <w:color w:val="231F20"/>
          <w:w w:val="105"/>
          <w:sz w:val="13"/>
        </w:rPr>
        <w:t>VIC</w:t>
      </w:r>
      <w:r>
        <w:rPr>
          <w:rFonts w:ascii="Calibri"/>
          <w:color w:val="231F20"/>
          <w:spacing w:val="-12"/>
          <w:w w:val="105"/>
          <w:sz w:val="13"/>
        </w:rPr>
        <w:t> </w:t>
      </w:r>
      <w:r>
        <w:rPr>
          <w:rFonts w:ascii="Calibri"/>
          <w:color w:val="231F20"/>
          <w:spacing w:val="-1"/>
          <w:w w:val="105"/>
          <w:sz w:val="13"/>
        </w:rPr>
        <w:t>3000</w:t>
      </w:r>
      <w:r>
        <w:rPr>
          <w:rFonts w:ascii="Calibri"/>
          <w:sz w:val="13"/>
        </w:rPr>
      </w:r>
    </w:p>
    <w:p>
      <w:pPr>
        <w:spacing w:line="240" w:lineRule="auto" w:before="10"/>
        <w:rPr>
          <w:rFonts w:ascii="Calibri" w:hAnsi="Calibri" w:cs="Calibri" w:eastAsia="Calibri"/>
          <w:sz w:val="13"/>
          <w:szCs w:val="13"/>
        </w:rPr>
      </w:pPr>
    </w:p>
    <w:p>
      <w:pPr>
        <w:spacing w:line="252" w:lineRule="auto" w:before="0"/>
        <w:ind w:left="1459" w:right="1763" w:firstLine="0"/>
        <w:jc w:val="left"/>
        <w:rPr>
          <w:rFonts w:ascii="Calibri" w:hAnsi="Calibri" w:cs="Calibri" w:eastAsia="Calibri"/>
          <w:sz w:val="14"/>
          <w:szCs w:val="14"/>
        </w:rPr>
      </w:pPr>
      <w:r>
        <w:rPr>
          <w:rFonts w:ascii="Calibri" w:hAnsi="Calibri" w:cs="Calibri" w:eastAsia="Calibri"/>
          <w:b/>
          <w:bCs/>
          <w:color w:val="231F20"/>
          <w:spacing w:val="-2"/>
          <w:w w:val="105"/>
          <w:sz w:val="14"/>
          <w:szCs w:val="14"/>
        </w:rPr>
        <w:t>AUSTRALIAN</w:t>
      </w:r>
      <w:r>
        <w:rPr>
          <w:rFonts w:ascii="Calibri" w:hAnsi="Calibri" w:cs="Calibri" w:eastAsia="Calibri"/>
          <w:b/>
          <w:bCs/>
          <w:color w:val="231F20"/>
          <w:spacing w:val="-4"/>
          <w:w w:val="105"/>
          <w:sz w:val="14"/>
          <w:szCs w:val="14"/>
        </w:rPr>
        <w:t> </w:t>
      </w:r>
      <w:r>
        <w:rPr>
          <w:rFonts w:ascii="Calibri" w:hAnsi="Calibri" w:cs="Calibri" w:eastAsia="Calibri"/>
          <w:b/>
          <w:bCs/>
          <w:color w:val="231F20"/>
          <w:spacing w:val="-2"/>
          <w:w w:val="105"/>
          <w:sz w:val="14"/>
          <w:szCs w:val="14"/>
        </w:rPr>
        <w:t>INSTITUTE</w:t>
      </w:r>
      <w:r>
        <w:rPr>
          <w:rFonts w:ascii="Calibri" w:hAnsi="Calibri" w:cs="Calibri" w:eastAsia="Calibri"/>
          <w:b/>
          <w:bCs/>
          <w:color w:val="231F20"/>
          <w:spacing w:val="-4"/>
          <w:w w:val="105"/>
          <w:sz w:val="14"/>
          <w:szCs w:val="14"/>
        </w:rPr>
        <w:t> </w:t>
      </w:r>
      <w:r>
        <w:rPr>
          <w:rFonts w:ascii="Calibri" w:hAnsi="Calibri" w:cs="Calibri" w:eastAsia="Calibri"/>
          <w:b/>
          <w:bCs/>
          <w:color w:val="231F20"/>
          <w:spacing w:val="-2"/>
          <w:w w:val="105"/>
          <w:sz w:val="14"/>
          <w:szCs w:val="14"/>
        </w:rPr>
        <w:t>FOR</w:t>
      </w:r>
      <w:r>
        <w:rPr>
          <w:rFonts w:ascii="Calibri" w:hAnsi="Calibri" w:cs="Calibri" w:eastAsia="Calibri"/>
          <w:b/>
          <w:bCs/>
          <w:color w:val="231F20"/>
          <w:spacing w:val="-4"/>
          <w:w w:val="105"/>
          <w:sz w:val="14"/>
          <w:szCs w:val="14"/>
        </w:rPr>
        <w:t> </w:t>
      </w:r>
      <w:r>
        <w:rPr>
          <w:rFonts w:ascii="Calibri" w:hAnsi="Calibri" w:cs="Calibri" w:eastAsia="Calibri"/>
          <w:b/>
          <w:bCs/>
          <w:color w:val="231F20"/>
          <w:spacing w:val="-2"/>
          <w:w w:val="105"/>
          <w:sz w:val="14"/>
          <w:szCs w:val="14"/>
        </w:rPr>
        <w:t>TEACHING</w:t>
      </w:r>
      <w:r>
        <w:rPr>
          <w:rFonts w:ascii="Calibri" w:hAnsi="Calibri" w:cs="Calibri" w:eastAsia="Calibri"/>
          <w:b/>
          <w:bCs/>
          <w:color w:val="231F20"/>
          <w:spacing w:val="-4"/>
          <w:w w:val="105"/>
          <w:sz w:val="14"/>
          <w:szCs w:val="14"/>
        </w:rPr>
        <w:t> </w:t>
      </w:r>
      <w:r>
        <w:rPr>
          <w:rFonts w:ascii="Calibri" w:hAnsi="Calibri" w:cs="Calibri" w:eastAsia="Calibri"/>
          <w:b/>
          <w:bCs/>
          <w:color w:val="231F20"/>
          <w:spacing w:val="-2"/>
          <w:w w:val="105"/>
          <w:sz w:val="14"/>
          <w:szCs w:val="14"/>
        </w:rPr>
        <w:t>AND</w:t>
      </w:r>
      <w:r>
        <w:rPr>
          <w:rFonts w:ascii="Calibri" w:hAnsi="Calibri" w:cs="Calibri" w:eastAsia="Calibri"/>
          <w:b/>
          <w:bCs/>
          <w:color w:val="231F20"/>
          <w:spacing w:val="-4"/>
          <w:w w:val="105"/>
          <w:sz w:val="14"/>
          <w:szCs w:val="14"/>
        </w:rPr>
        <w:t> </w:t>
      </w:r>
      <w:r>
        <w:rPr>
          <w:rFonts w:ascii="Calibri" w:hAnsi="Calibri" w:cs="Calibri" w:eastAsia="Calibri"/>
          <w:b/>
          <w:bCs/>
          <w:color w:val="231F20"/>
          <w:spacing w:val="-2"/>
          <w:w w:val="105"/>
          <w:sz w:val="14"/>
          <w:szCs w:val="14"/>
        </w:rPr>
        <w:t>SCHOOL</w:t>
      </w:r>
      <w:r>
        <w:rPr>
          <w:rFonts w:ascii="Calibri" w:hAnsi="Calibri" w:cs="Calibri" w:eastAsia="Calibri"/>
          <w:b/>
          <w:bCs/>
          <w:color w:val="231F20"/>
          <w:spacing w:val="-4"/>
          <w:w w:val="105"/>
          <w:sz w:val="14"/>
          <w:szCs w:val="14"/>
        </w:rPr>
        <w:t> </w:t>
      </w:r>
      <w:r>
        <w:rPr>
          <w:rFonts w:ascii="Calibri" w:hAnsi="Calibri" w:cs="Calibri" w:eastAsia="Calibri"/>
          <w:b/>
          <w:bCs/>
          <w:color w:val="231F20"/>
          <w:spacing w:val="-2"/>
          <w:w w:val="105"/>
          <w:sz w:val="14"/>
          <w:szCs w:val="14"/>
        </w:rPr>
        <w:t>LEADERSHIP</w:t>
      </w:r>
      <w:r>
        <w:rPr>
          <w:rFonts w:ascii="Calibri" w:hAnsi="Calibri" w:cs="Calibri" w:eastAsia="Calibri"/>
          <w:b/>
          <w:bCs/>
          <w:color w:val="231F20"/>
          <w:spacing w:val="-4"/>
          <w:w w:val="105"/>
          <w:sz w:val="14"/>
          <w:szCs w:val="14"/>
        </w:rPr>
        <w:t> </w:t>
      </w:r>
      <w:r>
        <w:rPr>
          <w:rFonts w:ascii="Calibri" w:hAnsi="Calibri" w:cs="Calibri" w:eastAsia="Calibri"/>
          <w:b/>
          <w:bCs/>
          <w:color w:val="231F20"/>
          <w:spacing w:val="-3"/>
          <w:w w:val="105"/>
          <w:sz w:val="14"/>
          <w:szCs w:val="14"/>
        </w:rPr>
        <w:t>LIMITED</w:t>
      </w:r>
      <w:r>
        <w:rPr>
          <w:rFonts w:ascii="Calibri" w:hAnsi="Calibri" w:cs="Calibri" w:eastAsia="Calibri"/>
          <w:b/>
          <w:bCs/>
          <w:color w:val="231F20"/>
          <w:spacing w:val="27"/>
          <w:w w:val="105"/>
          <w:sz w:val="14"/>
          <w:szCs w:val="14"/>
        </w:rPr>
        <w:t> </w:t>
      </w:r>
      <w:r>
        <w:rPr>
          <w:rFonts w:ascii="Calibri" w:hAnsi="Calibri" w:cs="Calibri" w:eastAsia="Calibri"/>
          <w:b/>
          <w:bCs/>
          <w:color w:val="231F20"/>
          <w:spacing w:val="-3"/>
          <w:w w:val="105"/>
          <w:sz w:val="14"/>
          <w:szCs w:val="14"/>
        </w:rPr>
        <w:t>FINANCIAL</w:t>
      </w:r>
      <w:r>
        <w:rPr>
          <w:rFonts w:ascii="Calibri" w:hAnsi="Calibri" w:cs="Calibri" w:eastAsia="Calibri"/>
          <w:b/>
          <w:bCs/>
          <w:color w:val="231F20"/>
          <w:spacing w:val="-5"/>
          <w:w w:val="105"/>
          <w:sz w:val="14"/>
          <w:szCs w:val="14"/>
        </w:rPr>
        <w:t> </w:t>
      </w:r>
      <w:r>
        <w:rPr>
          <w:rFonts w:ascii="Calibri" w:hAnsi="Calibri" w:cs="Calibri" w:eastAsia="Calibri"/>
          <w:b/>
          <w:bCs/>
          <w:color w:val="231F20"/>
          <w:spacing w:val="-2"/>
          <w:w w:val="105"/>
          <w:sz w:val="14"/>
          <w:szCs w:val="14"/>
        </w:rPr>
        <w:t>REPORT</w:t>
      </w:r>
      <w:r>
        <w:rPr>
          <w:rFonts w:ascii="Calibri" w:hAnsi="Calibri" w:cs="Calibri" w:eastAsia="Calibri"/>
          <w:b/>
          <w:bCs/>
          <w:color w:val="231F20"/>
          <w:spacing w:val="-4"/>
          <w:w w:val="105"/>
          <w:sz w:val="14"/>
          <w:szCs w:val="14"/>
        </w:rPr>
        <w:t> </w:t>
      </w:r>
      <w:r>
        <w:rPr>
          <w:rFonts w:ascii="Calibri" w:hAnsi="Calibri" w:cs="Calibri" w:eastAsia="Calibri"/>
          <w:b/>
          <w:bCs/>
          <w:color w:val="231F20"/>
          <w:spacing w:val="-3"/>
          <w:w w:val="105"/>
          <w:sz w:val="14"/>
          <w:szCs w:val="14"/>
        </w:rPr>
        <w:t>2018–19</w:t>
      </w:r>
      <w:r>
        <w:rPr>
          <w:rFonts w:ascii="Calibri" w:hAnsi="Calibri" w:cs="Calibri" w:eastAsia="Calibri"/>
          <w:sz w:val="14"/>
          <w:szCs w:val="14"/>
        </w:rPr>
      </w:r>
    </w:p>
    <w:p>
      <w:pPr>
        <w:spacing w:before="0"/>
        <w:ind w:left="1459" w:right="0" w:firstLine="0"/>
        <w:jc w:val="both"/>
        <w:rPr>
          <w:rFonts w:ascii="Calibri" w:hAnsi="Calibri" w:cs="Calibri" w:eastAsia="Calibri"/>
          <w:sz w:val="14"/>
          <w:szCs w:val="14"/>
        </w:rPr>
      </w:pPr>
      <w:r>
        <w:rPr>
          <w:rFonts w:ascii="Calibri" w:hAnsi="Calibri" w:cs="Calibri" w:eastAsia="Calibri"/>
          <w:b/>
          <w:bCs/>
          <w:color w:val="231F20"/>
          <w:w w:val="105"/>
          <w:sz w:val="14"/>
          <w:szCs w:val="14"/>
        </w:rPr>
        <w:t>AUDITOR’S INDEPENDENCE</w:t>
      </w:r>
      <w:r>
        <w:rPr>
          <w:rFonts w:ascii="Calibri" w:hAnsi="Calibri" w:cs="Calibri" w:eastAsia="Calibri"/>
          <w:b/>
          <w:bCs/>
          <w:color w:val="231F20"/>
          <w:spacing w:val="-1"/>
          <w:w w:val="105"/>
          <w:sz w:val="14"/>
          <w:szCs w:val="14"/>
        </w:rPr>
        <w:t> </w:t>
      </w:r>
      <w:r>
        <w:rPr>
          <w:rFonts w:ascii="Calibri" w:hAnsi="Calibri" w:cs="Calibri" w:eastAsia="Calibri"/>
          <w:b/>
          <w:bCs/>
          <w:color w:val="231F20"/>
          <w:w w:val="105"/>
          <w:sz w:val="14"/>
          <w:szCs w:val="14"/>
        </w:rPr>
        <w:t>DECLARATION</w:t>
      </w:r>
      <w:r>
        <w:rPr>
          <w:rFonts w:ascii="Calibri" w:hAnsi="Calibri" w:cs="Calibri" w:eastAsia="Calibri"/>
          <w:sz w:val="14"/>
          <w:szCs w:val="14"/>
        </w:rPr>
      </w:r>
    </w:p>
    <w:p>
      <w:pPr>
        <w:spacing w:line="240" w:lineRule="auto" w:before="6"/>
        <w:rPr>
          <w:rFonts w:ascii="Calibri" w:hAnsi="Calibri" w:cs="Calibri" w:eastAsia="Calibri"/>
          <w:b/>
          <w:bCs/>
          <w:sz w:val="13"/>
          <w:szCs w:val="13"/>
        </w:rPr>
      </w:pPr>
    </w:p>
    <w:p>
      <w:pPr>
        <w:spacing w:line="247" w:lineRule="auto" w:before="0"/>
        <w:ind w:left="1459" w:right="1358" w:firstLine="0"/>
        <w:jc w:val="both"/>
        <w:rPr>
          <w:rFonts w:ascii="Calibri" w:hAnsi="Calibri" w:cs="Calibri" w:eastAsia="Calibri"/>
          <w:sz w:val="13"/>
          <w:szCs w:val="13"/>
        </w:rPr>
      </w:pPr>
      <w:r>
        <w:rPr>
          <w:rFonts w:ascii="Calibri"/>
          <w:color w:val="231F20"/>
          <w:w w:val="105"/>
          <w:sz w:val="13"/>
        </w:rPr>
        <w:t>In</w:t>
      </w:r>
      <w:r>
        <w:rPr>
          <w:rFonts w:ascii="Calibri"/>
          <w:color w:val="231F20"/>
          <w:spacing w:val="9"/>
          <w:w w:val="105"/>
          <w:sz w:val="13"/>
        </w:rPr>
        <w:t> </w:t>
      </w:r>
      <w:r>
        <w:rPr>
          <w:rFonts w:ascii="Calibri"/>
          <w:color w:val="231F20"/>
          <w:spacing w:val="-1"/>
          <w:w w:val="105"/>
          <w:sz w:val="13"/>
        </w:rPr>
        <w:t>relation</w:t>
      </w:r>
      <w:r>
        <w:rPr>
          <w:rFonts w:ascii="Calibri"/>
          <w:color w:val="231F20"/>
          <w:spacing w:val="9"/>
          <w:w w:val="105"/>
          <w:sz w:val="13"/>
        </w:rPr>
        <w:t> </w:t>
      </w:r>
      <w:r>
        <w:rPr>
          <w:rFonts w:ascii="Calibri"/>
          <w:color w:val="231F20"/>
          <w:w w:val="105"/>
          <w:sz w:val="13"/>
        </w:rPr>
        <w:t>to</w:t>
      </w:r>
      <w:r>
        <w:rPr>
          <w:rFonts w:ascii="Calibri"/>
          <w:color w:val="231F20"/>
          <w:spacing w:val="9"/>
          <w:w w:val="105"/>
          <w:sz w:val="13"/>
        </w:rPr>
        <w:t> </w:t>
      </w:r>
      <w:r>
        <w:rPr>
          <w:rFonts w:ascii="Calibri"/>
          <w:color w:val="231F20"/>
          <w:spacing w:val="-1"/>
          <w:w w:val="105"/>
          <w:sz w:val="13"/>
        </w:rPr>
        <w:t>my</w:t>
      </w:r>
      <w:r>
        <w:rPr>
          <w:rFonts w:ascii="Calibri"/>
          <w:color w:val="231F20"/>
          <w:spacing w:val="10"/>
          <w:w w:val="105"/>
          <w:sz w:val="13"/>
        </w:rPr>
        <w:t> </w:t>
      </w:r>
      <w:r>
        <w:rPr>
          <w:rFonts w:ascii="Calibri"/>
          <w:color w:val="231F20"/>
          <w:spacing w:val="-1"/>
          <w:w w:val="105"/>
          <w:sz w:val="13"/>
        </w:rPr>
        <w:t>audit</w:t>
      </w:r>
      <w:r>
        <w:rPr>
          <w:rFonts w:ascii="Calibri"/>
          <w:color w:val="231F20"/>
          <w:spacing w:val="9"/>
          <w:w w:val="105"/>
          <w:sz w:val="13"/>
        </w:rPr>
        <w:t> </w:t>
      </w:r>
      <w:r>
        <w:rPr>
          <w:rFonts w:ascii="Calibri"/>
          <w:color w:val="231F20"/>
          <w:w w:val="105"/>
          <w:sz w:val="13"/>
        </w:rPr>
        <w:t>of</w:t>
      </w:r>
      <w:r>
        <w:rPr>
          <w:rFonts w:ascii="Calibri"/>
          <w:color w:val="231F20"/>
          <w:spacing w:val="9"/>
          <w:w w:val="105"/>
          <w:sz w:val="13"/>
        </w:rPr>
        <w:t> </w:t>
      </w:r>
      <w:r>
        <w:rPr>
          <w:rFonts w:ascii="Calibri"/>
          <w:color w:val="231F20"/>
          <w:spacing w:val="-1"/>
          <w:w w:val="105"/>
          <w:sz w:val="13"/>
        </w:rPr>
        <w:t>the</w:t>
      </w:r>
      <w:r>
        <w:rPr>
          <w:rFonts w:ascii="Calibri"/>
          <w:color w:val="231F20"/>
          <w:spacing w:val="10"/>
          <w:w w:val="105"/>
          <w:sz w:val="13"/>
        </w:rPr>
        <w:t> </w:t>
      </w:r>
      <w:r>
        <w:rPr>
          <w:rFonts w:ascii="Calibri"/>
          <w:color w:val="231F20"/>
          <w:spacing w:val="-1"/>
          <w:w w:val="105"/>
          <w:sz w:val="13"/>
        </w:rPr>
        <w:t>financial</w:t>
      </w:r>
      <w:r>
        <w:rPr>
          <w:rFonts w:ascii="Calibri"/>
          <w:color w:val="231F20"/>
          <w:spacing w:val="9"/>
          <w:w w:val="105"/>
          <w:sz w:val="13"/>
        </w:rPr>
        <w:t> </w:t>
      </w:r>
      <w:r>
        <w:rPr>
          <w:rFonts w:ascii="Calibri"/>
          <w:color w:val="231F20"/>
          <w:spacing w:val="-1"/>
          <w:w w:val="105"/>
          <w:sz w:val="13"/>
        </w:rPr>
        <w:t>report</w:t>
      </w:r>
      <w:r>
        <w:rPr>
          <w:rFonts w:ascii="Calibri"/>
          <w:color w:val="231F20"/>
          <w:spacing w:val="9"/>
          <w:w w:val="105"/>
          <w:sz w:val="13"/>
        </w:rPr>
        <w:t> </w:t>
      </w:r>
      <w:r>
        <w:rPr>
          <w:rFonts w:ascii="Calibri"/>
          <w:color w:val="231F20"/>
          <w:w w:val="105"/>
          <w:sz w:val="13"/>
        </w:rPr>
        <w:t>of</w:t>
      </w:r>
      <w:r>
        <w:rPr>
          <w:rFonts w:ascii="Calibri"/>
          <w:color w:val="231F20"/>
          <w:spacing w:val="10"/>
          <w:w w:val="105"/>
          <w:sz w:val="13"/>
        </w:rPr>
        <w:t> </w:t>
      </w:r>
      <w:r>
        <w:rPr>
          <w:rFonts w:ascii="Calibri"/>
          <w:color w:val="231F20"/>
          <w:spacing w:val="-1"/>
          <w:w w:val="105"/>
          <w:sz w:val="13"/>
        </w:rPr>
        <w:t>the</w:t>
      </w:r>
      <w:r>
        <w:rPr>
          <w:rFonts w:ascii="Calibri"/>
          <w:color w:val="231F20"/>
          <w:spacing w:val="9"/>
          <w:w w:val="105"/>
          <w:sz w:val="13"/>
        </w:rPr>
        <w:t> </w:t>
      </w:r>
      <w:r>
        <w:rPr>
          <w:rFonts w:ascii="Calibri"/>
          <w:color w:val="231F20"/>
          <w:spacing w:val="-1"/>
          <w:w w:val="105"/>
          <w:sz w:val="13"/>
        </w:rPr>
        <w:t>Australian</w:t>
      </w:r>
      <w:r>
        <w:rPr>
          <w:rFonts w:ascii="Calibri"/>
          <w:color w:val="231F20"/>
          <w:spacing w:val="10"/>
          <w:w w:val="105"/>
          <w:sz w:val="13"/>
        </w:rPr>
        <w:t> </w:t>
      </w:r>
      <w:r>
        <w:rPr>
          <w:rFonts w:ascii="Calibri"/>
          <w:color w:val="231F20"/>
          <w:spacing w:val="-1"/>
          <w:w w:val="105"/>
          <w:sz w:val="13"/>
        </w:rPr>
        <w:t>Institute</w:t>
      </w:r>
      <w:r>
        <w:rPr>
          <w:rFonts w:ascii="Calibri"/>
          <w:color w:val="231F20"/>
          <w:spacing w:val="9"/>
          <w:w w:val="105"/>
          <w:sz w:val="13"/>
        </w:rPr>
        <w:t> </w:t>
      </w:r>
      <w:r>
        <w:rPr>
          <w:rFonts w:ascii="Calibri"/>
          <w:color w:val="231F20"/>
          <w:w w:val="105"/>
          <w:sz w:val="13"/>
        </w:rPr>
        <w:t>for</w:t>
      </w:r>
      <w:r>
        <w:rPr>
          <w:rFonts w:ascii="Calibri"/>
          <w:color w:val="231F20"/>
          <w:spacing w:val="9"/>
          <w:w w:val="105"/>
          <w:sz w:val="13"/>
        </w:rPr>
        <w:t> </w:t>
      </w:r>
      <w:r>
        <w:rPr>
          <w:rFonts w:ascii="Calibri"/>
          <w:color w:val="231F20"/>
          <w:spacing w:val="-1"/>
          <w:w w:val="105"/>
          <w:sz w:val="13"/>
        </w:rPr>
        <w:t>Teaching</w:t>
      </w:r>
      <w:r>
        <w:rPr>
          <w:rFonts w:ascii="Calibri"/>
          <w:color w:val="231F20"/>
          <w:spacing w:val="9"/>
          <w:w w:val="105"/>
          <w:sz w:val="13"/>
        </w:rPr>
        <w:t> </w:t>
      </w:r>
      <w:r>
        <w:rPr>
          <w:rFonts w:ascii="Calibri"/>
          <w:color w:val="231F20"/>
          <w:w w:val="105"/>
          <w:sz w:val="13"/>
        </w:rPr>
        <w:t>and</w:t>
      </w:r>
      <w:r>
        <w:rPr>
          <w:rFonts w:ascii="Calibri"/>
          <w:color w:val="231F20"/>
          <w:spacing w:val="9"/>
          <w:w w:val="105"/>
          <w:sz w:val="13"/>
        </w:rPr>
        <w:t> </w:t>
      </w:r>
      <w:r>
        <w:rPr>
          <w:rFonts w:ascii="Calibri"/>
          <w:color w:val="231F20"/>
          <w:spacing w:val="-1"/>
          <w:w w:val="105"/>
          <w:sz w:val="13"/>
        </w:rPr>
        <w:t>School</w:t>
      </w:r>
      <w:r>
        <w:rPr>
          <w:rFonts w:ascii="Calibri"/>
          <w:color w:val="231F20"/>
          <w:spacing w:val="85"/>
          <w:w w:val="103"/>
          <w:sz w:val="13"/>
        </w:rPr>
        <w:t> </w:t>
      </w:r>
      <w:r>
        <w:rPr>
          <w:rFonts w:ascii="Calibri"/>
          <w:color w:val="231F20"/>
          <w:spacing w:val="-1"/>
          <w:w w:val="105"/>
          <w:sz w:val="13"/>
        </w:rPr>
        <w:t>Leadership</w:t>
      </w:r>
      <w:r>
        <w:rPr>
          <w:rFonts w:ascii="Calibri"/>
          <w:color w:val="231F20"/>
          <w:spacing w:val="-3"/>
          <w:w w:val="105"/>
          <w:sz w:val="13"/>
        </w:rPr>
        <w:t> </w:t>
      </w:r>
      <w:r>
        <w:rPr>
          <w:rFonts w:ascii="Calibri"/>
          <w:color w:val="231F20"/>
          <w:spacing w:val="-1"/>
          <w:w w:val="105"/>
          <w:sz w:val="13"/>
        </w:rPr>
        <w:t>Limited</w:t>
      </w:r>
      <w:r>
        <w:rPr>
          <w:rFonts w:ascii="Calibri"/>
          <w:color w:val="231F20"/>
          <w:spacing w:val="-2"/>
          <w:w w:val="105"/>
          <w:sz w:val="13"/>
        </w:rPr>
        <w:t> </w:t>
      </w:r>
      <w:r>
        <w:rPr>
          <w:rFonts w:ascii="Calibri"/>
          <w:color w:val="231F20"/>
          <w:spacing w:val="-1"/>
          <w:w w:val="105"/>
          <w:sz w:val="13"/>
        </w:rPr>
        <w:t>for</w:t>
      </w:r>
      <w:r>
        <w:rPr>
          <w:rFonts w:ascii="Calibri"/>
          <w:color w:val="231F20"/>
          <w:spacing w:val="-3"/>
          <w:w w:val="105"/>
          <w:sz w:val="13"/>
        </w:rPr>
        <w:t> </w:t>
      </w:r>
      <w:r>
        <w:rPr>
          <w:rFonts w:ascii="Calibri"/>
          <w:color w:val="231F20"/>
          <w:w w:val="105"/>
          <w:sz w:val="13"/>
        </w:rPr>
        <w:t>the</w:t>
      </w:r>
      <w:r>
        <w:rPr>
          <w:rFonts w:ascii="Calibri"/>
          <w:color w:val="231F20"/>
          <w:spacing w:val="-3"/>
          <w:w w:val="105"/>
          <w:sz w:val="13"/>
        </w:rPr>
        <w:t> </w:t>
      </w:r>
      <w:r>
        <w:rPr>
          <w:rFonts w:ascii="Calibri"/>
          <w:color w:val="231F20"/>
          <w:spacing w:val="-1"/>
          <w:w w:val="105"/>
          <w:sz w:val="13"/>
        </w:rPr>
        <w:t>year</w:t>
      </w:r>
      <w:r>
        <w:rPr>
          <w:rFonts w:ascii="Calibri"/>
          <w:color w:val="231F20"/>
          <w:spacing w:val="-2"/>
          <w:w w:val="105"/>
          <w:sz w:val="13"/>
        </w:rPr>
        <w:t> </w:t>
      </w:r>
      <w:r>
        <w:rPr>
          <w:rFonts w:ascii="Calibri"/>
          <w:color w:val="231F20"/>
          <w:spacing w:val="-1"/>
          <w:w w:val="105"/>
          <w:sz w:val="13"/>
        </w:rPr>
        <w:t>ended</w:t>
      </w:r>
      <w:r>
        <w:rPr>
          <w:rFonts w:ascii="Calibri"/>
          <w:color w:val="231F20"/>
          <w:spacing w:val="-3"/>
          <w:w w:val="105"/>
          <w:sz w:val="13"/>
        </w:rPr>
        <w:t> </w:t>
      </w:r>
      <w:r>
        <w:rPr>
          <w:rFonts w:ascii="Calibri"/>
          <w:color w:val="231F20"/>
          <w:spacing w:val="-1"/>
          <w:w w:val="105"/>
          <w:sz w:val="13"/>
        </w:rPr>
        <w:t>30</w:t>
      </w:r>
      <w:r>
        <w:rPr>
          <w:rFonts w:ascii="Calibri"/>
          <w:color w:val="231F20"/>
          <w:spacing w:val="-2"/>
          <w:w w:val="105"/>
          <w:sz w:val="13"/>
        </w:rPr>
        <w:t> </w:t>
      </w:r>
      <w:r>
        <w:rPr>
          <w:rFonts w:ascii="Calibri"/>
          <w:color w:val="231F20"/>
          <w:spacing w:val="-1"/>
          <w:w w:val="105"/>
          <w:sz w:val="13"/>
        </w:rPr>
        <w:t>June</w:t>
      </w:r>
      <w:r>
        <w:rPr>
          <w:rFonts w:ascii="Calibri"/>
          <w:color w:val="231F20"/>
          <w:spacing w:val="-2"/>
          <w:w w:val="105"/>
          <w:sz w:val="13"/>
        </w:rPr>
        <w:t> </w:t>
      </w:r>
      <w:r>
        <w:rPr>
          <w:rFonts w:ascii="Calibri"/>
          <w:color w:val="231F20"/>
          <w:spacing w:val="-1"/>
          <w:w w:val="105"/>
          <w:sz w:val="13"/>
        </w:rPr>
        <w:t>2019,</w:t>
      </w:r>
      <w:r>
        <w:rPr>
          <w:rFonts w:ascii="Calibri"/>
          <w:color w:val="231F20"/>
          <w:spacing w:val="-3"/>
          <w:w w:val="105"/>
          <w:sz w:val="13"/>
        </w:rPr>
        <w:t> </w:t>
      </w:r>
      <w:r>
        <w:rPr>
          <w:rFonts w:ascii="Calibri"/>
          <w:color w:val="231F20"/>
          <w:w w:val="105"/>
          <w:sz w:val="13"/>
        </w:rPr>
        <w:t>to</w:t>
      </w:r>
      <w:r>
        <w:rPr>
          <w:rFonts w:ascii="Calibri"/>
          <w:color w:val="231F20"/>
          <w:spacing w:val="-3"/>
          <w:w w:val="105"/>
          <w:sz w:val="13"/>
        </w:rPr>
        <w:t> </w:t>
      </w:r>
      <w:r>
        <w:rPr>
          <w:rFonts w:ascii="Calibri"/>
          <w:color w:val="231F20"/>
          <w:spacing w:val="-1"/>
          <w:w w:val="105"/>
          <w:sz w:val="13"/>
        </w:rPr>
        <w:t>the</w:t>
      </w:r>
      <w:r>
        <w:rPr>
          <w:rFonts w:ascii="Calibri"/>
          <w:color w:val="231F20"/>
          <w:spacing w:val="-3"/>
          <w:w w:val="105"/>
          <w:sz w:val="13"/>
        </w:rPr>
        <w:t> </w:t>
      </w:r>
      <w:r>
        <w:rPr>
          <w:rFonts w:ascii="Calibri"/>
          <w:color w:val="231F20"/>
          <w:spacing w:val="-1"/>
          <w:w w:val="105"/>
          <w:sz w:val="13"/>
        </w:rPr>
        <w:t>best</w:t>
      </w:r>
      <w:r>
        <w:rPr>
          <w:rFonts w:ascii="Calibri"/>
          <w:color w:val="231F20"/>
          <w:spacing w:val="-2"/>
          <w:w w:val="105"/>
          <w:sz w:val="13"/>
        </w:rPr>
        <w:t> </w:t>
      </w:r>
      <w:r>
        <w:rPr>
          <w:rFonts w:ascii="Calibri"/>
          <w:color w:val="231F20"/>
          <w:w w:val="105"/>
          <w:sz w:val="13"/>
        </w:rPr>
        <w:t>of</w:t>
      </w:r>
      <w:r>
        <w:rPr>
          <w:rFonts w:ascii="Calibri"/>
          <w:color w:val="231F20"/>
          <w:spacing w:val="-2"/>
          <w:w w:val="105"/>
          <w:sz w:val="13"/>
        </w:rPr>
        <w:t> </w:t>
      </w:r>
      <w:r>
        <w:rPr>
          <w:rFonts w:ascii="Calibri"/>
          <w:color w:val="231F20"/>
          <w:w w:val="105"/>
          <w:sz w:val="13"/>
        </w:rPr>
        <w:t>my</w:t>
      </w:r>
      <w:r>
        <w:rPr>
          <w:rFonts w:ascii="Calibri"/>
          <w:color w:val="231F20"/>
          <w:spacing w:val="-4"/>
          <w:w w:val="105"/>
          <w:sz w:val="13"/>
        </w:rPr>
        <w:t> </w:t>
      </w:r>
      <w:r>
        <w:rPr>
          <w:rFonts w:ascii="Calibri"/>
          <w:color w:val="231F20"/>
          <w:spacing w:val="-1"/>
          <w:w w:val="105"/>
          <w:sz w:val="13"/>
        </w:rPr>
        <w:t>knowledge</w:t>
      </w:r>
      <w:r>
        <w:rPr>
          <w:rFonts w:ascii="Calibri"/>
          <w:color w:val="231F20"/>
          <w:spacing w:val="-2"/>
          <w:w w:val="105"/>
          <w:sz w:val="13"/>
        </w:rPr>
        <w:t> </w:t>
      </w:r>
      <w:r>
        <w:rPr>
          <w:rFonts w:ascii="Calibri"/>
          <w:color w:val="231F20"/>
          <w:spacing w:val="-1"/>
          <w:w w:val="105"/>
          <w:sz w:val="13"/>
        </w:rPr>
        <w:t>and</w:t>
      </w:r>
      <w:r>
        <w:rPr>
          <w:rFonts w:ascii="Calibri"/>
          <w:color w:val="231F20"/>
          <w:spacing w:val="-3"/>
          <w:w w:val="105"/>
          <w:sz w:val="13"/>
        </w:rPr>
        <w:t> </w:t>
      </w:r>
      <w:r>
        <w:rPr>
          <w:rFonts w:ascii="Calibri"/>
          <w:color w:val="231F20"/>
          <w:w w:val="105"/>
          <w:sz w:val="13"/>
        </w:rPr>
        <w:t>belief,</w:t>
      </w:r>
      <w:r>
        <w:rPr>
          <w:rFonts w:ascii="Calibri"/>
          <w:color w:val="231F20"/>
          <w:spacing w:val="-3"/>
          <w:w w:val="105"/>
          <w:sz w:val="13"/>
        </w:rPr>
        <w:t> </w:t>
      </w:r>
      <w:r>
        <w:rPr>
          <w:rFonts w:ascii="Calibri"/>
          <w:color w:val="231F20"/>
          <w:w w:val="105"/>
          <w:sz w:val="13"/>
        </w:rPr>
        <w:t>there</w:t>
      </w:r>
      <w:r>
        <w:rPr>
          <w:rFonts w:ascii="Calibri"/>
          <w:color w:val="231F20"/>
          <w:spacing w:val="67"/>
          <w:w w:val="103"/>
          <w:sz w:val="13"/>
        </w:rPr>
        <w:t> </w:t>
      </w:r>
      <w:r>
        <w:rPr>
          <w:rFonts w:ascii="Calibri"/>
          <w:color w:val="231F20"/>
          <w:w w:val="105"/>
          <w:sz w:val="13"/>
        </w:rPr>
        <w:t>have</w:t>
      </w:r>
      <w:r>
        <w:rPr>
          <w:rFonts w:ascii="Calibri"/>
          <w:color w:val="231F20"/>
          <w:spacing w:val="-12"/>
          <w:w w:val="105"/>
          <w:sz w:val="13"/>
        </w:rPr>
        <w:t> </w:t>
      </w:r>
      <w:r>
        <w:rPr>
          <w:rFonts w:ascii="Calibri"/>
          <w:color w:val="231F20"/>
          <w:spacing w:val="-1"/>
          <w:w w:val="105"/>
          <w:sz w:val="13"/>
        </w:rPr>
        <w:t>been:</w:t>
      </w:r>
      <w:r>
        <w:rPr>
          <w:rFonts w:ascii="Calibri"/>
          <w:sz w:val="13"/>
        </w:rPr>
      </w:r>
    </w:p>
    <w:p>
      <w:pPr>
        <w:spacing w:line="240" w:lineRule="auto" w:before="2"/>
        <w:rPr>
          <w:rFonts w:ascii="Calibri" w:hAnsi="Calibri" w:cs="Calibri" w:eastAsia="Calibri"/>
          <w:sz w:val="13"/>
          <w:szCs w:val="13"/>
        </w:rPr>
      </w:pPr>
    </w:p>
    <w:p>
      <w:pPr>
        <w:numPr>
          <w:ilvl w:val="0"/>
          <w:numId w:val="2"/>
        </w:numPr>
        <w:tabs>
          <w:tab w:pos="2049" w:val="left" w:leader="none"/>
        </w:tabs>
        <w:spacing w:line="246" w:lineRule="auto" w:before="0"/>
        <w:ind w:left="2048" w:right="1358" w:hanging="482"/>
        <w:jc w:val="left"/>
        <w:rPr>
          <w:rFonts w:ascii="Calibri" w:hAnsi="Calibri" w:cs="Calibri" w:eastAsia="Calibri"/>
          <w:sz w:val="13"/>
          <w:szCs w:val="13"/>
        </w:rPr>
      </w:pPr>
      <w:r>
        <w:rPr>
          <w:rFonts w:ascii="Calibri" w:hAnsi="Calibri" w:cs="Calibri" w:eastAsia="Calibri"/>
          <w:color w:val="231F20"/>
          <w:w w:val="105"/>
          <w:sz w:val="13"/>
          <w:szCs w:val="13"/>
        </w:rPr>
        <w:t>no</w:t>
      </w:r>
      <w:r>
        <w:rPr>
          <w:rFonts w:ascii="Calibri" w:hAnsi="Calibri" w:cs="Calibri" w:eastAsia="Calibri"/>
          <w:color w:val="231F20"/>
          <w:spacing w:val="10"/>
          <w:w w:val="105"/>
          <w:sz w:val="13"/>
          <w:szCs w:val="13"/>
        </w:rPr>
        <w:t> </w:t>
      </w:r>
      <w:r>
        <w:rPr>
          <w:rFonts w:ascii="Calibri" w:hAnsi="Calibri" w:cs="Calibri" w:eastAsia="Calibri"/>
          <w:color w:val="231F20"/>
          <w:spacing w:val="-1"/>
          <w:w w:val="105"/>
          <w:sz w:val="13"/>
          <w:szCs w:val="13"/>
        </w:rPr>
        <w:t>contraventions</w:t>
      </w:r>
      <w:r>
        <w:rPr>
          <w:rFonts w:ascii="Calibri" w:hAnsi="Calibri" w:cs="Calibri" w:eastAsia="Calibri"/>
          <w:color w:val="231F20"/>
          <w:spacing w:val="10"/>
          <w:w w:val="105"/>
          <w:sz w:val="13"/>
          <w:szCs w:val="13"/>
        </w:rPr>
        <w:t> </w:t>
      </w:r>
      <w:r>
        <w:rPr>
          <w:rFonts w:ascii="Calibri" w:hAnsi="Calibri" w:cs="Calibri" w:eastAsia="Calibri"/>
          <w:color w:val="231F20"/>
          <w:w w:val="105"/>
          <w:sz w:val="13"/>
          <w:szCs w:val="13"/>
        </w:rPr>
        <w:t>of</w:t>
      </w:r>
      <w:r>
        <w:rPr>
          <w:rFonts w:ascii="Calibri" w:hAnsi="Calibri" w:cs="Calibri" w:eastAsia="Calibri"/>
          <w:color w:val="231F20"/>
          <w:spacing w:val="11"/>
          <w:w w:val="105"/>
          <w:sz w:val="13"/>
          <w:szCs w:val="13"/>
        </w:rPr>
        <w:t> </w:t>
      </w:r>
      <w:r>
        <w:rPr>
          <w:rFonts w:ascii="Calibri" w:hAnsi="Calibri" w:cs="Calibri" w:eastAsia="Calibri"/>
          <w:color w:val="231F20"/>
          <w:spacing w:val="-1"/>
          <w:w w:val="105"/>
          <w:sz w:val="13"/>
          <w:szCs w:val="13"/>
        </w:rPr>
        <w:t>the</w:t>
      </w:r>
      <w:r>
        <w:rPr>
          <w:rFonts w:ascii="Calibri" w:hAnsi="Calibri" w:cs="Calibri" w:eastAsia="Calibri"/>
          <w:color w:val="231F20"/>
          <w:spacing w:val="10"/>
          <w:w w:val="105"/>
          <w:sz w:val="13"/>
          <w:szCs w:val="13"/>
        </w:rPr>
        <w:t> </w:t>
      </w:r>
      <w:r>
        <w:rPr>
          <w:rFonts w:ascii="Calibri" w:hAnsi="Calibri" w:cs="Calibri" w:eastAsia="Calibri"/>
          <w:color w:val="231F20"/>
          <w:spacing w:val="-1"/>
          <w:w w:val="105"/>
          <w:sz w:val="13"/>
          <w:szCs w:val="13"/>
        </w:rPr>
        <w:t>auditor</w:t>
      </w:r>
      <w:r>
        <w:rPr>
          <w:rFonts w:ascii="Calibri" w:hAnsi="Calibri" w:cs="Calibri" w:eastAsia="Calibri"/>
          <w:color w:val="231F20"/>
          <w:spacing w:val="11"/>
          <w:w w:val="105"/>
          <w:sz w:val="13"/>
          <w:szCs w:val="13"/>
        </w:rPr>
        <w:t> </w:t>
      </w:r>
      <w:r>
        <w:rPr>
          <w:rFonts w:ascii="Calibri" w:hAnsi="Calibri" w:cs="Calibri" w:eastAsia="Calibri"/>
          <w:color w:val="231F20"/>
          <w:spacing w:val="-1"/>
          <w:w w:val="105"/>
          <w:sz w:val="13"/>
          <w:szCs w:val="13"/>
        </w:rPr>
        <w:t>independence</w:t>
      </w:r>
      <w:r>
        <w:rPr>
          <w:rFonts w:ascii="Calibri" w:hAnsi="Calibri" w:cs="Calibri" w:eastAsia="Calibri"/>
          <w:color w:val="231F20"/>
          <w:spacing w:val="10"/>
          <w:w w:val="105"/>
          <w:sz w:val="13"/>
          <w:szCs w:val="13"/>
        </w:rPr>
        <w:t> </w:t>
      </w:r>
      <w:r>
        <w:rPr>
          <w:rFonts w:ascii="Calibri" w:hAnsi="Calibri" w:cs="Calibri" w:eastAsia="Calibri"/>
          <w:color w:val="231F20"/>
          <w:spacing w:val="-1"/>
          <w:w w:val="105"/>
          <w:sz w:val="13"/>
          <w:szCs w:val="13"/>
        </w:rPr>
        <w:t>requirements</w:t>
      </w:r>
      <w:r>
        <w:rPr>
          <w:rFonts w:ascii="Calibri" w:hAnsi="Calibri" w:cs="Calibri" w:eastAsia="Calibri"/>
          <w:color w:val="231F20"/>
          <w:spacing w:val="11"/>
          <w:w w:val="105"/>
          <w:sz w:val="13"/>
          <w:szCs w:val="13"/>
        </w:rPr>
        <w:t> </w:t>
      </w:r>
      <w:r>
        <w:rPr>
          <w:rFonts w:ascii="Calibri" w:hAnsi="Calibri" w:cs="Calibri" w:eastAsia="Calibri"/>
          <w:color w:val="231F20"/>
          <w:w w:val="105"/>
          <w:sz w:val="13"/>
          <w:szCs w:val="13"/>
        </w:rPr>
        <w:t>of</w:t>
      </w:r>
      <w:r>
        <w:rPr>
          <w:rFonts w:ascii="Calibri" w:hAnsi="Calibri" w:cs="Calibri" w:eastAsia="Calibri"/>
          <w:color w:val="231F20"/>
          <w:spacing w:val="10"/>
          <w:w w:val="105"/>
          <w:sz w:val="13"/>
          <w:szCs w:val="13"/>
        </w:rPr>
        <w:t> </w:t>
      </w:r>
      <w:r>
        <w:rPr>
          <w:rFonts w:ascii="Calibri" w:hAnsi="Calibri" w:cs="Calibri" w:eastAsia="Calibri"/>
          <w:color w:val="231F20"/>
          <w:spacing w:val="-1"/>
          <w:w w:val="105"/>
          <w:sz w:val="13"/>
          <w:szCs w:val="13"/>
        </w:rPr>
        <w:t>the</w:t>
      </w:r>
      <w:r>
        <w:rPr>
          <w:rFonts w:ascii="Calibri" w:hAnsi="Calibri" w:cs="Calibri" w:eastAsia="Calibri"/>
          <w:color w:val="231F20"/>
          <w:spacing w:val="11"/>
          <w:w w:val="105"/>
          <w:sz w:val="13"/>
          <w:szCs w:val="13"/>
        </w:rPr>
        <w:t> </w:t>
      </w:r>
      <w:r>
        <w:rPr>
          <w:rFonts w:ascii="Calibri" w:hAnsi="Calibri" w:cs="Calibri" w:eastAsia="Calibri"/>
          <w:i/>
          <w:color w:val="231F20"/>
          <w:spacing w:val="-1"/>
          <w:w w:val="105"/>
          <w:sz w:val="13"/>
          <w:szCs w:val="13"/>
        </w:rPr>
        <w:t>Corporations</w:t>
      </w:r>
      <w:r>
        <w:rPr>
          <w:rFonts w:ascii="Calibri" w:hAnsi="Calibri" w:cs="Calibri" w:eastAsia="Calibri"/>
          <w:i/>
          <w:color w:val="231F20"/>
          <w:spacing w:val="10"/>
          <w:w w:val="105"/>
          <w:sz w:val="13"/>
          <w:szCs w:val="13"/>
        </w:rPr>
        <w:t> </w:t>
      </w:r>
      <w:r>
        <w:rPr>
          <w:rFonts w:ascii="Calibri" w:hAnsi="Calibri" w:cs="Calibri" w:eastAsia="Calibri"/>
          <w:i/>
          <w:color w:val="231F20"/>
          <w:spacing w:val="-1"/>
          <w:w w:val="105"/>
          <w:sz w:val="13"/>
          <w:szCs w:val="13"/>
        </w:rPr>
        <w:t>Act</w:t>
      </w:r>
      <w:r>
        <w:rPr>
          <w:rFonts w:ascii="Calibri" w:hAnsi="Calibri" w:cs="Calibri" w:eastAsia="Calibri"/>
          <w:i/>
          <w:color w:val="231F20"/>
          <w:spacing w:val="101"/>
          <w:w w:val="103"/>
          <w:sz w:val="13"/>
          <w:szCs w:val="13"/>
        </w:rPr>
        <w:t> </w:t>
      </w:r>
      <w:r>
        <w:rPr>
          <w:rFonts w:ascii="Calibri" w:hAnsi="Calibri" w:cs="Calibri" w:eastAsia="Calibri"/>
          <w:i/>
          <w:color w:val="231F20"/>
          <w:spacing w:val="-1"/>
          <w:w w:val="105"/>
          <w:sz w:val="13"/>
          <w:szCs w:val="13"/>
        </w:rPr>
        <w:t>2001</w:t>
      </w:r>
      <w:r>
        <w:rPr>
          <w:rFonts w:ascii="Calibri" w:hAnsi="Calibri" w:cs="Calibri" w:eastAsia="Calibri"/>
          <w:i/>
          <w:color w:val="231F20"/>
          <w:spacing w:val="-10"/>
          <w:w w:val="105"/>
          <w:sz w:val="13"/>
          <w:szCs w:val="13"/>
        </w:rPr>
        <w:t> </w:t>
      </w:r>
      <w:r>
        <w:rPr>
          <w:rFonts w:ascii="Calibri" w:hAnsi="Calibri" w:cs="Calibri" w:eastAsia="Calibri"/>
          <w:color w:val="231F20"/>
          <w:w w:val="105"/>
          <w:sz w:val="13"/>
          <w:szCs w:val="13"/>
        </w:rPr>
        <w:t>or</w:t>
      </w:r>
      <w:r>
        <w:rPr>
          <w:rFonts w:ascii="Calibri" w:hAnsi="Calibri" w:cs="Calibri" w:eastAsia="Calibri"/>
          <w:color w:val="231F20"/>
          <w:spacing w:val="-8"/>
          <w:w w:val="105"/>
          <w:sz w:val="13"/>
          <w:szCs w:val="13"/>
        </w:rPr>
        <w:t> </w:t>
      </w:r>
      <w:r>
        <w:rPr>
          <w:rFonts w:ascii="Calibri" w:hAnsi="Calibri" w:cs="Calibri" w:eastAsia="Calibri"/>
          <w:color w:val="231F20"/>
          <w:w w:val="105"/>
          <w:sz w:val="13"/>
          <w:szCs w:val="13"/>
        </w:rPr>
        <w:t>the</w:t>
      </w:r>
      <w:r>
        <w:rPr>
          <w:rFonts w:ascii="Calibri" w:hAnsi="Calibri" w:cs="Calibri" w:eastAsia="Calibri"/>
          <w:color w:val="231F20"/>
          <w:spacing w:val="-9"/>
          <w:w w:val="105"/>
          <w:sz w:val="13"/>
          <w:szCs w:val="13"/>
        </w:rPr>
        <w:t> </w:t>
      </w:r>
      <w:r>
        <w:rPr>
          <w:rFonts w:ascii="Calibri" w:hAnsi="Calibri" w:cs="Calibri" w:eastAsia="Calibri"/>
          <w:i/>
          <w:color w:val="231F20"/>
          <w:spacing w:val="-1"/>
          <w:w w:val="105"/>
          <w:sz w:val="13"/>
          <w:szCs w:val="13"/>
        </w:rPr>
        <w:t>Australian</w:t>
      </w:r>
      <w:r>
        <w:rPr>
          <w:rFonts w:ascii="Calibri" w:hAnsi="Calibri" w:cs="Calibri" w:eastAsia="Calibri"/>
          <w:i/>
          <w:color w:val="231F20"/>
          <w:spacing w:val="-9"/>
          <w:w w:val="105"/>
          <w:sz w:val="13"/>
          <w:szCs w:val="13"/>
        </w:rPr>
        <w:t> </w:t>
      </w:r>
      <w:r>
        <w:rPr>
          <w:rFonts w:ascii="Calibri" w:hAnsi="Calibri" w:cs="Calibri" w:eastAsia="Calibri"/>
          <w:i/>
          <w:color w:val="231F20"/>
          <w:spacing w:val="-1"/>
          <w:w w:val="105"/>
          <w:sz w:val="13"/>
          <w:szCs w:val="13"/>
        </w:rPr>
        <w:t>Charities</w:t>
      </w:r>
      <w:r>
        <w:rPr>
          <w:rFonts w:ascii="Calibri" w:hAnsi="Calibri" w:cs="Calibri" w:eastAsia="Calibri"/>
          <w:i/>
          <w:color w:val="231F20"/>
          <w:spacing w:val="-9"/>
          <w:w w:val="105"/>
          <w:sz w:val="13"/>
          <w:szCs w:val="13"/>
        </w:rPr>
        <w:t> </w:t>
      </w:r>
      <w:r>
        <w:rPr>
          <w:rFonts w:ascii="Calibri" w:hAnsi="Calibri" w:cs="Calibri" w:eastAsia="Calibri"/>
          <w:i/>
          <w:color w:val="231F20"/>
          <w:spacing w:val="-1"/>
          <w:w w:val="105"/>
          <w:sz w:val="13"/>
          <w:szCs w:val="13"/>
        </w:rPr>
        <w:t>and</w:t>
      </w:r>
      <w:r>
        <w:rPr>
          <w:rFonts w:ascii="Calibri" w:hAnsi="Calibri" w:cs="Calibri" w:eastAsia="Calibri"/>
          <w:i/>
          <w:color w:val="231F20"/>
          <w:spacing w:val="-9"/>
          <w:w w:val="105"/>
          <w:sz w:val="13"/>
          <w:szCs w:val="13"/>
        </w:rPr>
        <w:t> </w:t>
      </w:r>
      <w:r>
        <w:rPr>
          <w:rFonts w:ascii="Calibri" w:hAnsi="Calibri" w:cs="Calibri" w:eastAsia="Calibri"/>
          <w:i/>
          <w:color w:val="231F20"/>
          <w:spacing w:val="-1"/>
          <w:w w:val="105"/>
          <w:sz w:val="13"/>
          <w:szCs w:val="13"/>
        </w:rPr>
        <w:t>Not‐for‐profits</w:t>
      </w:r>
      <w:r>
        <w:rPr>
          <w:rFonts w:ascii="Calibri" w:hAnsi="Calibri" w:cs="Calibri" w:eastAsia="Calibri"/>
          <w:i/>
          <w:color w:val="231F20"/>
          <w:spacing w:val="-10"/>
          <w:w w:val="105"/>
          <w:sz w:val="13"/>
          <w:szCs w:val="13"/>
        </w:rPr>
        <w:t> </w:t>
      </w:r>
      <w:r>
        <w:rPr>
          <w:rFonts w:ascii="Calibri" w:hAnsi="Calibri" w:cs="Calibri" w:eastAsia="Calibri"/>
          <w:i/>
          <w:color w:val="231F20"/>
          <w:spacing w:val="-1"/>
          <w:w w:val="105"/>
          <w:sz w:val="13"/>
          <w:szCs w:val="13"/>
        </w:rPr>
        <w:t>Commission</w:t>
      </w:r>
      <w:r>
        <w:rPr>
          <w:rFonts w:ascii="Calibri" w:hAnsi="Calibri" w:cs="Calibri" w:eastAsia="Calibri"/>
          <w:i/>
          <w:color w:val="231F20"/>
          <w:spacing w:val="-9"/>
          <w:w w:val="105"/>
          <w:sz w:val="13"/>
          <w:szCs w:val="13"/>
        </w:rPr>
        <w:t> </w:t>
      </w:r>
      <w:r>
        <w:rPr>
          <w:rFonts w:ascii="Calibri" w:hAnsi="Calibri" w:cs="Calibri" w:eastAsia="Calibri"/>
          <w:i/>
          <w:color w:val="231F20"/>
          <w:w w:val="105"/>
          <w:sz w:val="13"/>
          <w:szCs w:val="13"/>
        </w:rPr>
        <w:t>Act</w:t>
      </w:r>
      <w:r>
        <w:rPr>
          <w:rFonts w:ascii="Calibri" w:hAnsi="Calibri" w:cs="Calibri" w:eastAsia="Calibri"/>
          <w:i/>
          <w:color w:val="231F20"/>
          <w:spacing w:val="-9"/>
          <w:w w:val="105"/>
          <w:sz w:val="13"/>
          <w:szCs w:val="13"/>
        </w:rPr>
        <w:t> </w:t>
      </w:r>
      <w:r>
        <w:rPr>
          <w:rFonts w:ascii="Calibri" w:hAnsi="Calibri" w:cs="Calibri" w:eastAsia="Calibri"/>
          <w:i/>
          <w:color w:val="231F20"/>
          <w:w w:val="105"/>
          <w:sz w:val="13"/>
          <w:szCs w:val="13"/>
        </w:rPr>
        <w:t>2012</w:t>
      </w:r>
      <w:r>
        <w:rPr>
          <w:rFonts w:ascii="Calibri" w:hAnsi="Calibri" w:cs="Calibri" w:eastAsia="Calibri"/>
          <w:color w:val="231F20"/>
          <w:w w:val="105"/>
          <w:sz w:val="13"/>
          <w:szCs w:val="13"/>
        </w:rPr>
        <w:t>;</w:t>
      </w:r>
      <w:r>
        <w:rPr>
          <w:rFonts w:ascii="Calibri" w:hAnsi="Calibri" w:cs="Calibri" w:eastAsia="Calibri"/>
          <w:color w:val="231F20"/>
          <w:spacing w:val="-10"/>
          <w:w w:val="105"/>
          <w:sz w:val="13"/>
          <w:szCs w:val="13"/>
        </w:rPr>
        <w:t> </w:t>
      </w:r>
      <w:r>
        <w:rPr>
          <w:rFonts w:ascii="Calibri" w:hAnsi="Calibri" w:cs="Calibri" w:eastAsia="Calibri"/>
          <w:color w:val="231F20"/>
          <w:w w:val="105"/>
          <w:sz w:val="13"/>
          <w:szCs w:val="13"/>
        </w:rPr>
        <w:t>and</w:t>
      </w:r>
      <w:r>
        <w:rPr>
          <w:rFonts w:ascii="Calibri" w:hAnsi="Calibri" w:cs="Calibri" w:eastAsia="Calibri"/>
          <w:sz w:val="13"/>
          <w:szCs w:val="13"/>
        </w:rPr>
      </w:r>
    </w:p>
    <w:p>
      <w:pPr>
        <w:spacing w:line="240" w:lineRule="auto" w:before="3"/>
        <w:rPr>
          <w:rFonts w:ascii="Calibri" w:hAnsi="Calibri" w:cs="Calibri" w:eastAsia="Calibri"/>
          <w:sz w:val="13"/>
          <w:szCs w:val="13"/>
        </w:rPr>
      </w:pPr>
    </w:p>
    <w:p>
      <w:pPr>
        <w:numPr>
          <w:ilvl w:val="0"/>
          <w:numId w:val="2"/>
        </w:numPr>
        <w:tabs>
          <w:tab w:pos="2049" w:val="left" w:leader="none"/>
        </w:tabs>
        <w:spacing w:before="0"/>
        <w:ind w:left="2048" w:right="0" w:hanging="482"/>
        <w:jc w:val="left"/>
        <w:rPr>
          <w:rFonts w:ascii="Calibri" w:hAnsi="Calibri" w:cs="Calibri" w:eastAsia="Calibri"/>
          <w:sz w:val="13"/>
          <w:szCs w:val="13"/>
        </w:rPr>
      </w:pPr>
      <w:r>
        <w:rPr>
          <w:rFonts w:ascii="Calibri"/>
          <w:color w:val="231F20"/>
          <w:w w:val="105"/>
          <w:sz w:val="13"/>
        </w:rPr>
        <w:t>no</w:t>
      </w:r>
      <w:r>
        <w:rPr>
          <w:rFonts w:ascii="Calibri"/>
          <w:color w:val="231F20"/>
          <w:spacing w:val="-10"/>
          <w:w w:val="105"/>
          <w:sz w:val="13"/>
        </w:rPr>
        <w:t> </w:t>
      </w:r>
      <w:r>
        <w:rPr>
          <w:rFonts w:ascii="Calibri"/>
          <w:color w:val="231F20"/>
          <w:w w:val="105"/>
          <w:sz w:val="13"/>
        </w:rPr>
        <w:t>contravention</w:t>
      </w:r>
      <w:r>
        <w:rPr>
          <w:rFonts w:ascii="Calibri"/>
          <w:color w:val="231F20"/>
          <w:spacing w:val="-9"/>
          <w:w w:val="105"/>
          <w:sz w:val="13"/>
        </w:rPr>
        <w:t> </w:t>
      </w:r>
      <w:r>
        <w:rPr>
          <w:rFonts w:ascii="Calibri"/>
          <w:color w:val="231F20"/>
          <w:w w:val="105"/>
          <w:sz w:val="13"/>
        </w:rPr>
        <w:t>of</w:t>
      </w:r>
      <w:r>
        <w:rPr>
          <w:rFonts w:ascii="Calibri"/>
          <w:color w:val="231F20"/>
          <w:spacing w:val="-10"/>
          <w:w w:val="105"/>
          <w:sz w:val="13"/>
        </w:rPr>
        <w:t> </w:t>
      </w:r>
      <w:r>
        <w:rPr>
          <w:rFonts w:ascii="Calibri"/>
          <w:color w:val="231F20"/>
          <w:spacing w:val="-1"/>
          <w:w w:val="105"/>
          <w:sz w:val="13"/>
        </w:rPr>
        <w:t>any</w:t>
      </w:r>
      <w:r>
        <w:rPr>
          <w:rFonts w:ascii="Calibri"/>
          <w:color w:val="231F20"/>
          <w:spacing w:val="-9"/>
          <w:w w:val="105"/>
          <w:sz w:val="13"/>
        </w:rPr>
        <w:t> </w:t>
      </w:r>
      <w:r>
        <w:rPr>
          <w:rFonts w:ascii="Calibri"/>
          <w:color w:val="231F20"/>
          <w:spacing w:val="-1"/>
          <w:w w:val="105"/>
          <w:sz w:val="13"/>
        </w:rPr>
        <w:t>applicable</w:t>
      </w:r>
      <w:r>
        <w:rPr>
          <w:rFonts w:ascii="Calibri"/>
          <w:color w:val="231F20"/>
          <w:spacing w:val="-10"/>
          <w:w w:val="105"/>
          <w:sz w:val="13"/>
        </w:rPr>
        <w:t> </w:t>
      </w:r>
      <w:r>
        <w:rPr>
          <w:rFonts w:ascii="Calibri"/>
          <w:color w:val="231F20"/>
          <w:w w:val="105"/>
          <w:sz w:val="13"/>
        </w:rPr>
        <w:t>code</w:t>
      </w:r>
      <w:r>
        <w:rPr>
          <w:rFonts w:ascii="Calibri"/>
          <w:color w:val="231F20"/>
          <w:spacing w:val="-9"/>
          <w:w w:val="105"/>
          <w:sz w:val="13"/>
        </w:rPr>
        <w:t> </w:t>
      </w:r>
      <w:r>
        <w:rPr>
          <w:rFonts w:ascii="Calibri"/>
          <w:color w:val="231F20"/>
          <w:w w:val="105"/>
          <w:sz w:val="13"/>
        </w:rPr>
        <w:t>of</w:t>
      </w:r>
      <w:r>
        <w:rPr>
          <w:rFonts w:ascii="Calibri"/>
          <w:color w:val="231F20"/>
          <w:spacing w:val="-10"/>
          <w:w w:val="105"/>
          <w:sz w:val="13"/>
        </w:rPr>
        <w:t> </w:t>
      </w:r>
      <w:r>
        <w:rPr>
          <w:rFonts w:ascii="Calibri"/>
          <w:color w:val="231F20"/>
          <w:w w:val="105"/>
          <w:sz w:val="13"/>
        </w:rPr>
        <w:t>professional</w:t>
      </w:r>
      <w:r>
        <w:rPr>
          <w:rFonts w:ascii="Calibri"/>
          <w:color w:val="231F20"/>
          <w:spacing w:val="-9"/>
          <w:w w:val="105"/>
          <w:sz w:val="13"/>
        </w:rPr>
        <w:t> </w:t>
      </w:r>
      <w:r>
        <w:rPr>
          <w:rFonts w:ascii="Calibri"/>
          <w:color w:val="231F20"/>
          <w:w w:val="105"/>
          <w:sz w:val="13"/>
        </w:rPr>
        <w:t>conduct.</w:t>
      </w:r>
      <w:r>
        <w:rPr>
          <w:rFonts w:ascii="Calibri"/>
          <w:sz w:val="13"/>
        </w:rPr>
      </w:r>
    </w:p>
    <w:p>
      <w:pPr>
        <w:spacing w:line="240" w:lineRule="auto" w:before="0"/>
        <w:rPr>
          <w:rFonts w:ascii="Calibri" w:hAnsi="Calibri" w:cs="Calibri" w:eastAsia="Calibri"/>
          <w:sz w:val="12"/>
          <w:szCs w:val="12"/>
        </w:rPr>
      </w:pPr>
    </w:p>
    <w:p>
      <w:pPr>
        <w:spacing w:line="240" w:lineRule="auto" w:before="3"/>
        <w:rPr>
          <w:rFonts w:ascii="Calibri" w:hAnsi="Calibri" w:cs="Calibri" w:eastAsia="Calibri"/>
          <w:sz w:val="16"/>
          <w:szCs w:val="16"/>
        </w:rPr>
      </w:pPr>
    </w:p>
    <w:p>
      <w:pPr>
        <w:spacing w:before="0"/>
        <w:ind w:left="1459" w:right="0" w:firstLine="0"/>
        <w:jc w:val="both"/>
        <w:rPr>
          <w:rFonts w:ascii="Calibri" w:hAnsi="Calibri" w:cs="Calibri" w:eastAsia="Calibri"/>
          <w:sz w:val="13"/>
          <w:szCs w:val="13"/>
        </w:rPr>
      </w:pPr>
      <w:r>
        <w:rPr>
          <w:rFonts w:ascii="Calibri"/>
          <w:color w:val="231F20"/>
          <w:w w:val="105"/>
          <w:sz w:val="13"/>
        </w:rPr>
        <w:t>Australian</w:t>
      </w:r>
      <w:r>
        <w:rPr>
          <w:rFonts w:ascii="Calibri"/>
          <w:color w:val="231F20"/>
          <w:spacing w:val="-13"/>
          <w:w w:val="105"/>
          <w:sz w:val="13"/>
        </w:rPr>
        <w:t> </w:t>
      </w:r>
      <w:r>
        <w:rPr>
          <w:rFonts w:ascii="Calibri"/>
          <w:color w:val="231F20"/>
          <w:spacing w:val="-1"/>
          <w:w w:val="105"/>
          <w:sz w:val="13"/>
        </w:rPr>
        <w:t>National</w:t>
      </w:r>
      <w:r>
        <w:rPr>
          <w:rFonts w:ascii="Calibri"/>
          <w:color w:val="231F20"/>
          <w:spacing w:val="-12"/>
          <w:w w:val="105"/>
          <w:sz w:val="13"/>
        </w:rPr>
        <w:t> </w:t>
      </w:r>
      <w:r>
        <w:rPr>
          <w:rFonts w:ascii="Calibri"/>
          <w:color w:val="231F20"/>
          <w:w w:val="105"/>
          <w:sz w:val="13"/>
        </w:rPr>
        <w:t>Audit</w:t>
      </w:r>
      <w:r>
        <w:rPr>
          <w:rFonts w:ascii="Calibri"/>
          <w:color w:val="231F20"/>
          <w:spacing w:val="-12"/>
          <w:w w:val="105"/>
          <w:sz w:val="13"/>
        </w:rPr>
        <w:t> </w:t>
      </w:r>
      <w:r>
        <w:rPr>
          <w:rFonts w:ascii="Calibri"/>
          <w:color w:val="231F20"/>
          <w:spacing w:val="-1"/>
          <w:w w:val="105"/>
          <w:sz w:val="13"/>
        </w:rPr>
        <w:t>Office</w:t>
      </w:r>
      <w:r>
        <w:rPr>
          <w:rFonts w:ascii="Calibri"/>
          <w:sz w:val="13"/>
        </w:rPr>
      </w:r>
    </w:p>
    <w:p>
      <w:pPr>
        <w:spacing w:line="240" w:lineRule="auto" w:before="0"/>
        <w:rPr>
          <w:rFonts w:ascii="Calibri" w:hAnsi="Calibri" w:cs="Calibri" w:eastAsia="Calibri"/>
          <w:sz w:val="12"/>
          <w:szCs w:val="12"/>
        </w:rPr>
      </w:pPr>
    </w:p>
    <w:p>
      <w:pPr>
        <w:spacing w:line="240" w:lineRule="auto" w:before="0"/>
        <w:rPr>
          <w:rFonts w:ascii="Calibri" w:hAnsi="Calibri" w:cs="Calibri" w:eastAsia="Calibri"/>
          <w:sz w:val="12"/>
          <w:szCs w:val="12"/>
        </w:rPr>
      </w:pPr>
    </w:p>
    <w:p>
      <w:pPr>
        <w:spacing w:line="240" w:lineRule="auto" w:before="0"/>
        <w:rPr>
          <w:rFonts w:ascii="Calibri" w:hAnsi="Calibri" w:cs="Calibri" w:eastAsia="Calibri"/>
          <w:sz w:val="12"/>
          <w:szCs w:val="12"/>
        </w:rPr>
      </w:pPr>
    </w:p>
    <w:p>
      <w:pPr>
        <w:spacing w:line="240" w:lineRule="auto" w:before="0"/>
        <w:rPr>
          <w:rFonts w:ascii="Calibri" w:hAnsi="Calibri" w:cs="Calibri" w:eastAsia="Calibri"/>
          <w:sz w:val="12"/>
          <w:szCs w:val="12"/>
        </w:rPr>
      </w:pPr>
    </w:p>
    <w:p>
      <w:pPr>
        <w:spacing w:line="240" w:lineRule="auto" w:before="0"/>
        <w:rPr>
          <w:rFonts w:ascii="Calibri" w:hAnsi="Calibri" w:cs="Calibri" w:eastAsia="Calibri"/>
          <w:sz w:val="12"/>
          <w:szCs w:val="12"/>
        </w:rPr>
      </w:pPr>
    </w:p>
    <w:p>
      <w:pPr>
        <w:spacing w:line="240" w:lineRule="auto" w:before="10"/>
        <w:rPr>
          <w:rFonts w:ascii="Calibri" w:hAnsi="Calibri" w:cs="Calibri" w:eastAsia="Calibri"/>
          <w:sz w:val="10"/>
          <w:szCs w:val="10"/>
        </w:rPr>
      </w:pPr>
    </w:p>
    <w:p>
      <w:pPr>
        <w:spacing w:line="246" w:lineRule="auto" w:before="0"/>
        <w:ind w:left="1459" w:right="5647" w:firstLine="0"/>
        <w:jc w:val="left"/>
        <w:rPr>
          <w:rFonts w:ascii="Calibri" w:hAnsi="Calibri" w:cs="Calibri" w:eastAsia="Calibri"/>
          <w:sz w:val="13"/>
          <w:szCs w:val="13"/>
        </w:rPr>
      </w:pPr>
      <w:r>
        <w:rPr>
          <w:rFonts w:ascii="Calibri"/>
          <w:color w:val="231F20"/>
          <w:w w:val="105"/>
          <w:sz w:val="13"/>
        </w:rPr>
        <w:t>Josephine</w:t>
      </w:r>
      <w:r>
        <w:rPr>
          <w:rFonts w:ascii="Calibri"/>
          <w:color w:val="231F20"/>
          <w:spacing w:val="-20"/>
          <w:w w:val="105"/>
          <w:sz w:val="13"/>
        </w:rPr>
        <w:t> </w:t>
      </w:r>
      <w:r>
        <w:rPr>
          <w:rFonts w:ascii="Calibri"/>
          <w:color w:val="231F20"/>
          <w:spacing w:val="-1"/>
          <w:w w:val="105"/>
          <w:sz w:val="13"/>
        </w:rPr>
        <w:t>Bushell</w:t>
      </w:r>
      <w:r>
        <w:rPr>
          <w:rFonts w:ascii="Calibri"/>
          <w:color w:val="231F20"/>
          <w:spacing w:val="25"/>
          <w:w w:val="103"/>
          <w:sz w:val="13"/>
        </w:rPr>
        <w:t> </w:t>
      </w:r>
      <w:r>
        <w:rPr>
          <w:rFonts w:ascii="Calibri"/>
          <w:color w:val="231F20"/>
          <w:w w:val="105"/>
          <w:sz w:val="13"/>
        </w:rPr>
        <w:t>Senior</w:t>
      </w:r>
      <w:r>
        <w:rPr>
          <w:rFonts w:ascii="Calibri"/>
          <w:color w:val="231F20"/>
          <w:spacing w:val="-17"/>
          <w:w w:val="105"/>
          <w:sz w:val="13"/>
        </w:rPr>
        <w:t> </w:t>
      </w:r>
      <w:r>
        <w:rPr>
          <w:rFonts w:ascii="Calibri"/>
          <w:color w:val="231F20"/>
          <w:spacing w:val="-1"/>
          <w:w w:val="105"/>
          <w:sz w:val="13"/>
        </w:rPr>
        <w:t>Director</w:t>
      </w:r>
      <w:r>
        <w:rPr>
          <w:rFonts w:ascii="Calibri"/>
          <w:sz w:val="13"/>
        </w:rPr>
      </w:r>
    </w:p>
    <w:p>
      <w:pPr>
        <w:spacing w:line="240" w:lineRule="auto" w:before="5"/>
        <w:rPr>
          <w:rFonts w:ascii="Calibri" w:hAnsi="Calibri" w:cs="Calibri" w:eastAsia="Calibri"/>
          <w:sz w:val="13"/>
          <w:szCs w:val="13"/>
        </w:rPr>
      </w:pPr>
    </w:p>
    <w:p>
      <w:pPr>
        <w:spacing w:line="494" w:lineRule="auto" w:before="0"/>
        <w:ind w:left="1459" w:right="5054" w:firstLine="0"/>
        <w:jc w:val="left"/>
        <w:rPr>
          <w:rFonts w:ascii="Calibri" w:hAnsi="Calibri" w:cs="Calibri" w:eastAsia="Calibri"/>
          <w:sz w:val="13"/>
          <w:szCs w:val="13"/>
        </w:rPr>
      </w:pPr>
      <w:r>
        <w:rPr>
          <w:rFonts w:ascii="Calibri" w:hAnsi="Calibri" w:cs="Calibri" w:eastAsia="Calibri"/>
          <w:color w:val="231F20"/>
          <w:spacing w:val="-1"/>
          <w:w w:val="105"/>
          <w:sz w:val="13"/>
          <w:szCs w:val="13"/>
        </w:rPr>
        <w:t>Delegate</w:t>
      </w:r>
      <w:r>
        <w:rPr>
          <w:rFonts w:ascii="Calibri" w:hAnsi="Calibri" w:cs="Calibri" w:eastAsia="Calibri"/>
          <w:color w:val="231F20"/>
          <w:spacing w:val="-13"/>
          <w:w w:val="105"/>
          <w:sz w:val="13"/>
          <w:szCs w:val="13"/>
        </w:rPr>
        <w:t> </w:t>
      </w:r>
      <w:r>
        <w:rPr>
          <w:rFonts w:ascii="Calibri" w:hAnsi="Calibri" w:cs="Calibri" w:eastAsia="Calibri"/>
          <w:color w:val="231F20"/>
          <w:spacing w:val="-1"/>
          <w:w w:val="105"/>
          <w:sz w:val="13"/>
          <w:szCs w:val="13"/>
        </w:rPr>
        <w:t>of</w:t>
      </w:r>
      <w:r>
        <w:rPr>
          <w:rFonts w:ascii="Calibri" w:hAnsi="Calibri" w:cs="Calibri" w:eastAsia="Calibri"/>
          <w:color w:val="231F20"/>
          <w:spacing w:val="-12"/>
          <w:w w:val="105"/>
          <w:sz w:val="13"/>
          <w:szCs w:val="13"/>
        </w:rPr>
        <w:t> </w:t>
      </w:r>
      <w:r>
        <w:rPr>
          <w:rFonts w:ascii="Calibri" w:hAnsi="Calibri" w:cs="Calibri" w:eastAsia="Calibri"/>
          <w:color w:val="231F20"/>
          <w:spacing w:val="-1"/>
          <w:w w:val="105"/>
          <w:sz w:val="13"/>
          <w:szCs w:val="13"/>
        </w:rPr>
        <w:t>the</w:t>
      </w:r>
      <w:r>
        <w:rPr>
          <w:rFonts w:ascii="Calibri" w:hAnsi="Calibri" w:cs="Calibri" w:eastAsia="Calibri"/>
          <w:color w:val="231F20"/>
          <w:spacing w:val="-12"/>
          <w:w w:val="105"/>
          <w:sz w:val="13"/>
          <w:szCs w:val="13"/>
        </w:rPr>
        <w:t> </w:t>
      </w:r>
      <w:r>
        <w:rPr>
          <w:rFonts w:ascii="Calibri" w:hAnsi="Calibri" w:cs="Calibri" w:eastAsia="Calibri"/>
          <w:color w:val="231F20"/>
          <w:spacing w:val="-1"/>
          <w:w w:val="105"/>
          <w:sz w:val="13"/>
          <w:szCs w:val="13"/>
        </w:rPr>
        <w:t>Auditor‐General</w:t>
      </w:r>
      <w:r>
        <w:rPr>
          <w:rFonts w:ascii="Calibri" w:hAnsi="Calibri" w:cs="Calibri" w:eastAsia="Calibri"/>
          <w:color w:val="231F20"/>
          <w:spacing w:val="23"/>
          <w:w w:val="103"/>
          <w:sz w:val="13"/>
          <w:szCs w:val="13"/>
        </w:rPr>
        <w:t> </w:t>
      </w:r>
      <w:r>
        <w:rPr>
          <w:rFonts w:ascii="Calibri" w:hAnsi="Calibri" w:cs="Calibri" w:eastAsia="Calibri"/>
          <w:color w:val="231F20"/>
          <w:w w:val="105"/>
          <w:sz w:val="13"/>
          <w:szCs w:val="13"/>
        </w:rPr>
        <w:t>Canberra</w:t>
      </w:r>
      <w:r>
        <w:rPr>
          <w:rFonts w:ascii="Calibri" w:hAnsi="Calibri" w:cs="Calibri" w:eastAsia="Calibri"/>
          <w:sz w:val="13"/>
          <w:szCs w:val="13"/>
        </w:rPr>
      </w:r>
    </w:p>
    <w:p>
      <w:pPr>
        <w:spacing w:before="0"/>
        <w:ind w:left="1459" w:right="0" w:firstLine="0"/>
        <w:jc w:val="both"/>
        <w:rPr>
          <w:rFonts w:ascii="Calibri" w:hAnsi="Calibri" w:cs="Calibri" w:eastAsia="Calibri"/>
          <w:sz w:val="13"/>
          <w:szCs w:val="13"/>
        </w:rPr>
      </w:pPr>
      <w:r>
        <w:rPr>
          <w:rFonts w:ascii="Calibri"/>
          <w:color w:val="231F20"/>
          <w:w w:val="105"/>
          <w:sz w:val="13"/>
        </w:rPr>
        <w:t>8</w:t>
      </w:r>
      <w:r>
        <w:rPr>
          <w:rFonts w:ascii="Calibri"/>
          <w:color w:val="231F20"/>
          <w:spacing w:val="-10"/>
          <w:w w:val="105"/>
          <w:sz w:val="13"/>
        </w:rPr>
        <w:t> </w:t>
      </w:r>
      <w:r>
        <w:rPr>
          <w:rFonts w:ascii="Calibri"/>
          <w:color w:val="231F20"/>
          <w:spacing w:val="-1"/>
          <w:w w:val="105"/>
          <w:sz w:val="13"/>
        </w:rPr>
        <w:t>October</w:t>
      </w:r>
      <w:r>
        <w:rPr>
          <w:rFonts w:ascii="Calibri"/>
          <w:color w:val="231F20"/>
          <w:spacing w:val="-9"/>
          <w:w w:val="105"/>
          <w:sz w:val="13"/>
        </w:rPr>
        <w:t> </w:t>
      </w:r>
      <w:r>
        <w:rPr>
          <w:rFonts w:ascii="Calibri"/>
          <w:color w:val="231F20"/>
          <w:spacing w:val="-1"/>
          <w:w w:val="105"/>
          <w:sz w:val="13"/>
        </w:rPr>
        <w:t>2019</w:t>
      </w:r>
      <w:r>
        <w:rPr>
          <w:rFonts w:ascii="Calibri"/>
          <w:sz w:val="13"/>
        </w:rPr>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2"/>
        <w:rPr>
          <w:rFonts w:ascii="Calibri" w:hAnsi="Calibri" w:cs="Calibri" w:eastAsia="Calibri"/>
          <w:sz w:val="28"/>
          <w:szCs w:val="28"/>
        </w:rPr>
      </w:pPr>
    </w:p>
    <w:p>
      <w:pPr>
        <w:spacing w:line="240" w:lineRule="auto" w:before="6"/>
        <w:rPr>
          <w:rFonts w:ascii="Calibri" w:hAnsi="Calibri" w:cs="Calibri" w:eastAsia="Calibri"/>
          <w:sz w:val="7"/>
          <w:szCs w:val="7"/>
        </w:rPr>
      </w:pPr>
    </w:p>
    <w:p>
      <w:pPr>
        <w:spacing w:before="0"/>
        <w:ind w:left="5269" w:right="0" w:firstLine="0"/>
        <w:jc w:val="left"/>
        <w:rPr>
          <w:rFonts w:ascii="Arial" w:hAnsi="Arial" w:cs="Arial" w:eastAsia="Arial"/>
          <w:sz w:val="9"/>
          <w:szCs w:val="9"/>
        </w:rPr>
      </w:pPr>
      <w:r>
        <w:rPr>
          <w:rFonts w:ascii="Arial"/>
          <w:color w:val="231F20"/>
          <w:w w:val="105"/>
          <w:sz w:val="9"/>
        </w:rPr>
        <w:t>GPO</w:t>
      </w:r>
      <w:r>
        <w:rPr>
          <w:rFonts w:ascii="Arial"/>
          <w:color w:val="231F20"/>
          <w:spacing w:val="-3"/>
          <w:w w:val="105"/>
          <w:sz w:val="9"/>
        </w:rPr>
        <w:t> </w:t>
      </w:r>
      <w:r>
        <w:rPr>
          <w:rFonts w:ascii="Arial"/>
          <w:color w:val="231F20"/>
          <w:spacing w:val="-1"/>
          <w:w w:val="105"/>
          <w:sz w:val="9"/>
        </w:rPr>
        <w:t>Box</w:t>
      </w:r>
      <w:r>
        <w:rPr>
          <w:rFonts w:ascii="Arial"/>
          <w:color w:val="231F20"/>
          <w:spacing w:val="-3"/>
          <w:w w:val="105"/>
          <w:sz w:val="9"/>
        </w:rPr>
        <w:t> </w:t>
      </w:r>
      <w:r>
        <w:rPr>
          <w:rFonts w:ascii="Arial"/>
          <w:color w:val="231F20"/>
          <w:w w:val="105"/>
          <w:sz w:val="9"/>
        </w:rPr>
        <w:t>707</w:t>
      </w:r>
      <w:r>
        <w:rPr>
          <w:rFonts w:ascii="Arial"/>
          <w:color w:val="231F20"/>
          <w:spacing w:val="-2"/>
          <w:w w:val="105"/>
          <w:sz w:val="9"/>
        </w:rPr>
        <w:t> </w:t>
      </w:r>
      <w:r>
        <w:rPr>
          <w:rFonts w:ascii="Arial"/>
          <w:color w:val="231F20"/>
          <w:w w:val="105"/>
          <w:sz w:val="9"/>
        </w:rPr>
        <w:t>CANBERRA</w:t>
      </w:r>
      <w:r>
        <w:rPr>
          <w:rFonts w:ascii="Arial"/>
          <w:color w:val="231F20"/>
          <w:spacing w:val="22"/>
          <w:w w:val="105"/>
          <w:sz w:val="9"/>
        </w:rPr>
        <w:t> </w:t>
      </w:r>
      <w:r>
        <w:rPr>
          <w:rFonts w:ascii="Arial"/>
          <w:color w:val="231F20"/>
          <w:w w:val="105"/>
          <w:sz w:val="9"/>
        </w:rPr>
        <w:t>ACT</w:t>
      </w:r>
      <w:r>
        <w:rPr>
          <w:rFonts w:ascii="Arial"/>
          <w:color w:val="231F20"/>
          <w:spacing w:val="20"/>
          <w:w w:val="105"/>
          <w:sz w:val="9"/>
        </w:rPr>
        <w:t> </w:t>
      </w:r>
      <w:r>
        <w:rPr>
          <w:rFonts w:ascii="Arial"/>
          <w:color w:val="231F20"/>
          <w:spacing w:val="-1"/>
          <w:w w:val="105"/>
          <w:sz w:val="9"/>
        </w:rPr>
        <w:t>2601</w:t>
      </w:r>
      <w:r>
        <w:rPr>
          <w:rFonts w:ascii="Arial"/>
          <w:sz w:val="9"/>
        </w:rPr>
      </w:r>
    </w:p>
    <w:p>
      <w:pPr>
        <w:spacing w:line="249" w:lineRule="auto" w:before="5"/>
        <w:ind w:left="5066" w:right="1135" w:firstLine="406"/>
        <w:jc w:val="left"/>
        <w:rPr>
          <w:rFonts w:ascii="Arial" w:hAnsi="Arial" w:cs="Arial" w:eastAsia="Arial"/>
          <w:sz w:val="9"/>
          <w:szCs w:val="9"/>
        </w:rPr>
      </w:pPr>
      <w:r>
        <w:rPr>
          <w:rFonts w:ascii="Arial"/>
          <w:color w:val="231F20"/>
          <w:w w:val="105"/>
          <w:sz w:val="9"/>
        </w:rPr>
        <w:t>19</w:t>
      </w:r>
      <w:r>
        <w:rPr>
          <w:rFonts w:ascii="Arial"/>
          <w:color w:val="231F20"/>
          <w:spacing w:val="-3"/>
          <w:w w:val="105"/>
          <w:sz w:val="9"/>
        </w:rPr>
        <w:t> </w:t>
      </w:r>
      <w:r>
        <w:rPr>
          <w:rFonts w:ascii="Arial"/>
          <w:color w:val="231F20"/>
          <w:spacing w:val="-1"/>
          <w:w w:val="105"/>
          <w:sz w:val="9"/>
        </w:rPr>
        <w:t>National</w:t>
      </w:r>
      <w:r>
        <w:rPr>
          <w:rFonts w:ascii="Arial"/>
          <w:color w:val="231F20"/>
          <w:spacing w:val="-3"/>
          <w:w w:val="105"/>
          <w:sz w:val="9"/>
        </w:rPr>
        <w:t> </w:t>
      </w:r>
      <w:r>
        <w:rPr>
          <w:rFonts w:ascii="Arial"/>
          <w:color w:val="231F20"/>
          <w:spacing w:val="-1"/>
          <w:w w:val="105"/>
          <w:sz w:val="9"/>
        </w:rPr>
        <w:t>Circuit</w:t>
      </w:r>
      <w:r>
        <w:rPr>
          <w:rFonts w:ascii="Arial"/>
          <w:color w:val="231F20"/>
          <w:spacing w:val="-3"/>
          <w:w w:val="105"/>
          <w:sz w:val="9"/>
        </w:rPr>
        <w:t> </w:t>
      </w:r>
      <w:r>
        <w:rPr>
          <w:rFonts w:ascii="Arial"/>
          <w:color w:val="231F20"/>
          <w:spacing w:val="-1"/>
          <w:w w:val="105"/>
          <w:sz w:val="9"/>
        </w:rPr>
        <w:t>BARTON</w:t>
      </w:r>
      <w:r>
        <w:rPr>
          <w:rFonts w:ascii="Arial"/>
          <w:color w:val="231F20"/>
          <w:spacing w:val="21"/>
          <w:w w:val="105"/>
          <w:sz w:val="9"/>
        </w:rPr>
        <w:t> </w:t>
      </w:r>
      <w:r>
        <w:rPr>
          <w:rFonts w:ascii="Arial"/>
          <w:color w:val="231F20"/>
          <w:spacing w:val="-1"/>
          <w:w w:val="105"/>
          <w:sz w:val="9"/>
        </w:rPr>
        <w:t>ACT</w:t>
      </w:r>
      <w:r>
        <w:rPr>
          <w:rFonts w:ascii="Arial"/>
          <w:color w:val="231F20"/>
          <w:spacing w:val="31"/>
          <w:w w:val="104"/>
          <w:sz w:val="9"/>
        </w:rPr>
        <w:t> </w:t>
      </w:r>
      <w:r>
        <w:rPr>
          <w:rFonts w:ascii="Arial"/>
          <w:color w:val="231F20"/>
          <w:w w:val="105"/>
          <w:sz w:val="9"/>
        </w:rPr>
        <w:t>Phone</w:t>
      </w:r>
      <w:r>
        <w:rPr>
          <w:rFonts w:ascii="Arial"/>
          <w:color w:val="231F20"/>
          <w:spacing w:val="-2"/>
          <w:w w:val="105"/>
          <w:sz w:val="9"/>
        </w:rPr>
        <w:t> </w:t>
      </w:r>
      <w:r>
        <w:rPr>
          <w:rFonts w:ascii="Arial"/>
          <w:color w:val="231F20"/>
          <w:spacing w:val="-1"/>
          <w:w w:val="105"/>
          <w:sz w:val="9"/>
        </w:rPr>
        <w:t>(02)</w:t>
      </w:r>
      <w:r>
        <w:rPr>
          <w:rFonts w:ascii="Arial"/>
          <w:color w:val="231F20"/>
          <w:spacing w:val="-2"/>
          <w:w w:val="105"/>
          <w:sz w:val="9"/>
        </w:rPr>
        <w:t> </w:t>
      </w:r>
      <w:r>
        <w:rPr>
          <w:rFonts w:ascii="Arial"/>
          <w:color w:val="231F20"/>
          <w:spacing w:val="-1"/>
          <w:w w:val="105"/>
          <w:sz w:val="9"/>
        </w:rPr>
        <w:t>6203</w:t>
      </w:r>
      <w:r>
        <w:rPr>
          <w:rFonts w:ascii="Arial"/>
          <w:color w:val="231F20"/>
          <w:spacing w:val="-2"/>
          <w:w w:val="105"/>
          <w:sz w:val="9"/>
        </w:rPr>
        <w:t> </w:t>
      </w:r>
      <w:r>
        <w:rPr>
          <w:rFonts w:ascii="Arial"/>
          <w:color w:val="231F20"/>
          <w:spacing w:val="-1"/>
          <w:w w:val="105"/>
          <w:sz w:val="9"/>
        </w:rPr>
        <w:t>7300</w:t>
      </w:r>
      <w:r>
        <w:rPr>
          <w:rFonts w:ascii="Arial"/>
          <w:color w:val="231F20"/>
          <w:w w:val="105"/>
          <w:sz w:val="9"/>
        </w:rPr>
        <w:t> </w:t>
      </w:r>
      <w:r>
        <w:rPr>
          <w:rFonts w:ascii="Arial"/>
          <w:color w:val="231F20"/>
          <w:spacing w:val="20"/>
          <w:w w:val="105"/>
          <w:sz w:val="9"/>
        </w:rPr>
        <w:t> </w:t>
      </w:r>
      <w:r>
        <w:rPr>
          <w:rFonts w:ascii="Arial"/>
          <w:color w:val="231F20"/>
          <w:w w:val="105"/>
          <w:sz w:val="9"/>
        </w:rPr>
        <w:t>Fax</w:t>
      </w:r>
      <w:r>
        <w:rPr>
          <w:rFonts w:ascii="Arial"/>
          <w:color w:val="231F20"/>
          <w:spacing w:val="-4"/>
          <w:w w:val="105"/>
          <w:sz w:val="9"/>
        </w:rPr>
        <w:t> </w:t>
      </w:r>
      <w:r>
        <w:rPr>
          <w:rFonts w:ascii="Arial"/>
          <w:color w:val="231F20"/>
          <w:w w:val="105"/>
          <w:sz w:val="9"/>
        </w:rPr>
        <w:t>(02)</w:t>
      </w:r>
      <w:r>
        <w:rPr>
          <w:rFonts w:ascii="Arial"/>
          <w:color w:val="231F20"/>
          <w:spacing w:val="-2"/>
          <w:w w:val="105"/>
          <w:sz w:val="9"/>
        </w:rPr>
        <w:t> </w:t>
      </w:r>
      <w:r>
        <w:rPr>
          <w:rFonts w:ascii="Arial"/>
          <w:color w:val="231F20"/>
          <w:spacing w:val="-1"/>
          <w:w w:val="105"/>
          <w:sz w:val="9"/>
        </w:rPr>
        <w:t>6203</w:t>
      </w:r>
      <w:r>
        <w:rPr>
          <w:rFonts w:ascii="Arial"/>
          <w:color w:val="231F20"/>
          <w:spacing w:val="-3"/>
          <w:w w:val="105"/>
          <w:sz w:val="9"/>
        </w:rPr>
        <w:t> </w:t>
      </w:r>
      <w:r>
        <w:rPr>
          <w:rFonts w:ascii="Arial"/>
          <w:color w:val="231F20"/>
          <w:w w:val="105"/>
          <w:sz w:val="9"/>
        </w:rPr>
        <w:t>7777</w:t>
      </w:r>
      <w:r>
        <w:rPr>
          <w:rFonts w:ascii="Arial"/>
          <w:sz w:val="9"/>
        </w:rPr>
      </w:r>
    </w:p>
    <w:p>
      <w:pPr>
        <w:spacing w:after="0" w:line="249" w:lineRule="auto"/>
        <w:jc w:val="left"/>
        <w:rPr>
          <w:rFonts w:ascii="Arial" w:hAnsi="Arial" w:cs="Arial" w:eastAsia="Arial"/>
          <w:sz w:val="9"/>
          <w:szCs w:val="9"/>
        </w:rPr>
        <w:sectPr>
          <w:footerReference w:type="default" r:id="rId83"/>
          <w:pgSz w:w="9980" w:h="14180"/>
          <w:pgMar w:footer="477" w:header="0" w:top="360" w:bottom="660" w:left="1020" w:right="700"/>
        </w:sectPr>
      </w:pPr>
    </w:p>
    <w:p>
      <w:pPr>
        <w:spacing w:before="46"/>
        <w:ind w:left="103" w:right="0" w:firstLine="0"/>
        <w:jc w:val="left"/>
        <w:rPr>
          <w:rFonts w:ascii="Arial" w:hAnsi="Arial" w:cs="Arial" w:eastAsia="Arial"/>
          <w:sz w:val="26"/>
          <w:szCs w:val="26"/>
        </w:rPr>
      </w:pPr>
      <w:bookmarkStart w:name="INDEPENDENT AUDITOR’S REPORT" w:id="21"/>
      <w:bookmarkEnd w:id="21"/>
      <w:r>
        <w:rPr/>
      </w:r>
      <w:r>
        <w:rPr>
          <w:rFonts w:ascii="Arial"/>
          <w:color w:val="006769"/>
          <w:spacing w:val="-36"/>
          <w:w w:val="90"/>
          <w:sz w:val="26"/>
        </w:rPr>
        <w:t>I</w:t>
      </w:r>
      <w:r>
        <w:rPr>
          <w:rFonts w:ascii="Arial"/>
          <w:color w:val="006769"/>
          <w:w w:val="90"/>
          <w:sz w:val="26"/>
        </w:rPr>
        <w:t>NDEPENDENT</w:t>
      </w:r>
      <w:r>
        <w:rPr>
          <w:rFonts w:ascii="Arial"/>
          <w:color w:val="006769"/>
          <w:spacing w:val="56"/>
          <w:w w:val="90"/>
          <w:sz w:val="26"/>
        </w:rPr>
        <w:t> </w:t>
      </w:r>
      <w:r>
        <w:rPr>
          <w:rFonts w:ascii="Arial"/>
          <w:color w:val="006769"/>
          <w:w w:val="90"/>
          <w:sz w:val="26"/>
        </w:rPr>
        <w:t>A</w:t>
      </w:r>
      <w:r>
        <w:rPr>
          <w:rFonts w:ascii="Arial"/>
          <w:color w:val="006769"/>
          <w:spacing w:val="2"/>
          <w:w w:val="90"/>
          <w:sz w:val="26"/>
        </w:rPr>
        <w:t>U</w:t>
      </w:r>
      <w:r>
        <w:rPr>
          <w:rFonts w:ascii="Arial"/>
          <w:color w:val="006769"/>
          <w:w w:val="90"/>
          <w:sz w:val="26"/>
        </w:rPr>
        <w:t>D</w:t>
      </w:r>
      <w:r>
        <w:rPr>
          <w:rFonts w:ascii="Arial"/>
          <w:color w:val="006769"/>
          <w:spacing w:val="-10"/>
          <w:w w:val="90"/>
          <w:sz w:val="26"/>
        </w:rPr>
        <w:t>I</w:t>
      </w:r>
      <w:r>
        <w:rPr>
          <w:rFonts w:ascii="Arial"/>
          <w:color w:val="006769"/>
          <w:w w:val="90"/>
          <w:sz w:val="26"/>
        </w:rPr>
        <w:t>TOR</w:t>
      </w:r>
      <w:r>
        <w:rPr>
          <w:rFonts w:ascii="Arial"/>
          <w:color w:val="006769"/>
          <w:spacing w:val="9"/>
          <w:w w:val="90"/>
          <w:sz w:val="26"/>
        </w:rPr>
        <w:t>'</w:t>
      </w:r>
      <w:r>
        <w:rPr>
          <w:rFonts w:ascii="Arial"/>
          <w:color w:val="006769"/>
          <w:w w:val="90"/>
          <w:sz w:val="26"/>
        </w:rPr>
        <w:t>S</w:t>
      </w:r>
      <w:r>
        <w:rPr>
          <w:rFonts w:ascii="Arial"/>
          <w:color w:val="006769"/>
          <w:spacing w:val="40"/>
          <w:w w:val="90"/>
          <w:sz w:val="26"/>
        </w:rPr>
        <w:t> </w:t>
      </w:r>
      <w:r>
        <w:rPr>
          <w:rFonts w:ascii="Arial"/>
          <w:color w:val="006769"/>
          <w:w w:val="90"/>
          <w:sz w:val="26"/>
        </w:rPr>
        <w:t>REPORT</w:t>
      </w:r>
      <w:r>
        <w:rPr>
          <w:rFonts w:ascii="Arial"/>
          <w:sz w:val="26"/>
        </w:rPr>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11"/>
        <w:rPr>
          <w:rFonts w:ascii="Arial" w:hAnsi="Arial" w:cs="Arial" w:eastAsia="Arial"/>
          <w:sz w:val="17"/>
          <w:szCs w:val="17"/>
        </w:rPr>
      </w:pPr>
    </w:p>
    <w:p>
      <w:pPr>
        <w:spacing w:line="200" w:lineRule="atLeast"/>
        <w:ind w:left="6296" w:right="0" w:firstLine="0"/>
        <w:rPr>
          <w:rFonts w:ascii="Arial" w:hAnsi="Arial" w:cs="Arial" w:eastAsia="Arial"/>
          <w:sz w:val="20"/>
          <w:szCs w:val="20"/>
        </w:rPr>
      </w:pPr>
      <w:r>
        <w:rPr>
          <w:rFonts w:ascii="Arial" w:hAnsi="Arial" w:cs="Arial" w:eastAsia="Arial"/>
          <w:sz w:val="20"/>
          <w:szCs w:val="20"/>
        </w:rPr>
        <w:drawing>
          <wp:inline distT="0" distB="0" distL="0" distR="0">
            <wp:extent cx="731519" cy="621792"/>
            <wp:effectExtent l="0" t="0" r="0" b="0"/>
            <wp:docPr id="9" name="image56.jpeg" descr=""/>
            <wp:cNvGraphicFramePr>
              <a:graphicFrameLocks noChangeAspect="1"/>
            </wp:cNvGraphicFramePr>
            <a:graphic>
              <a:graphicData uri="http://schemas.openxmlformats.org/drawingml/2006/picture">
                <pic:pic>
                  <pic:nvPicPr>
                    <pic:cNvPr id="10" name="image56.jpeg"/>
                    <pic:cNvPicPr/>
                  </pic:nvPicPr>
                  <pic:blipFill>
                    <a:blip r:embed="rId87" cstate="print"/>
                    <a:stretch>
                      <a:fillRect/>
                    </a:stretch>
                  </pic:blipFill>
                  <pic:spPr>
                    <a:xfrm>
                      <a:off x="0" y="0"/>
                      <a:ext cx="731519" cy="621792"/>
                    </a:xfrm>
                    <a:prstGeom prst="rect">
                      <a:avLst/>
                    </a:prstGeom>
                  </pic:spPr>
                </pic:pic>
              </a:graphicData>
            </a:graphic>
          </wp:inline>
        </w:drawing>
      </w:r>
      <w:r>
        <w:rPr>
          <w:rFonts w:ascii="Arial" w:hAnsi="Arial" w:cs="Arial" w:eastAsia="Arial"/>
          <w:sz w:val="20"/>
          <w:szCs w:val="20"/>
        </w:rPr>
      </w:r>
    </w:p>
    <w:p>
      <w:pPr>
        <w:spacing w:after="0" w:line="200" w:lineRule="atLeast"/>
        <w:rPr>
          <w:rFonts w:ascii="Arial" w:hAnsi="Arial" w:cs="Arial" w:eastAsia="Arial"/>
          <w:sz w:val="20"/>
          <w:szCs w:val="20"/>
        </w:rPr>
        <w:sectPr>
          <w:footerReference w:type="even" r:id="rId86"/>
          <w:pgSz w:w="9980" w:h="14180"/>
          <w:pgMar w:footer="0" w:header="0" w:top="1020" w:bottom="280" w:left="760" w:right="960"/>
        </w:sectPr>
      </w:pPr>
    </w:p>
    <w:p>
      <w:pPr>
        <w:spacing w:line="240" w:lineRule="auto" w:before="0"/>
        <w:rPr>
          <w:rFonts w:ascii="Arial" w:hAnsi="Arial" w:cs="Arial" w:eastAsia="Arial"/>
          <w:sz w:val="16"/>
          <w:szCs w:val="16"/>
        </w:rPr>
      </w:pPr>
    </w:p>
    <w:p>
      <w:pPr>
        <w:spacing w:line="240" w:lineRule="auto" w:before="3"/>
        <w:rPr>
          <w:rFonts w:ascii="Arial" w:hAnsi="Arial" w:cs="Arial" w:eastAsia="Arial"/>
          <w:sz w:val="23"/>
          <w:szCs w:val="23"/>
        </w:rPr>
      </w:pPr>
    </w:p>
    <w:p>
      <w:pPr>
        <w:spacing w:before="0"/>
        <w:ind w:left="948" w:right="0" w:firstLine="0"/>
        <w:jc w:val="left"/>
        <w:rPr>
          <w:rFonts w:ascii="Arial" w:hAnsi="Arial" w:cs="Arial" w:eastAsia="Arial"/>
          <w:sz w:val="16"/>
          <w:szCs w:val="16"/>
        </w:rPr>
      </w:pPr>
      <w:r>
        <w:rPr/>
        <w:pict>
          <v:shape style="position:absolute;margin-left:74.879997pt;margin-top:-62.9007pt;width:61.92pt;height:43.2pt;mso-position-horizontal-relative:page;mso-position-vertical-relative:paragraph;z-index:-181432" type="#_x0000_t75" stroked="false">
            <v:imagedata r:id="rId88" o:title=""/>
          </v:shape>
        </w:pict>
      </w:r>
      <w:r>
        <w:rPr>
          <w:rFonts w:ascii="Arial"/>
          <w:color w:val="3A3838"/>
          <w:spacing w:val="-119"/>
          <w:w w:val="95"/>
          <w:sz w:val="16"/>
        </w:rPr>
        <w:t>I</w:t>
      </w:r>
      <w:r>
        <w:rPr>
          <w:rFonts w:ascii="Arial"/>
          <w:color w:val="3A3838"/>
          <w:spacing w:val="-24"/>
          <w:w w:val="95"/>
          <w:sz w:val="16"/>
        </w:rPr>
        <w:t>N</w:t>
      </w:r>
      <w:r>
        <w:rPr>
          <w:rFonts w:ascii="Arial"/>
          <w:color w:val="3A3838"/>
          <w:w w:val="95"/>
          <w:sz w:val="16"/>
        </w:rPr>
        <w:t>DEPENDENT</w:t>
      </w:r>
      <w:r>
        <w:rPr>
          <w:rFonts w:ascii="Arial"/>
          <w:color w:val="3A3838"/>
          <w:spacing w:val="-25"/>
          <w:w w:val="95"/>
          <w:sz w:val="16"/>
        </w:rPr>
        <w:t> </w:t>
      </w:r>
      <w:r>
        <w:rPr>
          <w:rFonts w:ascii="Arial"/>
          <w:color w:val="4D4B4B"/>
          <w:w w:val="95"/>
          <w:sz w:val="16"/>
        </w:rPr>
        <w:t>AUD</w:t>
      </w:r>
      <w:r>
        <w:rPr>
          <w:rFonts w:ascii="Arial"/>
          <w:color w:val="4D4B4B"/>
          <w:spacing w:val="-7"/>
          <w:w w:val="95"/>
          <w:sz w:val="16"/>
        </w:rPr>
        <w:t>I</w:t>
      </w:r>
      <w:r>
        <w:rPr>
          <w:rFonts w:ascii="Arial"/>
          <w:color w:val="4D4B4B"/>
          <w:w w:val="95"/>
          <w:sz w:val="16"/>
        </w:rPr>
        <w:t>TOR'S</w:t>
      </w:r>
      <w:r>
        <w:rPr>
          <w:rFonts w:ascii="Arial"/>
          <w:color w:val="4D4B4B"/>
          <w:spacing w:val="-28"/>
          <w:w w:val="95"/>
          <w:sz w:val="16"/>
        </w:rPr>
        <w:t> </w:t>
      </w:r>
      <w:r>
        <w:rPr>
          <w:rFonts w:ascii="Arial"/>
          <w:color w:val="4D4B4B"/>
          <w:w w:val="95"/>
          <w:sz w:val="16"/>
        </w:rPr>
        <w:t>REPORT</w:t>
      </w:r>
      <w:r>
        <w:rPr>
          <w:rFonts w:ascii="Arial"/>
          <w:sz w:val="16"/>
        </w:rPr>
      </w:r>
    </w:p>
    <w:p>
      <w:pPr>
        <w:spacing w:line="139" w:lineRule="exact" w:before="10"/>
        <w:ind w:left="719" w:right="628" w:firstLine="0"/>
        <w:jc w:val="center"/>
        <w:rPr>
          <w:rFonts w:ascii="Times New Roman" w:hAnsi="Times New Roman" w:cs="Times New Roman" w:eastAsia="Times New Roman"/>
          <w:sz w:val="14"/>
          <w:szCs w:val="14"/>
        </w:rPr>
      </w:pPr>
      <w:r>
        <w:rPr>
          <w:w w:val="115"/>
        </w:rPr>
        <w:br w:type="column"/>
      </w:r>
      <w:r>
        <w:rPr>
          <w:rFonts w:ascii="Times New Roman"/>
          <w:color w:val="5D5B59"/>
          <w:spacing w:val="-3"/>
          <w:w w:val="115"/>
          <w:sz w:val="14"/>
        </w:rPr>
        <w:t>Aus</w:t>
      </w:r>
      <w:r>
        <w:rPr>
          <w:rFonts w:ascii="Times New Roman"/>
          <w:color w:val="5D5B59"/>
          <w:spacing w:val="-2"/>
          <w:w w:val="115"/>
          <w:sz w:val="14"/>
        </w:rPr>
        <w:t>tralian</w:t>
      </w:r>
      <w:r>
        <w:rPr>
          <w:rFonts w:ascii="Times New Roman"/>
          <w:color w:val="5D5B59"/>
          <w:spacing w:val="5"/>
          <w:w w:val="115"/>
          <w:sz w:val="14"/>
        </w:rPr>
        <w:t> </w:t>
      </w:r>
      <w:r>
        <w:rPr>
          <w:rFonts w:ascii="Times New Roman"/>
          <w:color w:val="4D4B4B"/>
          <w:w w:val="115"/>
          <w:sz w:val="14"/>
        </w:rPr>
        <w:t>National</w:t>
      </w:r>
      <w:r>
        <w:rPr>
          <w:rFonts w:ascii="Times New Roman"/>
          <w:sz w:val="14"/>
        </w:rPr>
      </w:r>
    </w:p>
    <w:p>
      <w:pPr>
        <w:pStyle w:val="Heading4"/>
        <w:spacing w:line="277" w:lineRule="exact"/>
        <w:ind w:left="724" w:right="628"/>
        <w:jc w:val="center"/>
      </w:pPr>
      <w:r>
        <w:rPr>
          <w:color w:val="3A3838"/>
          <w:spacing w:val="-5"/>
          <w:w w:val="115"/>
        </w:rPr>
        <w:t>Au</w:t>
      </w:r>
      <w:r>
        <w:rPr>
          <w:color w:val="3A3838"/>
          <w:spacing w:val="-4"/>
          <w:w w:val="115"/>
        </w:rPr>
        <w:t>d</w:t>
      </w:r>
      <w:r>
        <w:rPr>
          <w:color w:val="3A3838"/>
          <w:spacing w:val="-3"/>
          <w:w w:val="115"/>
        </w:rPr>
        <w:t>it</w:t>
      </w:r>
      <w:r>
        <w:rPr>
          <w:color w:val="3A3838"/>
          <w:spacing w:val="-46"/>
          <w:w w:val="115"/>
        </w:rPr>
        <w:t> </w:t>
      </w:r>
      <w:r>
        <w:rPr>
          <w:color w:val="3A3838"/>
          <w:w w:val="115"/>
        </w:rPr>
        <w:t>Office</w:t>
      </w:r>
      <w:r>
        <w:rPr/>
      </w:r>
    </w:p>
    <w:p>
      <w:pPr>
        <w:spacing w:after="0" w:line="277" w:lineRule="exact"/>
        <w:jc w:val="center"/>
        <w:sectPr>
          <w:type w:val="continuous"/>
          <w:pgSz w:w="9980" w:h="14180"/>
          <w:pgMar w:top="0" w:bottom="280" w:left="760" w:right="960"/>
          <w:cols w:num="2" w:equalWidth="0">
            <w:col w:w="3618" w:space="1767"/>
            <w:col w:w="2875"/>
          </w:cols>
        </w:sectPr>
      </w:pPr>
    </w:p>
    <w:p>
      <w:pPr>
        <w:spacing w:line="326" w:lineRule="auto" w:before="28"/>
        <w:ind w:left="1054" w:right="1763" w:firstLine="0"/>
        <w:jc w:val="left"/>
        <w:rPr>
          <w:rFonts w:ascii="Arial" w:hAnsi="Arial" w:cs="Arial" w:eastAsia="Arial"/>
          <w:sz w:val="14"/>
          <w:szCs w:val="14"/>
        </w:rPr>
      </w:pPr>
      <w:r>
        <w:rPr/>
        <w:pict>
          <v:group style="position:absolute;margin-left:44.274506pt;margin-top:102.521347pt;width:401pt;height:562.65pt;mso-position-horizontal-relative:page;mso-position-vertical-relative:page;z-index:-181408" coordorigin="885,2050" coordsize="8020,11253">
            <v:group style="position:absolute;left:907;top:13260;width:7977;height:2" coordorigin="907,13260" coordsize="7977,2">
              <v:shape style="position:absolute;left:907;top:13260;width:7977;height:2" coordorigin="907,13260" coordsize="7977,0" path="m907,13260l8884,13260e" filled="false" stroked="true" strokeweight="2.159732pt" strokecolor="#bfc3c3">
                <v:path arrowok="t"/>
              </v:shape>
            </v:group>
            <v:group style="position:absolute;left:8862;top:2072;width:2;height:11210" coordorigin="8862,2072" coordsize="2,11210">
              <v:shape style="position:absolute;left:8862;top:2072;width:2;height:11210" coordorigin="8862,2072" coordsize="0,11210" path="m8862,13281l8862,2072e" filled="false" stroked="true" strokeweight="2.159732pt" strokecolor="#bcbfc3">
                <v:path arrowok="t"/>
              </v:shape>
            </v:group>
            <w10:wrap type="none"/>
          </v:group>
        </w:pict>
      </w:r>
      <w:r>
        <w:rPr>
          <w:rFonts w:ascii="Arial" w:hAnsi="Arial" w:cs="Arial" w:eastAsia="Arial"/>
          <w:color w:val="4D4B4B"/>
          <w:spacing w:val="-21"/>
          <w:w w:val="110"/>
          <w:sz w:val="14"/>
          <w:szCs w:val="14"/>
        </w:rPr>
        <w:t>T</w:t>
      </w:r>
      <w:r>
        <w:rPr>
          <w:rFonts w:ascii="Arial" w:hAnsi="Arial" w:cs="Arial" w:eastAsia="Arial"/>
          <w:color w:val="4D4B4B"/>
          <w:spacing w:val="11"/>
          <w:w w:val="110"/>
          <w:sz w:val="14"/>
          <w:szCs w:val="14"/>
        </w:rPr>
        <w:t>o</w:t>
      </w:r>
      <w:r>
        <w:rPr>
          <w:rFonts w:ascii="Arial" w:hAnsi="Arial" w:cs="Arial" w:eastAsia="Arial"/>
          <w:color w:val="4D4B4B"/>
          <w:w w:val="110"/>
          <w:sz w:val="14"/>
          <w:szCs w:val="14"/>
        </w:rPr>
        <w:t>the</w:t>
      </w:r>
      <w:r>
        <w:rPr>
          <w:rFonts w:ascii="Arial" w:hAnsi="Arial" w:cs="Arial" w:eastAsia="Arial"/>
          <w:color w:val="4D4B4B"/>
          <w:spacing w:val="-12"/>
          <w:w w:val="110"/>
          <w:sz w:val="14"/>
          <w:szCs w:val="14"/>
        </w:rPr>
        <w:t> </w:t>
      </w:r>
      <w:r>
        <w:rPr>
          <w:rFonts w:ascii="Arial" w:hAnsi="Arial" w:cs="Arial" w:eastAsia="Arial"/>
          <w:color w:val="5D5B59"/>
          <w:w w:val="110"/>
          <w:sz w:val="14"/>
          <w:szCs w:val="14"/>
        </w:rPr>
        <w:t>mtmbers</w:t>
      </w:r>
      <w:r>
        <w:rPr>
          <w:rFonts w:ascii="Arial" w:hAnsi="Arial" w:cs="Arial" w:eastAsia="Arial"/>
          <w:color w:val="5D5B59"/>
          <w:spacing w:val="-13"/>
          <w:w w:val="110"/>
          <w:sz w:val="14"/>
          <w:szCs w:val="14"/>
        </w:rPr>
        <w:t> </w:t>
      </w:r>
      <w:r>
        <w:rPr>
          <w:rFonts w:ascii="Arial" w:hAnsi="Arial" w:cs="Arial" w:eastAsia="Arial"/>
          <w:color w:val="5D5B59"/>
          <w:w w:val="110"/>
          <w:sz w:val="13"/>
          <w:szCs w:val="13"/>
        </w:rPr>
        <w:t>Of </w:t>
      </w:r>
      <w:r>
        <w:rPr>
          <w:rFonts w:ascii="Arial" w:hAnsi="Arial" w:cs="Arial" w:eastAsia="Arial"/>
          <w:color w:val="4D4B4B"/>
          <w:w w:val="110"/>
          <w:sz w:val="13"/>
          <w:szCs w:val="13"/>
        </w:rPr>
        <w:t>the</w:t>
      </w:r>
      <w:r>
        <w:rPr>
          <w:rFonts w:ascii="Arial" w:hAnsi="Arial" w:cs="Arial" w:eastAsia="Arial"/>
          <w:color w:val="4D4B4B"/>
          <w:spacing w:val="-8"/>
          <w:w w:val="110"/>
          <w:sz w:val="13"/>
          <w:szCs w:val="13"/>
        </w:rPr>
        <w:t> </w:t>
      </w:r>
      <w:r>
        <w:rPr>
          <w:rFonts w:ascii="Arial" w:hAnsi="Arial" w:cs="Arial" w:eastAsia="Arial"/>
          <w:color w:val="4D4B4B"/>
          <w:w w:val="110"/>
          <w:sz w:val="14"/>
          <w:szCs w:val="14"/>
        </w:rPr>
        <w:t>A</w:t>
      </w:r>
      <w:r>
        <w:rPr>
          <w:rFonts w:ascii="Arial" w:hAnsi="Arial" w:cs="Arial" w:eastAsia="Arial"/>
          <w:color w:val="4D4B4B"/>
          <w:spacing w:val="-8"/>
          <w:w w:val="110"/>
          <w:sz w:val="14"/>
          <w:szCs w:val="14"/>
        </w:rPr>
        <w:t>u</w:t>
      </w:r>
      <w:r>
        <w:rPr>
          <w:rFonts w:ascii="Arial" w:hAnsi="Arial" w:cs="Arial" w:eastAsia="Arial"/>
          <w:color w:val="74706E"/>
          <w:spacing w:val="-22"/>
          <w:w w:val="110"/>
          <w:sz w:val="14"/>
          <w:szCs w:val="14"/>
        </w:rPr>
        <w:t>s</w:t>
      </w:r>
      <w:r>
        <w:rPr>
          <w:rFonts w:ascii="Arial" w:hAnsi="Arial" w:cs="Arial" w:eastAsia="Arial"/>
          <w:color w:val="4D4B4B"/>
          <w:w w:val="110"/>
          <w:sz w:val="14"/>
          <w:szCs w:val="14"/>
        </w:rPr>
        <w:t>tra</w:t>
      </w:r>
      <w:r>
        <w:rPr>
          <w:rFonts w:ascii="Arial" w:hAnsi="Arial" w:cs="Arial" w:eastAsia="Arial"/>
          <w:color w:val="4D4B4B"/>
          <w:spacing w:val="3"/>
          <w:w w:val="110"/>
          <w:sz w:val="14"/>
          <w:szCs w:val="14"/>
        </w:rPr>
        <w:t>l</w:t>
      </w:r>
      <w:r>
        <w:rPr>
          <w:rFonts w:ascii="Arial" w:hAnsi="Arial" w:cs="Arial" w:eastAsia="Arial"/>
          <w:color w:val="4D4B4B"/>
          <w:w w:val="110"/>
          <w:sz w:val="14"/>
          <w:szCs w:val="14"/>
        </w:rPr>
        <w:t>ia</w:t>
      </w:r>
      <w:r>
        <w:rPr>
          <w:rFonts w:ascii="Arial" w:hAnsi="Arial" w:cs="Arial" w:eastAsia="Arial"/>
          <w:color w:val="4D4B4B"/>
          <w:spacing w:val="-10"/>
          <w:w w:val="110"/>
          <w:sz w:val="14"/>
          <w:szCs w:val="14"/>
        </w:rPr>
        <w:t>n</w:t>
      </w:r>
      <w:r>
        <w:rPr>
          <w:rFonts w:ascii="Arial" w:hAnsi="Arial" w:cs="Arial" w:eastAsia="Arial"/>
          <w:color w:val="5D5B59"/>
          <w:spacing w:val="-92"/>
          <w:w w:val="110"/>
          <w:sz w:val="14"/>
          <w:szCs w:val="14"/>
        </w:rPr>
        <w:t>I</w:t>
      </w:r>
      <w:r>
        <w:rPr>
          <w:rFonts w:ascii="Arial" w:hAnsi="Arial" w:cs="Arial" w:eastAsia="Arial"/>
          <w:color w:val="5D5B59"/>
          <w:spacing w:val="-4"/>
          <w:w w:val="110"/>
          <w:sz w:val="14"/>
          <w:szCs w:val="14"/>
        </w:rPr>
        <w:t>M</w:t>
      </w:r>
      <w:r>
        <w:rPr>
          <w:rFonts w:ascii="Arial" w:hAnsi="Arial" w:cs="Arial" w:eastAsia="Arial"/>
          <w:color w:val="5D5B59"/>
          <w:spacing w:val="-37"/>
          <w:w w:val="110"/>
          <w:sz w:val="14"/>
          <w:szCs w:val="14"/>
        </w:rPr>
        <w:t>t</w:t>
      </w:r>
      <w:r>
        <w:rPr>
          <w:rFonts w:ascii="Arial" w:hAnsi="Arial" w:cs="Arial" w:eastAsia="Arial"/>
          <w:color w:val="3A3838"/>
          <w:spacing w:val="-80"/>
          <w:w w:val="110"/>
          <w:sz w:val="14"/>
          <w:szCs w:val="14"/>
        </w:rPr>
        <w:t>l</w:t>
      </w:r>
      <w:r>
        <w:rPr>
          <w:rFonts w:ascii="Arial" w:hAnsi="Arial" w:cs="Arial" w:eastAsia="Arial"/>
          <w:color w:val="5D5B59"/>
          <w:w w:val="110"/>
          <w:sz w:val="14"/>
          <w:szCs w:val="14"/>
        </w:rPr>
        <w:t>tu</w:t>
      </w:r>
      <w:r>
        <w:rPr>
          <w:rFonts w:ascii="Arial" w:hAnsi="Arial" w:cs="Arial" w:eastAsia="Arial"/>
          <w:color w:val="5D5B59"/>
          <w:spacing w:val="-15"/>
          <w:w w:val="110"/>
          <w:sz w:val="14"/>
          <w:szCs w:val="14"/>
        </w:rPr>
        <w:t>t</w:t>
      </w:r>
      <w:r>
        <w:rPr>
          <w:rFonts w:ascii="Arial" w:hAnsi="Arial" w:cs="Arial" w:eastAsia="Arial"/>
          <w:color w:val="5D5B59"/>
          <w:spacing w:val="-3"/>
          <w:w w:val="110"/>
          <w:sz w:val="14"/>
          <w:szCs w:val="14"/>
        </w:rPr>
        <w:t>•</w:t>
      </w:r>
      <w:r>
        <w:rPr>
          <w:rFonts w:ascii="Times New Roman" w:hAnsi="Times New Roman" w:cs="Times New Roman" w:eastAsia="Times New Roman"/>
          <w:i/>
          <w:color w:val="4D4B4B"/>
          <w:w w:val="110"/>
          <w:sz w:val="18"/>
          <w:szCs w:val="18"/>
        </w:rPr>
        <w:t>tor</w:t>
      </w:r>
      <w:r>
        <w:rPr>
          <w:rFonts w:ascii="Times New Roman" w:hAnsi="Times New Roman" w:cs="Times New Roman" w:eastAsia="Times New Roman"/>
          <w:i/>
          <w:color w:val="4D4B4B"/>
          <w:spacing w:val="-12"/>
          <w:w w:val="110"/>
          <w:sz w:val="18"/>
          <w:szCs w:val="18"/>
        </w:rPr>
        <w:t> </w:t>
      </w:r>
      <w:r>
        <w:rPr>
          <w:rFonts w:ascii="Arial" w:hAnsi="Arial" w:cs="Arial" w:eastAsia="Arial"/>
          <w:color w:val="4D4B4B"/>
          <w:w w:val="110"/>
          <w:sz w:val="14"/>
          <w:szCs w:val="14"/>
        </w:rPr>
        <w:t>Teac</w:t>
      </w:r>
      <w:r>
        <w:rPr>
          <w:rFonts w:ascii="Arial" w:hAnsi="Arial" w:cs="Arial" w:eastAsia="Arial"/>
          <w:color w:val="4D4B4B"/>
          <w:spacing w:val="-6"/>
          <w:w w:val="110"/>
          <w:sz w:val="14"/>
          <w:szCs w:val="14"/>
        </w:rPr>
        <w:t>h</w:t>
      </w:r>
      <w:r>
        <w:rPr>
          <w:rFonts w:ascii="Arial" w:hAnsi="Arial" w:cs="Arial" w:eastAsia="Arial"/>
          <w:color w:val="74706E"/>
          <w:w w:val="110"/>
          <w:sz w:val="14"/>
          <w:szCs w:val="14"/>
        </w:rPr>
        <w:t>i</w:t>
      </w:r>
      <w:r>
        <w:rPr>
          <w:rFonts w:ascii="Arial" w:hAnsi="Arial" w:cs="Arial" w:eastAsia="Arial"/>
          <w:color w:val="74706E"/>
          <w:spacing w:val="-21"/>
          <w:w w:val="110"/>
          <w:sz w:val="14"/>
          <w:szCs w:val="14"/>
        </w:rPr>
        <w:t>n</w:t>
      </w:r>
      <w:r>
        <w:rPr>
          <w:rFonts w:ascii="Arial" w:hAnsi="Arial" w:cs="Arial" w:eastAsia="Arial"/>
          <w:color w:val="4D4B4B"/>
          <w:spacing w:val="9"/>
          <w:w w:val="110"/>
          <w:sz w:val="14"/>
          <w:szCs w:val="14"/>
        </w:rPr>
        <w:t>g</w:t>
      </w:r>
      <w:r>
        <w:rPr>
          <w:rFonts w:ascii="Arial" w:hAnsi="Arial" w:cs="Arial" w:eastAsia="Arial"/>
          <w:color w:val="4D4B4B"/>
          <w:w w:val="110"/>
          <w:sz w:val="14"/>
          <w:szCs w:val="14"/>
        </w:rPr>
        <w:t>and</w:t>
      </w:r>
      <w:r>
        <w:rPr>
          <w:rFonts w:ascii="Arial" w:hAnsi="Arial" w:cs="Arial" w:eastAsia="Arial"/>
          <w:color w:val="4D4B4B"/>
          <w:spacing w:val="-2"/>
          <w:w w:val="110"/>
          <w:sz w:val="14"/>
          <w:szCs w:val="14"/>
        </w:rPr>
        <w:t> </w:t>
      </w:r>
      <w:r>
        <w:rPr>
          <w:rFonts w:ascii="Arial" w:hAnsi="Arial" w:cs="Arial" w:eastAsia="Arial"/>
          <w:color w:val="5D5B59"/>
          <w:w w:val="110"/>
          <w:sz w:val="14"/>
          <w:szCs w:val="14"/>
        </w:rPr>
        <w:t>School</w:t>
      </w:r>
      <w:r>
        <w:rPr>
          <w:rFonts w:ascii="Arial" w:hAnsi="Arial" w:cs="Arial" w:eastAsia="Arial"/>
          <w:color w:val="5D5B59"/>
          <w:spacing w:val="-16"/>
          <w:w w:val="110"/>
          <w:sz w:val="14"/>
          <w:szCs w:val="14"/>
        </w:rPr>
        <w:t> </w:t>
      </w:r>
      <w:r>
        <w:rPr>
          <w:rFonts w:ascii="Arial" w:hAnsi="Arial" w:cs="Arial" w:eastAsia="Arial"/>
          <w:color w:val="5D5B59"/>
          <w:w w:val="110"/>
          <w:sz w:val="14"/>
          <w:szCs w:val="14"/>
        </w:rPr>
        <w:t>Leaders</w:t>
      </w:r>
      <w:r>
        <w:rPr>
          <w:rFonts w:ascii="Arial" w:hAnsi="Arial" w:cs="Arial" w:eastAsia="Arial"/>
          <w:color w:val="5D5B59"/>
          <w:spacing w:val="-39"/>
          <w:w w:val="110"/>
          <w:sz w:val="14"/>
          <w:szCs w:val="14"/>
        </w:rPr>
        <w:t>h</w:t>
      </w:r>
      <w:r>
        <w:rPr>
          <w:rFonts w:ascii="Arial" w:hAnsi="Arial" w:cs="Arial" w:eastAsia="Arial"/>
          <w:color w:val="3A3838"/>
          <w:spacing w:val="-80"/>
          <w:w w:val="110"/>
          <w:sz w:val="14"/>
          <w:szCs w:val="14"/>
        </w:rPr>
        <w:t>i</w:t>
      </w:r>
      <w:r>
        <w:rPr>
          <w:rFonts w:ascii="Arial" w:hAnsi="Arial" w:cs="Arial" w:eastAsia="Arial"/>
          <w:color w:val="3A3838"/>
          <w:w w:val="110"/>
          <w:sz w:val="14"/>
          <w:szCs w:val="14"/>
        </w:rPr>
        <w:t>p</w:t>
      </w:r>
      <w:r>
        <w:rPr>
          <w:rFonts w:ascii="Arial" w:hAnsi="Arial" w:cs="Arial" w:eastAsia="Arial"/>
          <w:color w:val="3A3838"/>
          <w:spacing w:val="-11"/>
          <w:w w:val="110"/>
          <w:sz w:val="14"/>
          <w:szCs w:val="14"/>
        </w:rPr>
        <w:t> </w:t>
      </w:r>
      <w:r>
        <w:rPr>
          <w:rFonts w:ascii="Arial" w:hAnsi="Arial" w:cs="Arial" w:eastAsia="Arial"/>
          <w:color w:val="5D5B59"/>
          <w:w w:val="110"/>
          <w:sz w:val="14"/>
          <w:szCs w:val="14"/>
        </w:rPr>
        <w:t>Limited</w:t>
      </w:r>
      <w:r>
        <w:rPr>
          <w:rFonts w:ascii="Arial" w:hAnsi="Arial" w:cs="Arial" w:eastAsia="Arial"/>
          <w:color w:val="5D5B59"/>
          <w:w w:val="107"/>
          <w:sz w:val="14"/>
          <w:szCs w:val="14"/>
        </w:rPr>
        <w:t> </w:t>
      </w:r>
      <w:r>
        <w:rPr>
          <w:rFonts w:ascii="Arial" w:hAnsi="Arial" w:cs="Arial" w:eastAsia="Arial"/>
          <w:color w:val="4D4B4B"/>
          <w:spacing w:val="-4"/>
          <w:w w:val="110"/>
          <w:sz w:val="14"/>
          <w:szCs w:val="14"/>
        </w:rPr>
        <w:t>Opi</w:t>
      </w:r>
      <w:r>
        <w:rPr>
          <w:rFonts w:ascii="Arial" w:hAnsi="Arial" w:cs="Arial" w:eastAsia="Arial"/>
          <w:color w:val="4D4B4B"/>
          <w:spacing w:val="-3"/>
          <w:w w:val="110"/>
          <w:sz w:val="14"/>
          <w:szCs w:val="14"/>
        </w:rPr>
        <w:t>nion</w:t>
      </w:r>
      <w:r>
        <w:rPr>
          <w:rFonts w:ascii="Arial" w:hAnsi="Arial" w:cs="Arial" w:eastAsia="Arial"/>
          <w:sz w:val="14"/>
          <w:szCs w:val="14"/>
        </w:rPr>
      </w:r>
    </w:p>
    <w:p>
      <w:pPr>
        <w:spacing w:line="241" w:lineRule="auto" w:before="13"/>
        <w:ind w:left="1054" w:right="1150" w:hanging="54"/>
        <w:jc w:val="both"/>
        <w:rPr>
          <w:rFonts w:ascii="Times New Roman" w:hAnsi="Times New Roman" w:cs="Times New Roman" w:eastAsia="Times New Roman"/>
          <w:sz w:val="14"/>
          <w:szCs w:val="14"/>
        </w:rPr>
      </w:pPr>
      <w:r>
        <w:rPr>
          <w:rFonts w:ascii="Arial" w:hAnsi="Arial"/>
          <w:color w:val="5D5B59"/>
          <w:spacing w:val="-92"/>
          <w:w w:val="110"/>
          <w:sz w:val="12"/>
        </w:rPr>
        <w:t>I</w:t>
      </w:r>
      <w:r>
        <w:rPr>
          <w:rFonts w:ascii="Arial" w:hAnsi="Arial"/>
          <w:color w:val="5D5B59"/>
          <w:spacing w:val="4"/>
          <w:w w:val="110"/>
          <w:sz w:val="12"/>
        </w:rPr>
        <w:t>n</w:t>
      </w:r>
      <w:r>
        <w:rPr>
          <w:rFonts w:ascii="Arial" w:hAnsi="Arial"/>
          <w:color w:val="74706E"/>
          <w:w w:val="110"/>
          <w:sz w:val="12"/>
        </w:rPr>
        <w:t>m</w:t>
      </w:r>
      <w:r>
        <w:rPr>
          <w:rFonts w:ascii="Arial" w:hAnsi="Arial"/>
          <w:color w:val="74706E"/>
          <w:spacing w:val="5"/>
          <w:w w:val="110"/>
          <w:sz w:val="12"/>
        </w:rPr>
        <w:t>y</w:t>
      </w:r>
      <w:r>
        <w:rPr>
          <w:rFonts w:ascii="Arial" w:hAnsi="Arial"/>
          <w:color w:val="74706E"/>
          <w:w w:val="110"/>
          <w:sz w:val="12"/>
        </w:rPr>
        <w:t>opi</w:t>
      </w:r>
      <w:r>
        <w:rPr>
          <w:rFonts w:ascii="Arial" w:hAnsi="Arial"/>
          <w:color w:val="74706E"/>
          <w:spacing w:val="-54"/>
          <w:w w:val="110"/>
          <w:sz w:val="12"/>
        </w:rPr>
        <w:t>n</w:t>
      </w:r>
      <w:r>
        <w:rPr>
          <w:rFonts w:ascii="Arial" w:hAnsi="Arial"/>
          <w:color w:val="74706E"/>
          <w:spacing w:val="-80"/>
          <w:w w:val="110"/>
          <w:sz w:val="12"/>
        </w:rPr>
        <w:t>i</w:t>
      </w:r>
      <w:r>
        <w:rPr>
          <w:rFonts w:ascii="Arial" w:hAnsi="Arial"/>
          <w:color w:val="74706E"/>
          <w:w w:val="110"/>
          <w:sz w:val="12"/>
        </w:rPr>
        <w:t>on,</w:t>
      </w:r>
      <w:r>
        <w:rPr>
          <w:rFonts w:ascii="Arial" w:hAnsi="Arial"/>
          <w:color w:val="74706E"/>
          <w:spacing w:val="-23"/>
          <w:w w:val="110"/>
          <w:sz w:val="12"/>
        </w:rPr>
        <w:t> </w:t>
      </w:r>
      <w:r>
        <w:rPr>
          <w:rFonts w:ascii="Arial" w:hAnsi="Arial"/>
          <w:color w:val="5D5B59"/>
          <w:w w:val="110"/>
          <w:sz w:val="12"/>
        </w:rPr>
        <w:t>the</w:t>
      </w:r>
      <w:r>
        <w:rPr>
          <w:rFonts w:ascii="Arial" w:hAnsi="Arial"/>
          <w:color w:val="5D5B59"/>
          <w:spacing w:val="-11"/>
          <w:w w:val="110"/>
          <w:sz w:val="12"/>
        </w:rPr>
        <w:t> </w:t>
      </w:r>
      <w:r>
        <w:rPr>
          <w:rFonts w:ascii="Arial" w:hAnsi="Arial"/>
          <w:color w:val="74706E"/>
          <w:w w:val="110"/>
          <w:sz w:val="12"/>
        </w:rPr>
        <w:t>flnand</w:t>
      </w:r>
      <w:r>
        <w:rPr>
          <w:rFonts w:ascii="Arial" w:hAnsi="Arial"/>
          <w:color w:val="74706E"/>
          <w:spacing w:val="-7"/>
          <w:w w:val="110"/>
          <w:sz w:val="12"/>
        </w:rPr>
        <w:t>ll</w:t>
      </w:r>
      <w:r>
        <w:rPr>
          <w:rFonts w:ascii="Arial" w:hAnsi="Arial"/>
          <w:color w:val="878282"/>
          <w:w w:val="110"/>
          <w:sz w:val="12"/>
        </w:rPr>
        <w:t>repott</w:t>
      </w:r>
      <w:r>
        <w:rPr>
          <w:rFonts w:ascii="Arial" w:hAnsi="Arial"/>
          <w:color w:val="878282"/>
          <w:spacing w:val="-11"/>
          <w:w w:val="110"/>
          <w:sz w:val="12"/>
        </w:rPr>
        <w:t> </w:t>
      </w:r>
      <w:r>
        <w:rPr>
          <w:rFonts w:ascii="Arial" w:hAnsi="Arial"/>
          <w:color w:val="74706E"/>
          <w:w w:val="110"/>
          <w:sz w:val="12"/>
        </w:rPr>
        <w:t>of</w:t>
      </w:r>
      <w:r>
        <w:rPr>
          <w:rFonts w:ascii="Arial" w:hAnsi="Arial"/>
          <w:color w:val="74706E"/>
          <w:spacing w:val="-3"/>
          <w:w w:val="110"/>
          <w:sz w:val="12"/>
        </w:rPr>
        <w:t> </w:t>
      </w:r>
      <w:r>
        <w:rPr>
          <w:rFonts w:ascii="Arial" w:hAnsi="Arial"/>
          <w:color w:val="5D5B59"/>
          <w:w w:val="110"/>
          <w:sz w:val="12"/>
        </w:rPr>
        <w:t>the</w:t>
      </w:r>
      <w:r>
        <w:rPr>
          <w:rFonts w:ascii="Arial" w:hAnsi="Arial"/>
          <w:color w:val="5D5B59"/>
          <w:spacing w:val="-11"/>
          <w:w w:val="110"/>
          <w:sz w:val="12"/>
        </w:rPr>
        <w:t> </w:t>
      </w:r>
      <w:r>
        <w:rPr>
          <w:rFonts w:ascii="Arial" w:hAnsi="Arial"/>
          <w:color w:val="74706E"/>
          <w:w w:val="110"/>
          <w:sz w:val="12"/>
        </w:rPr>
        <w:t>Australia</w:t>
      </w:r>
      <w:r>
        <w:rPr>
          <w:rFonts w:ascii="Arial" w:hAnsi="Arial"/>
          <w:color w:val="74706E"/>
          <w:spacing w:val="-17"/>
          <w:w w:val="110"/>
          <w:sz w:val="12"/>
        </w:rPr>
        <w:t>n</w:t>
      </w:r>
      <w:r>
        <w:rPr>
          <w:rFonts w:ascii="Arial" w:hAnsi="Arial"/>
          <w:color w:val="4D4B4B"/>
          <w:spacing w:val="-80"/>
          <w:w w:val="110"/>
          <w:sz w:val="12"/>
        </w:rPr>
        <w:t>l</w:t>
      </w:r>
      <w:r>
        <w:rPr>
          <w:rFonts w:ascii="Arial" w:hAnsi="Arial"/>
          <w:color w:val="74706E"/>
          <w:w w:val="110"/>
          <w:sz w:val="12"/>
        </w:rPr>
        <w:t>nst</w:t>
      </w:r>
      <w:r>
        <w:rPr>
          <w:rFonts w:ascii="Arial" w:hAnsi="Arial"/>
          <w:color w:val="74706E"/>
          <w:spacing w:val="-15"/>
          <w:w w:val="110"/>
          <w:sz w:val="12"/>
        </w:rPr>
        <w:t>l</w:t>
      </w:r>
      <w:r>
        <w:rPr>
          <w:rFonts w:ascii="Arial" w:hAnsi="Arial"/>
          <w:color w:val="74706E"/>
          <w:w w:val="110"/>
          <w:sz w:val="12"/>
        </w:rPr>
        <w:t>tvte</w:t>
      </w:r>
      <w:r>
        <w:rPr>
          <w:rFonts w:ascii="Arial" w:hAnsi="Arial"/>
          <w:color w:val="74706E"/>
          <w:spacing w:val="-11"/>
          <w:w w:val="110"/>
          <w:sz w:val="12"/>
        </w:rPr>
        <w:t> </w:t>
      </w:r>
      <w:r>
        <w:rPr>
          <w:rFonts w:ascii="Arial" w:hAnsi="Arial"/>
          <w:color w:val="74706E"/>
          <w:w w:val="110"/>
          <w:sz w:val="12"/>
        </w:rPr>
        <w:t>for</w:t>
      </w:r>
      <w:r>
        <w:rPr>
          <w:rFonts w:ascii="Arial" w:hAnsi="Arial"/>
          <w:color w:val="74706E"/>
          <w:spacing w:val="-3"/>
          <w:w w:val="110"/>
          <w:sz w:val="12"/>
        </w:rPr>
        <w:t> </w:t>
      </w:r>
      <w:r>
        <w:rPr>
          <w:rFonts w:ascii="Arial" w:hAnsi="Arial"/>
          <w:color w:val="74706E"/>
          <w:w w:val="110"/>
          <w:sz w:val="12"/>
        </w:rPr>
        <w:t>Teaching</w:t>
      </w:r>
      <w:r>
        <w:rPr>
          <w:rFonts w:ascii="Arial" w:hAnsi="Arial"/>
          <w:color w:val="74706E"/>
          <w:spacing w:val="-4"/>
          <w:w w:val="110"/>
          <w:sz w:val="12"/>
        </w:rPr>
        <w:t> </w:t>
      </w:r>
      <w:r>
        <w:rPr>
          <w:rFonts w:ascii="Arial" w:hAnsi="Arial"/>
          <w:color w:val="74706E"/>
          <w:w w:val="110"/>
          <w:sz w:val="12"/>
        </w:rPr>
        <w:t>at'ld</w:t>
      </w:r>
      <w:r>
        <w:rPr>
          <w:rFonts w:ascii="Arial" w:hAnsi="Arial"/>
          <w:color w:val="74706E"/>
          <w:spacing w:val="1"/>
          <w:w w:val="110"/>
          <w:sz w:val="12"/>
        </w:rPr>
        <w:t> </w:t>
      </w:r>
      <w:r>
        <w:rPr>
          <w:rFonts w:ascii="Times New Roman" w:hAnsi="Times New Roman"/>
          <w:color w:val="74706E"/>
          <w:w w:val="110"/>
          <w:sz w:val="14"/>
        </w:rPr>
        <w:t>School</w:t>
      </w:r>
      <w:r>
        <w:rPr>
          <w:rFonts w:ascii="Times New Roman" w:hAnsi="Times New Roman"/>
          <w:color w:val="74706E"/>
          <w:spacing w:val="-9"/>
          <w:w w:val="110"/>
          <w:sz w:val="14"/>
        </w:rPr>
        <w:t> </w:t>
      </w:r>
      <w:r>
        <w:rPr>
          <w:rFonts w:ascii="Times New Roman" w:hAnsi="Times New Roman"/>
          <w:color w:val="74706E"/>
          <w:w w:val="110"/>
          <w:sz w:val="14"/>
        </w:rPr>
        <w:t>leadership</w:t>
      </w:r>
      <w:r>
        <w:rPr>
          <w:rFonts w:ascii="Times New Roman" w:hAnsi="Times New Roman"/>
          <w:color w:val="74706E"/>
          <w:spacing w:val="-6"/>
          <w:w w:val="110"/>
          <w:sz w:val="14"/>
        </w:rPr>
        <w:t> </w:t>
      </w:r>
      <w:r>
        <w:rPr>
          <w:rFonts w:ascii="Arial" w:hAnsi="Arial"/>
          <w:color w:val="74706E"/>
          <w:spacing w:val="-21"/>
          <w:w w:val="110"/>
          <w:sz w:val="12"/>
        </w:rPr>
        <w:t>U</w:t>
      </w:r>
      <w:r>
        <w:rPr>
          <w:rFonts w:ascii="Arial" w:hAnsi="Arial"/>
          <w:color w:val="74706E"/>
          <w:w w:val="110"/>
          <w:sz w:val="12"/>
        </w:rPr>
        <w:t>n'lted</w:t>
      </w:r>
      <w:r>
        <w:rPr>
          <w:rFonts w:ascii="Arial" w:hAnsi="Arial"/>
          <w:color w:val="74706E"/>
          <w:spacing w:val="-6"/>
          <w:w w:val="110"/>
          <w:sz w:val="12"/>
        </w:rPr>
        <w:t> </w:t>
      </w:r>
      <w:r>
        <w:rPr>
          <w:rFonts w:ascii="Arial" w:hAnsi="Arial"/>
          <w:color w:val="74706E"/>
          <w:w w:val="110"/>
          <w:sz w:val="12"/>
        </w:rPr>
        <w:t>(</w:t>
      </w:r>
      <w:r>
        <w:rPr>
          <w:rFonts w:ascii="Arial" w:hAnsi="Arial"/>
          <w:color w:val="74706E"/>
          <w:spacing w:val="-15"/>
          <w:w w:val="110"/>
          <w:sz w:val="12"/>
        </w:rPr>
        <w:t>'</w:t>
      </w:r>
      <w:r>
        <w:rPr>
          <w:rFonts w:ascii="Arial" w:hAnsi="Arial"/>
          <w:color w:val="74706E"/>
          <w:w w:val="110"/>
          <w:sz w:val="12"/>
        </w:rPr>
        <w:t>the</w:t>
      </w:r>
      <w:r>
        <w:rPr>
          <w:rFonts w:ascii="Arial" w:hAnsi="Arial"/>
          <w:color w:val="74706E"/>
          <w:w w:val="114"/>
          <w:sz w:val="12"/>
        </w:rPr>
        <w:t> </w:t>
      </w:r>
      <w:r>
        <w:rPr>
          <w:rFonts w:ascii="Times New Roman" w:hAnsi="Times New Roman"/>
          <w:color w:val="74706E"/>
          <w:w w:val="110"/>
          <w:sz w:val="12"/>
        </w:rPr>
        <w:t>COmpatly")</w:t>
      </w:r>
      <w:r>
        <w:rPr>
          <w:rFonts w:ascii="Times New Roman" w:hAnsi="Times New Roman"/>
          <w:color w:val="74706E"/>
          <w:spacing w:val="-13"/>
          <w:w w:val="110"/>
          <w:sz w:val="12"/>
        </w:rPr>
        <w:t> </w:t>
      </w:r>
      <w:r>
        <w:rPr>
          <w:rFonts w:ascii="Arial" w:hAnsi="Arial"/>
          <w:color w:val="74706E"/>
          <w:w w:val="110"/>
          <w:sz w:val="12"/>
        </w:rPr>
        <w:t>for</w:t>
      </w:r>
      <w:r>
        <w:rPr>
          <w:rFonts w:ascii="Arial" w:hAnsi="Arial"/>
          <w:color w:val="74706E"/>
          <w:spacing w:val="-15"/>
          <w:w w:val="110"/>
          <w:sz w:val="12"/>
        </w:rPr>
        <w:t> </w:t>
      </w:r>
      <w:r>
        <w:rPr>
          <w:rFonts w:ascii="Arial" w:hAnsi="Arial"/>
          <w:color w:val="74706E"/>
          <w:w w:val="110"/>
          <w:sz w:val="12"/>
        </w:rPr>
        <w:t>the</w:t>
      </w:r>
      <w:r>
        <w:rPr>
          <w:rFonts w:ascii="Arial" w:hAnsi="Arial"/>
          <w:color w:val="74706E"/>
          <w:spacing w:val="-20"/>
          <w:w w:val="110"/>
          <w:sz w:val="12"/>
        </w:rPr>
        <w:t> </w:t>
      </w:r>
      <w:r>
        <w:rPr>
          <w:rFonts w:ascii="Arial" w:hAnsi="Arial"/>
          <w:color w:val="74706E"/>
          <w:w w:val="120"/>
          <w:sz w:val="12"/>
        </w:rPr>
        <w:t>y</w:t>
      </w:r>
      <w:r>
        <w:rPr>
          <w:rFonts w:ascii="Arial" w:hAnsi="Arial"/>
          <w:color w:val="74706E"/>
          <w:spacing w:val="-13"/>
          <w:w w:val="120"/>
          <w:sz w:val="12"/>
        </w:rPr>
        <w:t>U</w:t>
      </w:r>
      <w:r>
        <w:rPr>
          <w:rFonts w:ascii="Arial" w:hAnsi="Arial"/>
          <w:color w:val="74706E"/>
          <w:w w:val="120"/>
          <w:sz w:val="12"/>
        </w:rPr>
        <w:t>r</w:t>
      </w:r>
      <w:r>
        <w:rPr>
          <w:rFonts w:ascii="Arial" w:hAnsi="Arial"/>
          <w:color w:val="74706E"/>
          <w:spacing w:val="-28"/>
          <w:w w:val="120"/>
          <w:sz w:val="12"/>
        </w:rPr>
        <w:t> </w:t>
      </w:r>
      <w:r>
        <w:rPr>
          <w:rFonts w:ascii="Arial" w:hAnsi="Arial"/>
          <w:color w:val="878282"/>
          <w:w w:val="110"/>
          <w:sz w:val="12"/>
        </w:rPr>
        <w:t>fonded</w:t>
      </w:r>
      <w:r>
        <w:rPr>
          <w:rFonts w:ascii="Arial" w:hAnsi="Arial"/>
          <w:color w:val="878282"/>
          <w:spacing w:val="-19"/>
          <w:w w:val="110"/>
          <w:sz w:val="12"/>
        </w:rPr>
        <w:t> </w:t>
      </w:r>
      <w:r>
        <w:rPr>
          <w:rFonts w:ascii="Arial" w:hAnsi="Arial"/>
          <w:color w:val="74706E"/>
          <w:w w:val="110"/>
          <w:sz w:val="12"/>
        </w:rPr>
        <w:t>30</w:t>
      </w:r>
      <w:r>
        <w:rPr>
          <w:rFonts w:ascii="Arial" w:hAnsi="Arial"/>
          <w:color w:val="74706E"/>
          <w:spacing w:val="-24"/>
          <w:w w:val="110"/>
          <w:sz w:val="12"/>
        </w:rPr>
        <w:t> </w:t>
      </w:r>
      <w:r>
        <w:rPr>
          <w:rFonts w:ascii="Arial" w:hAnsi="Arial"/>
          <w:color w:val="74706E"/>
          <w:sz w:val="12"/>
        </w:rPr>
        <w:t>Jul'le</w:t>
      </w:r>
      <w:r>
        <w:rPr>
          <w:rFonts w:ascii="Arial" w:hAnsi="Arial"/>
          <w:color w:val="74706E"/>
          <w:spacing w:val="-16"/>
          <w:sz w:val="12"/>
        </w:rPr>
        <w:t> </w:t>
      </w:r>
      <w:r>
        <w:rPr>
          <w:rFonts w:ascii="Arial" w:hAnsi="Arial"/>
          <w:color w:val="74706E"/>
          <w:w w:val="110"/>
          <w:sz w:val="12"/>
        </w:rPr>
        <w:t>20</w:t>
      </w:r>
      <w:r>
        <w:rPr>
          <w:rFonts w:ascii="Arial" w:hAnsi="Arial"/>
          <w:color w:val="74706E"/>
          <w:spacing w:val="-25"/>
          <w:w w:val="110"/>
          <w:sz w:val="12"/>
        </w:rPr>
        <w:t>1</w:t>
      </w:r>
      <w:r>
        <w:rPr>
          <w:rFonts w:ascii="Arial" w:hAnsi="Arial"/>
          <w:color w:val="74706E"/>
          <w:spacing w:val="-26"/>
          <w:w w:val="110"/>
          <w:sz w:val="12"/>
        </w:rPr>
        <w:t>9</w:t>
      </w:r>
      <w:r>
        <w:rPr>
          <w:rFonts w:ascii="Arial" w:hAnsi="Arial"/>
          <w:color w:val="74706E"/>
          <w:spacing w:val="-80"/>
          <w:w w:val="110"/>
          <w:sz w:val="12"/>
        </w:rPr>
        <w:t>i</w:t>
      </w:r>
      <w:r>
        <w:rPr>
          <w:rFonts w:ascii="Arial" w:hAnsi="Arial"/>
          <w:color w:val="74706E"/>
          <w:w w:val="110"/>
          <w:sz w:val="12"/>
        </w:rPr>
        <w:t>s</w:t>
      </w:r>
      <w:r>
        <w:rPr>
          <w:rFonts w:ascii="Arial" w:hAnsi="Arial"/>
          <w:color w:val="74706E"/>
          <w:spacing w:val="-27"/>
          <w:w w:val="110"/>
          <w:sz w:val="12"/>
        </w:rPr>
        <w:t> </w:t>
      </w:r>
      <w:r>
        <w:rPr>
          <w:rFonts w:ascii="Arial" w:hAnsi="Arial"/>
          <w:color w:val="74706E"/>
          <w:spacing w:val="-16"/>
          <w:w w:val="120"/>
          <w:sz w:val="12"/>
        </w:rPr>
        <w:t>i</w:t>
      </w:r>
      <w:r>
        <w:rPr>
          <w:rFonts w:ascii="Arial" w:hAnsi="Arial"/>
          <w:color w:val="74706E"/>
          <w:w w:val="120"/>
          <w:sz w:val="12"/>
        </w:rPr>
        <w:t>n</w:t>
      </w:r>
      <w:r>
        <w:rPr>
          <w:rFonts w:ascii="Arial" w:hAnsi="Arial"/>
          <w:color w:val="74706E"/>
          <w:spacing w:val="-32"/>
          <w:w w:val="120"/>
          <w:sz w:val="12"/>
        </w:rPr>
        <w:t> </w:t>
      </w:r>
      <w:r>
        <w:rPr>
          <w:rFonts w:ascii="Arial" w:hAnsi="Arial"/>
          <w:color w:val="878282"/>
          <w:w w:val="110"/>
          <w:sz w:val="12"/>
        </w:rPr>
        <w:t>accordance</w:t>
      </w:r>
      <w:r>
        <w:rPr>
          <w:rFonts w:ascii="Arial" w:hAnsi="Arial"/>
          <w:color w:val="878282"/>
          <w:spacing w:val="-16"/>
          <w:w w:val="110"/>
          <w:sz w:val="12"/>
        </w:rPr>
        <w:t> </w:t>
      </w:r>
      <w:r>
        <w:rPr>
          <w:rFonts w:ascii="Arial" w:hAnsi="Arial"/>
          <w:color w:val="74706E"/>
          <w:w w:val="110"/>
          <w:sz w:val="12"/>
        </w:rPr>
        <w:t>w</w:t>
      </w:r>
      <w:r>
        <w:rPr>
          <w:rFonts w:ascii="Arial" w:hAnsi="Arial"/>
          <w:color w:val="74706E"/>
          <w:spacing w:val="-9"/>
          <w:w w:val="110"/>
          <w:sz w:val="12"/>
        </w:rPr>
        <w:t>i</w:t>
      </w:r>
      <w:r>
        <w:rPr>
          <w:rFonts w:ascii="Arial" w:hAnsi="Arial"/>
          <w:color w:val="4D4B4B"/>
          <w:spacing w:val="-4"/>
          <w:w w:val="110"/>
          <w:sz w:val="12"/>
        </w:rPr>
        <w:t>t</w:t>
      </w:r>
      <w:r>
        <w:rPr>
          <w:rFonts w:ascii="Arial" w:hAnsi="Arial"/>
          <w:color w:val="74706E"/>
          <w:spacing w:val="4"/>
          <w:w w:val="110"/>
          <w:sz w:val="12"/>
        </w:rPr>
        <w:t>h</w:t>
      </w:r>
      <w:r>
        <w:rPr>
          <w:rFonts w:ascii="Arial" w:hAnsi="Arial"/>
          <w:color w:val="74706E"/>
          <w:w w:val="110"/>
          <w:sz w:val="12"/>
        </w:rPr>
        <w:t>the</w:t>
      </w:r>
      <w:r>
        <w:rPr>
          <w:rFonts w:ascii="Arial" w:hAnsi="Arial"/>
          <w:color w:val="74706E"/>
          <w:spacing w:val="-21"/>
          <w:w w:val="110"/>
          <w:sz w:val="12"/>
        </w:rPr>
        <w:t> </w:t>
      </w:r>
      <w:r>
        <w:rPr>
          <w:rFonts w:ascii="Arial" w:hAnsi="Arial"/>
          <w:i/>
          <w:color w:val="74706E"/>
          <w:w w:val="110"/>
          <w:sz w:val="12"/>
        </w:rPr>
        <w:t>CorpotatitMSACf</w:t>
      </w:r>
      <w:r>
        <w:rPr>
          <w:rFonts w:ascii="Arial" w:hAnsi="Arial"/>
          <w:i/>
          <w:color w:val="74706E"/>
          <w:spacing w:val="1"/>
          <w:w w:val="110"/>
          <w:sz w:val="12"/>
        </w:rPr>
        <w:t> </w:t>
      </w:r>
      <w:r>
        <w:rPr>
          <w:rFonts w:ascii="Arial" w:hAnsi="Arial"/>
          <w:i/>
          <w:color w:val="74706E"/>
          <w:w w:val="110"/>
          <w:sz w:val="12"/>
        </w:rPr>
        <w:t>10</w:t>
      </w:r>
      <w:r>
        <w:rPr>
          <w:rFonts w:ascii="Arial" w:hAnsi="Arial"/>
          <w:i/>
          <w:color w:val="74706E"/>
          <w:spacing w:val="-30"/>
          <w:w w:val="110"/>
          <w:sz w:val="12"/>
        </w:rPr>
        <w:t>0</w:t>
      </w:r>
      <w:r>
        <w:rPr>
          <w:rFonts w:ascii="Arial" w:hAnsi="Arial"/>
          <w:i/>
          <w:color w:val="74706E"/>
          <w:spacing w:val="3"/>
          <w:w w:val="110"/>
          <w:sz w:val="12"/>
        </w:rPr>
        <w:t>1</w:t>
      </w:r>
      <w:r>
        <w:rPr>
          <w:rFonts w:ascii="Arial" w:hAnsi="Arial"/>
          <w:color w:val="878282"/>
          <w:w w:val="110"/>
          <w:sz w:val="12"/>
        </w:rPr>
        <w:t>and</w:t>
      </w:r>
      <w:r>
        <w:rPr>
          <w:rFonts w:ascii="Arial" w:hAnsi="Arial"/>
          <w:color w:val="878282"/>
          <w:spacing w:val="-25"/>
          <w:w w:val="110"/>
          <w:sz w:val="12"/>
        </w:rPr>
        <w:t> </w:t>
      </w:r>
      <w:r>
        <w:rPr>
          <w:rFonts w:ascii="Arial" w:hAnsi="Arial"/>
          <w:color w:val="74706E"/>
          <w:w w:val="110"/>
          <w:sz w:val="12"/>
        </w:rPr>
        <w:t>Divis</w:t>
      </w:r>
      <w:r>
        <w:rPr>
          <w:rFonts w:ascii="Arial" w:hAnsi="Arial"/>
          <w:color w:val="74706E"/>
          <w:spacing w:val="-14"/>
          <w:w w:val="110"/>
          <w:sz w:val="12"/>
        </w:rPr>
        <w:t>i</w:t>
      </w:r>
      <w:r>
        <w:rPr>
          <w:rFonts w:ascii="Arial" w:hAnsi="Arial"/>
          <w:color w:val="74706E"/>
          <w:w w:val="110"/>
          <w:sz w:val="12"/>
        </w:rPr>
        <w:t>on</w:t>
      </w:r>
      <w:r>
        <w:rPr>
          <w:rFonts w:ascii="Arial" w:hAnsi="Arial"/>
          <w:color w:val="74706E"/>
          <w:spacing w:val="-25"/>
          <w:w w:val="110"/>
          <w:sz w:val="12"/>
        </w:rPr>
        <w:t> </w:t>
      </w:r>
      <w:r>
        <w:rPr>
          <w:rFonts w:ascii="Arial" w:hAnsi="Arial"/>
          <w:color w:val="74706E"/>
          <w:w w:val="110"/>
          <w:sz w:val="12"/>
        </w:rPr>
        <w:t>60</w:t>
      </w:r>
      <w:r>
        <w:rPr>
          <w:rFonts w:ascii="Arial" w:hAnsi="Arial"/>
          <w:color w:val="74706E"/>
          <w:spacing w:val="-24"/>
          <w:w w:val="110"/>
          <w:sz w:val="12"/>
        </w:rPr>
        <w:t> </w:t>
      </w:r>
      <w:r>
        <w:rPr>
          <w:rFonts w:ascii="Times New Roman" w:hAnsi="Times New Roman"/>
          <w:color w:val="74706E"/>
          <w:sz w:val="15"/>
        </w:rPr>
        <w:t>of</w:t>
      </w:r>
      <w:r>
        <w:rPr>
          <w:rFonts w:ascii="Times New Roman" w:hAnsi="Times New Roman"/>
          <w:color w:val="74706E"/>
          <w:w w:val="83"/>
          <w:sz w:val="15"/>
        </w:rPr>
        <w:t> </w:t>
      </w:r>
      <w:r>
        <w:rPr>
          <w:rFonts w:ascii="Times New Roman" w:hAnsi="Times New Roman"/>
          <w:color w:val="74706E"/>
          <w:sz w:val="14"/>
        </w:rPr>
        <w:t>th</w:t>
      </w:r>
      <w:r>
        <w:rPr>
          <w:rFonts w:ascii="Times New Roman" w:hAnsi="Times New Roman"/>
          <w:color w:val="74706E"/>
          <w:spacing w:val="10"/>
          <w:sz w:val="14"/>
        </w:rPr>
        <w:t>e</w:t>
      </w:r>
      <w:r>
        <w:rPr>
          <w:rFonts w:ascii="Arial" w:hAnsi="Arial"/>
          <w:i/>
          <w:color w:val="74706E"/>
          <w:sz w:val="14"/>
        </w:rPr>
        <w:t>AvstrO'Nan</w:t>
      </w:r>
      <w:r>
        <w:rPr>
          <w:rFonts w:ascii="Arial" w:hAnsi="Arial"/>
          <w:i/>
          <w:color w:val="74706E"/>
          <w:spacing w:val="-17"/>
          <w:sz w:val="14"/>
        </w:rPr>
        <w:t> </w:t>
      </w:r>
      <w:r>
        <w:rPr>
          <w:rFonts w:ascii="Arial" w:hAnsi="Arial"/>
          <w:i/>
          <w:color w:val="74706E"/>
          <w:sz w:val="14"/>
        </w:rPr>
        <w:t>C</w:t>
      </w:r>
      <w:r>
        <w:rPr>
          <w:rFonts w:ascii="Arial" w:hAnsi="Arial"/>
          <w:i/>
          <w:color w:val="74706E"/>
          <w:spacing w:val="-18"/>
          <w:sz w:val="14"/>
        </w:rPr>
        <w:t>h</w:t>
      </w:r>
      <w:r>
        <w:rPr>
          <w:rFonts w:ascii="Arial" w:hAnsi="Arial"/>
          <w:i/>
          <w:color w:val="74706E"/>
          <w:spacing w:val="8"/>
          <w:sz w:val="14"/>
        </w:rPr>
        <w:t>s</w:t>
      </w:r>
      <w:r>
        <w:rPr>
          <w:rFonts w:ascii="Arial" w:hAnsi="Arial"/>
          <w:i/>
          <w:color w:val="74706E"/>
          <w:sz w:val="14"/>
        </w:rPr>
        <w:t>Of'!d</w:t>
      </w:r>
      <w:r>
        <w:rPr>
          <w:rFonts w:ascii="Arial" w:hAnsi="Arial"/>
          <w:i/>
          <w:color w:val="74706E"/>
          <w:spacing w:val="-31"/>
          <w:sz w:val="14"/>
        </w:rPr>
        <w:t> </w:t>
      </w:r>
      <w:r>
        <w:rPr>
          <w:rFonts w:ascii="Times New Roman" w:hAnsi="Times New Roman"/>
          <w:i/>
          <w:color w:val="74706E"/>
          <w:sz w:val="14"/>
        </w:rPr>
        <w:t>Not{or·profits</w:t>
      </w:r>
      <w:r>
        <w:rPr>
          <w:rFonts w:ascii="Times New Roman" w:hAnsi="Times New Roman"/>
          <w:i/>
          <w:color w:val="74706E"/>
          <w:spacing w:val="-11"/>
          <w:sz w:val="14"/>
        </w:rPr>
        <w:t> </w:t>
      </w:r>
      <w:r>
        <w:rPr>
          <w:rFonts w:ascii="Times New Roman" w:hAnsi="Times New Roman"/>
          <w:i/>
          <w:color w:val="74706E"/>
          <w:sz w:val="15"/>
        </w:rPr>
        <w:t>ONnrms.skM</w:t>
      </w:r>
      <w:r>
        <w:rPr>
          <w:rFonts w:ascii="Times New Roman" w:hAnsi="Times New Roman"/>
          <w:i/>
          <w:color w:val="74706E"/>
          <w:spacing w:val="-17"/>
          <w:sz w:val="15"/>
        </w:rPr>
        <w:t> </w:t>
      </w:r>
      <w:r>
        <w:rPr>
          <w:rFonts w:ascii="Arial" w:hAnsi="Arial"/>
          <w:i/>
          <w:color w:val="74706E"/>
          <w:sz w:val="14"/>
        </w:rPr>
        <w:t>AU</w:t>
      </w:r>
      <w:r>
        <w:rPr>
          <w:rFonts w:ascii="Arial" w:hAnsi="Arial"/>
          <w:i/>
          <w:color w:val="74706E"/>
          <w:spacing w:val="-19"/>
          <w:sz w:val="14"/>
        </w:rPr>
        <w:t> </w:t>
      </w:r>
      <w:r>
        <w:rPr>
          <w:rFonts w:ascii="Arial" w:hAnsi="Arial"/>
          <w:i/>
          <w:color w:val="74706E"/>
          <w:sz w:val="14"/>
        </w:rPr>
        <w:t>10</w:t>
      </w:r>
      <w:r>
        <w:rPr>
          <w:rFonts w:ascii="Arial" w:hAnsi="Arial"/>
          <w:i/>
          <w:color w:val="74706E"/>
          <w:spacing w:val="-29"/>
          <w:sz w:val="14"/>
        </w:rPr>
        <w:t>1</w:t>
      </w:r>
      <w:r>
        <w:rPr>
          <w:rFonts w:ascii="Arial" w:hAnsi="Arial"/>
          <w:i/>
          <w:color w:val="74706E"/>
          <w:sz w:val="14"/>
        </w:rPr>
        <w:t>2</w:t>
      </w:r>
      <w:r>
        <w:rPr>
          <w:rFonts w:ascii="Arial" w:hAnsi="Arial"/>
          <w:i/>
          <w:color w:val="74706E"/>
          <w:spacing w:val="6"/>
          <w:sz w:val="14"/>
        </w:rPr>
        <w:t>,</w:t>
      </w:r>
      <w:r>
        <w:rPr>
          <w:rFonts w:ascii="Times New Roman" w:hAnsi="Times New Roman"/>
          <w:color w:val="878282"/>
          <w:sz w:val="14"/>
        </w:rPr>
        <w:t>lndudini:</w:t>
      </w:r>
      <w:r>
        <w:rPr>
          <w:rFonts w:ascii="Times New Roman" w:hAnsi="Times New Roman"/>
          <w:sz w:val="14"/>
        </w:rPr>
      </w:r>
    </w:p>
    <w:p>
      <w:pPr>
        <w:numPr>
          <w:ilvl w:val="0"/>
          <w:numId w:val="3"/>
        </w:numPr>
        <w:tabs>
          <w:tab w:pos="1299" w:val="left" w:leader="none"/>
        </w:tabs>
        <w:spacing w:line="160" w:lineRule="exact" w:before="79"/>
        <w:ind w:left="1298" w:right="0" w:hanging="244"/>
        <w:jc w:val="both"/>
        <w:rPr>
          <w:rFonts w:ascii="Times New Roman" w:hAnsi="Times New Roman" w:cs="Times New Roman" w:eastAsia="Times New Roman"/>
          <w:sz w:val="13"/>
          <w:szCs w:val="13"/>
        </w:rPr>
      </w:pPr>
      <w:r>
        <w:rPr>
          <w:rFonts w:ascii="Times New Roman"/>
          <w:color w:val="74706E"/>
          <w:w w:val="105"/>
          <w:sz w:val="13"/>
        </w:rPr>
        <w:t>giYing</w:t>
      </w:r>
      <w:r>
        <w:rPr>
          <w:rFonts w:ascii="Times New Roman"/>
          <w:color w:val="74706E"/>
          <w:spacing w:val="-16"/>
          <w:w w:val="105"/>
          <w:sz w:val="13"/>
        </w:rPr>
        <w:t> </w:t>
      </w:r>
      <w:r>
        <w:rPr>
          <w:rFonts w:ascii="Arial"/>
          <w:color w:val="74706E"/>
          <w:w w:val="105"/>
          <w:sz w:val="13"/>
        </w:rPr>
        <w:t>a</w:t>
      </w:r>
      <w:r>
        <w:rPr>
          <w:rFonts w:ascii="Arial"/>
          <w:color w:val="74706E"/>
          <w:spacing w:val="-26"/>
          <w:w w:val="105"/>
          <w:sz w:val="13"/>
        </w:rPr>
        <w:t> </w:t>
      </w:r>
      <w:r>
        <w:rPr>
          <w:rFonts w:ascii="Arial"/>
          <w:color w:val="74706E"/>
          <w:w w:val="105"/>
          <w:sz w:val="12"/>
        </w:rPr>
        <w:t>ttUt</w:t>
      </w:r>
      <w:r>
        <w:rPr>
          <w:rFonts w:ascii="Arial"/>
          <w:color w:val="74706E"/>
          <w:spacing w:val="-19"/>
          <w:w w:val="105"/>
          <w:sz w:val="12"/>
        </w:rPr>
        <w:t> </w:t>
      </w:r>
      <w:r>
        <w:rPr>
          <w:rFonts w:ascii="Arial"/>
          <w:color w:val="74706E"/>
          <w:w w:val="105"/>
          <w:sz w:val="13"/>
        </w:rPr>
        <w:t>and</w:t>
      </w:r>
      <w:r>
        <w:rPr>
          <w:rFonts w:ascii="Arial"/>
          <w:color w:val="74706E"/>
          <w:spacing w:val="-26"/>
          <w:w w:val="105"/>
          <w:sz w:val="13"/>
        </w:rPr>
        <w:t> </w:t>
      </w:r>
      <w:r>
        <w:rPr>
          <w:rFonts w:ascii="Arial"/>
          <w:color w:val="74706E"/>
          <w:w w:val="105"/>
          <w:sz w:val="13"/>
        </w:rPr>
        <w:t>f</w:t>
      </w:r>
      <w:r>
        <w:rPr>
          <w:rFonts w:ascii="Arial"/>
          <w:color w:val="74706E"/>
          <w:spacing w:val="-26"/>
          <w:w w:val="105"/>
          <w:sz w:val="13"/>
        </w:rPr>
        <w:t>1</w:t>
      </w:r>
      <w:r>
        <w:rPr>
          <w:rFonts w:ascii="Arial"/>
          <w:color w:val="74706E"/>
          <w:w w:val="105"/>
          <w:sz w:val="13"/>
        </w:rPr>
        <w:t>irvie</w:t>
      </w:r>
      <w:r>
        <w:rPr>
          <w:rFonts w:ascii="Arial"/>
          <w:color w:val="74706E"/>
          <w:spacing w:val="9"/>
          <w:w w:val="105"/>
          <w:sz w:val="13"/>
        </w:rPr>
        <w:t>w</w:t>
      </w:r>
      <w:r>
        <w:rPr>
          <w:rFonts w:ascii="Arial"/>
          <w:color w:val="74706E"/>
          <w:w w:val="105"/>
          <w:sz w:val="14"/>
        </w:rPr>
        <w:t>ol</w:t>
      </w:r>
      <w:r>
        <w:rPr>
          <w:rFonts w:ascii="Arial"/>
          <w:color w:val="74706E"/>
          <w:spacing w:val="-33"/>
          <w:w w:val="105"/>
          <w:sz w:val="14"/>
        </w:rPr>
        <w:t> </w:t>
      </w:r>
      <w:r>
        <w:rPr>
          <w:rFonts w:ascii="Times New Roman"/>
          <w:color w:val="74706E"/>
          <w:w w:val="105"/>
          <w:sz w:val="14"/>
        </w:rPr>
        <w:t>tht</w:t>
      </w:r>
      <w:r>
        <w:rPr>
          <w:rFonts w:ascii="Times New Roman"/>
          <w:color w:val="74706E"/>
          <w:spacing w:val="-28"/>
          <w:w w:val="105"/>
          <w:sz w:val="14"/>
        </w:rPr>
        <w:t> </w:t>
      </w:r>
      <w:r>
        <w:rPr>
          <w:rFonts w:ascii="Arial"/>
          <w:color w:val="74706E"/>
          <w:spacing w:val="-26"/>
          <w:w w:val="105"/>
          <w:sz w:val="13"/>
        </w:rPr>
        <w:t>C</w:t>
      </w:r>
      <w:r>
        <w:rPr>
          <w:rFonts w:ascii="Arial"/>
          <w:color w:val="74706E"/>
          <w:w w:val="105"/>
          <w:sz w:val="13"/>
        </w:rPr>
        <w:t>on'C)llY\"S</w:t>
      </w:r>
      <w:r>
        <w:rPr>
          <w:rFonts w:ascii="Arial"/>
          <w:color w:val="74706E"/>
          <w:spacing w:val="-21"/>
          <w:w w:val="105"/>
          <w:sz w:val="13"/>
        </w:rPr>
        <w:t> </w:t>
      </w:r>
      <w:r>
        <w:rPr>
          <w:rFonts w:ascii="Arial"/>
          <w:color w:val="74706E"/>
          <w:w w:val="105"/>
          <w:sz w:val="13"/>
        </w:rPr>
        <w:t>f</w:t>
      </w:r>
      <w:r>
        <w:rPr>
          <w:rFonts w:ascii="Arial"/>
          <w:color w:val="74706E"/>
          <w:spacing w:val="-10"/>
          <w:w w:val="105"/>
          <w:sz w:val="13"/>
        </w:rPr>
        <w:t>i</w:t>
      </w:r>
      <w:r>
        <w:rPr>
          <w:rFonts w:ascii="Arial"/>
          <w:color w:val="74706E"/>
          <w:w w:val="105"/>
          <w:sz w:val="13"/>
        </w:rPr>
        <w:t>nanc</w:t>
      </w:r>
      <w:r>
        <w:rPr>
          <w:rFonts w:ascii="Arial"/>
          <w:color w:val="74706E"/>
          <w:spacing w:val="-13"/>
          <w:w w:val="105"/>
          <w:sz w:val="13"/>
        </w:rPr>
        <w:t>i</w:t>
      </w:r>
      <w:r>
        <w:rPr>
          <w:rFonts w:ascii="Arial"/>
          <w:color w:val="74706E"/>
          <w:w w:val="105"/>
          <w:sz w:val="13"/>
        </w:rPr>
        <w:t>a</w:t>
      </w:r>
      <w:r>
        <w:rPr>
          <w:rFonts w:ascii="Arial"/>
          <w:color w:val="74706E"/>
          <w:spacing w:val="13"/>
          <w:w w:val="105"/>
          <w:sz w:val="13"/>
        </w:rPr>
        <w:t>l</w:t>
      </w:r>
      <w:r>
        <w:rPr>
          <w:rFonts w:ascii="Arial"/>
          <w:color w:val="74706E"/>
          <w:w w:val="105"/>
          <w:sz w:val="13"/>
        </w:rPr>
        <w:t>pos</w:t>
      </w:r>
      <w:r>
        <w:rPr>
          <w:rFonts w:ascii="Arial"/>
          <w:color w:val="74706E"/>
          <w:spacing w:val="-15"/>
          <w:w w:val="105"/>
          <w:sz w:val="13"/>
        </w:rPr>
        <w:t>i</w:t>
      </w:r>
      <w:r>
        <w:rPr>
          <w:rFonts w:ascii="Arial"/>
          <w:color w:val="74706E"/>
          <w:spacing w:val="-2"/>
          <w:w w:val="105"/>
          <w:sz w:val="13"/>
        </w:rPr>
        <w:t>t</w:t>
      </w:r>
      <w:r>
        <w:rPr>
          <w:rFonts w:ascii="Arial"/>
          <w:color w:val="74706E"/>
          <w:spacing w:val="-23"/>
          <w:w w:val="105"/>
          <w:sz w:val="13"/>
        </w:rPr>
        <w:t>i</w:t>
      </w:r>
      <w:r>
        <w:rPr>
          <w:rFonts w:ascii="Arial"/>
          <w:color w:val="74706E"/>
          <w:w w:val="105"/>
          <w:sz w:val="13"/>
        </w:rPr>
        <w:t>on</w:t>
      </w:r>
      <w:r>
        <w:rPr>
          <w:rFonts w:ascii="Arial"/>
          <w:color w:val="74706E"/>
          <w:spacing w:val="-29"/>
          <w:w w:val="105"/>
          <w:sz w:val="13"/>
        </w:rPr>
        <w:t> </w:t>
      </w:r>
      <w:r>
        <w:rPr>
          <w:rFonts w:ascii="Arial"/>
          <w:color w:val="74706E"/>
          <w:w w:val="105"/>
          <w:sz w:val="13"/>
        </w:rPr>
        <w:t>a</w:t>
      </w:r>
      <w:r>
        <w:rPr>
          <w:rFonts w:ascii="Arial"/>
          <w:color w:val="74706E"/>
          <w:spacing w:val="6"/>
          <w:w w:val="105"/>
          <w:sz w:val="13"/>
        </w:rPr>
        <w:t>s</w:t>
      </w:r>
      <w:r>
        <w:rPr>
          <w:rFonts w:ascii="Times New Roman"/>
          <w:color w:val="74706E"/>
          <w:w w:val="105"/>
          <w:sz w:val="14"/>
        </w:rPr>
        <w:t>at</w:t>
      </w:r>
      <w:r>
        <w:rPr>
          <w:rFonts w:ascii="Times New Roman"/>
          <w:color w:val="74706E"/>
          <w:spacing w:val="-21"/>
          <w:w w:val="105"/>
          <w:sz w:val="14"/>
        </w:rPr>
        <w:t> </w:t>
      </w:r>
      <w:r>
        <w:rPr>
          <w:rFonts w:ascii="Arial"/>
          <w:color w:val="74706E"/>
          <w:w w:val="105"/>
          <w:sz w:val="13"/>
        </w:rPr>
        <w:t>3</w:t>
      </w:r>
      <w:r>
        <w:rPr>
          <w:rFonts w:ascii="Arial"/>
          <w:color w:val="74706E"/>
          <w:spacing w:val="4"/>
          <w:w w:val="105"/>
          <w:sz w:val="13"/>
        </w:rPr>
        <w:t>0</w:t>
      </w:r>
      <w:r>
        <w:rPr>
          <w:rFonts w:ascii="Arial"/>
          <w:color w:val="5D5B59"/>
          <w:w w:val="105"/>
          <w:sz w:val="13"/>
        </w:rPr>
        <w:t>J</w:t>
      </w:r>
      <w:r>
        <w:rPr>
          <w:rFonts w:ascii="Arial"/>
          <w:color w:val="5D5B59"/>
          <w:spacing w:val="-12"/>
          <w:w w:val="105"/>
          <w:sz w:val="13"/>
        </w:rPr>
        <w:t>u</w:t>
      </w:r>
      <w:r>
        <w:rPr>
          <w:rFonts w:ascii="Arial"/>
          <w:color w:val="5D5B59"/>
          <w:w w:val="105"/>
          <w:sz w:val="13"/>
        </w:rPr>
        <w:t>ne</w:t>
      </w:r>
      <w:r>
        <w:rPr>
          <w:rFonts w:ascii="Arial"/>
          <w:color w:val="5D5B59"/>
          <w:spacing w:val="-28"/>
          <w:w w:val="105"/>
          <w:sz w:val="13"/>
        </w:rPr>
        <w:t> </w:t>
      </w:r>
      <w:r>
        <w:rPr>
          <w:rFonts w:ascii="Arial"/>
          <w:color w:val="74706E"/>
          <w:w w:val="105"/>
          <w:sz w:val="13"/>
        </w:rPr>
        <w:t>20</w:t>
      </w:r>
      <w:r>
        <w:rPr>
          <w:rFonts w:ascii="Arial"/>
          <w:color w:val="74706E"/>
          <w:spacing w:val="-27"/>
          <w:w w:val="105"/>
          <w:sz w:val="13"/>
        </w:rPr>
        <w:t>1</w:t>
      </w:r>
      <w:r>
        <w:rPr>
          <w:rFonts w:ascii="Arial"/>
          <w:color w:val="74706E"/>
          <w:w w:val="105"/>
          <w:sz w:val="13"/>
        </w:rPr>
        <w:t>9</w:t>
      </w:r>
      <w:r>
        <w:rPr>
          <w:rFonts w:ascii="Arial"/>
          <w:color w:val="74706E"/>
          <w:spacing w:val="-31"/>
          <w:w w:val="105"/>
          <w:sz w:val="13"/>
        </w:rPr>
        <w:t>1</w:t>
      </w:r>
      <w:r>
        <w:rPr>
          <w:rFonts w:ascii="Arial"/>
          <w:color w:val="74706E"/>
          <w:w w:val="105"/>
          <w:sz w:val="13"/>
        </w:rPr>
        <w:t>n</w:t>
      </w:r>
      <w:r>
        <w:rPr>
          <w:rFonts w:ascii="Arial"/>
          <w:color w:val="74706E"/>
          <w:spacing w:val="9"/>
          <w:w w:val="105"/>
          <w:sz w:val="13"/>
        </w:rPr>
        <w:t>d</w:t>
      </w:r>
      <w:r>
        <w:rPr>
          <w:rFonts w:ascii="Arial"/>
          <w:color w:val="74706E"/>
          <w:w w:val="105"/>
          <w:sz w:val="13"/>
        </w:rPr>
        <w:t>o</w:t>
      </w:r>
      <w:r>
        <w:rPr>
          <w:rFonts w:ascii="Arial"/>
          <w:color w:val="74706E"/>
          <w:spacing w:val="-18"/>
          <w:w w:val="105"/>
          <w:sz w:val="13"/>
        </w:rPr>
        <w:t>f</w:t>
      </w:r>
      <w:r>
        <w:rPr>
          <w:rFonts w:ascii="Arial"/>
          <w:color w:val="5D5B59"/>
          <w:spacing w:val="-76"/>
          <w:w w:val="105"/>
          <w:sz w:val="13"/>
        </w:rPr>
        <w:t>i</w:t>
      </w:r>
      <w:r>
        <w:rPr>
          <w:rFonts w:ascii="Arial"/>
          <w:color w:val="5D5B59"/>
          <w:spacing w:val="-4"/>
          <w:w w:val="105"/>
          <w:sz w:val="13"/>
        </w:rPr>
        <w:t>t</w:t>
      </w:r>
      <w:r>
        <w:rPr>
          <w:rFonts w:ascii="Arial"/>
          <w:color w:val="878282"/>
          <w:w w:val="105"/>
          <w:sz w:val="13"/>
        </w:rPr>
        <w:t>sperlonn</w:t>
      </w:r>
      <w:r>
        <w:rPr>
          <w:rFonts w:ascii="Arial"/>
          <w:color w:val="878282"/>
          <w:spacing w:val="2"/>
          <w:w w:val="105"/>
          <w:sz w:val="13"/>
        </w:rPr>
        <w:t>a</w:t>
      </w:r>
      <w:r>
        <w:rPr>
          <w:rFonts w:ascii="Arial"/>
          <w:color w:val="5D5B59"/>
          <w:w w:val="105"/>
          <w:sz w:val="13"/>
        </w:rPr>
        <w:t>n</w:t>
      </w:r>
      <w:r>
        <w:rPr>
          <w:rFonts w:ascii="Arial"/>
          <w:color w:val="5D5B59"/>
          <w:spacing w:val="-9"/>
          <w:w w:val="105"/>
          <w:sz w:val="13"/>
        </w:rPr>
        <w:t>c</w:t>
      </w:r>
      <w:r>
        <w:rPr>
          <w:rFonts w:ascii="Arial"/>
          <w:color w:val="878282"/>
          <w:w w:val="105"/>
          <w:sz w:val="13"/>
        </w:rPr>
        <w:t>e</w:t>
      </w:r>
      <w:r>
        <w:rPr>
          <w:rFonts w:ascii="Arial"/>
          <w:color w:val="878282"/>
          <w:spacing w:val="-27"/>
          <w:w w:val="105"/>
          <w:sz w:val="13"/>
        </w:rPr>
        <w:t> </w:t>
      </w:r>
      <w:r>
        <w:rPr>
          <w:rFonts w:ascii="Times New Roman"/>
          <w:color w:val="5D5B59"/>
          <w:spacing w:val="8"/>
          <w:w w:val="105"/>
          <w:sz w:val="13"/>
        </w:rPr>
        <w:t>f</w:t>
      </w:r>
      <w:r>
        <w:rPr>
          <w:rFonts w:ascii="Times New Roman"/>
          <w:color w:val="878282"/>
          <w:w w:val="105"/>
          <w:sz w:val="13"/>
        </w:rPr>
        <w:t>Of</w:t>
      </w:r>
      <w:r>
        <w:rPr>
          <w:rFonts w:ascii="Times New Roman"/>
          <w:sz w:val="13"/>
        </w:rPr>
      </w:r>
    </w:p>
    <w:p>
      <w:pPr>
        <w:spacing w:line="160" w:lineRule="exact" w:before="0"/>
        <w:ind w:left="1313" w:right="0" w:firstLine="0"/>
        <w:jc w:val="left"/>
        <w:rPr>
          <w:rFonts w:ascii="Times New Roman" w:hAnsi="Times New Roman" w:cs="Times New Roman" w:eastAsia="Times New Roman"/>
          <w:sz w:val="14"/>
          <w:szCs w:val="14"/>
        </w:rPr>
      </w:pPr>
      <w:r>
        <w:rPr>
          <w:rFonts w:ascii="Times New Roman"/>
          <w:color w:val="74706E"/>
          <w:w w:val="95"/>
          <w:sz w:val="14"/>
        </w:rPr>
        <w:t>the</w:t>
      </w:r>
      <w:r>
        <w:rPr>
          <w:rFonts w:ascii="Times New Roman"/>
          <w:color w:val="74706E"/>
          <w:spacing w:val="1"/>
          <w:w w:val="95"/>
          <w:sz w:val="14"/>
        </w:rPr>
        <w:t>ye&lt;1r</w:t>
      </w:r>
      <w:r>
        <w:rPr>
          <w:rFonts w:ascii="Times New Roman"/>
          <w:color w:val="74706E"/>
          <w:spacing w:val="2"/>
          <w:w w:val="95"/>
          <w:sz w:val="14"/>
        </w:rPr>
        <w:t> </w:t>
      </w:r>
      <w:r>
        <w:rPr>
          <w:rFonts w:ascii="Times New Roman"/>
          <w:color w:val="74706E"/>
          <w:w w:val="95"/>
          <w:sz w:val="14"/>
        </w:rPr>
        <w:t>then</w:t>
      </w:r>
      <w:r>
        <w:rPr>
          <w:rFonts w:ascii="Times New Roman"/>
          <w:color w:val="74706E"/>
          <w:spacing w:val="-2"/>
          <w:w w:val="95"/>
          <w:sz w:val="14"/>
        </w:rPr>
        <w:t> </w:t>
      </w:r>
      <w:r>
        <w:rPr>
          <w:rFonts w:ascii="Times New Roman"/>
          <w:color w:val="74706E"/>
          <w:spacing w:val="-3"/>
          <w:w w:val="95"/>
          <w:sz w:val="14"/>
        </w:rPr>
        <w:t>ended</w:t>
      </w:r>
      <w:r>
        <w:rPr>
          <w:rFonts w:ascii="Times New Roman"/>
          <w:color w:val="74706E"/>
          <w:spacing w:val="-2"/>
          <w:w w:val="95"/>
          <w:sz w:val="14"/>
        </w:rPr>
        <w:t>;</w:t>
      </w:r>
      <w:r>
        <w:rPr>
          <w:rFonts w:ascii="Times New Roman"/>
          <w:color w:val="74706E"/>
          <w:spacing w:val="-4"/>
          <w:w w:val="95"/>
          <w:sz w:val="14"/>
        </w:rPr>
        <w:t>&lt;1M</w:t>
      </w:r>
      <w:r>
        <w:rPr>
          <w:rFonts w:ascii="Times New Roman"/>
          <w:sz w:val="14"/>
        </w:rPr>
      </w:r>
    </w:p>
    <w:p>
      <w:pPr>
        <w:spacing w:line="239" w:lineRule="auto" w:before="83"/>
        <w:ind w:left="1313" w:right="1158" w:hanging="260"/>
        <w:jc w:val="both"/>
        <w:rPr>
          <w:rFonts w:ascii="Times New Roman" w:hAnsi="Times New Roman" w:cs="Times New Roman" w:eastAsia="Times New Roman"/>
          <w:sz w:val="15"/>
          <w:szCs w:val="15"/>
        </w:rPr>
      </w:pPr>
      <w:r>
        <w:rPr>
          <w:rFonts w:ascii="Times New Roman" w:hAnsi="Times New Roman"/>
          <w:color w:val="74706E"/>
          <w:sz w:val="13"/>
        </w:rPr>
        <w:t>(</w:t>
      </w:r>
      <w:r>
        <w:rPr>
          <w:rFonts w:ascii="Times New Roman" w:hAnsi="Times New Roman"/>
          <w:color w:val="74706E"/>
          <w:spacing w:val="-21"/>
          <w:sz w:val="13"/>
        </w:rPr>
        <w:t>b</w:t>
      </w:r>
      <w:r>
        <w:rPr>
          <w:rFonts w:ascii="Times New Roman" w:hAnsi="Times New Roman"/>
          <w:color w:val="74706E"/>
          <w:sz w:val="13"/>
        </w:rPr>
        <w:t>)</w:t>
      </w:r>
      <w:r>
        <w:rPr>
          <w:rFonts w:ascii="Times New Roman" w:hAnsi="Times New Roman"/>
          <w:color w:val="74706E"/>
          <w:spacing w:val="28"/>
          <w:sz w:val="13"/>
        </w:rPr>
        <w:t> </w:t>
      </w:r>
      <w:r>
        <w:rPr>
          <w:rFonts w:ascii="Arial" w:hAnsi="Arial"/>
          <w:color w:val="74706E"/>
          <w:sz w:val="13"/>
        </w:rPr>
        <w:t>oomp</w:t>
      </w:r>
      <w:r>
        <w:rPr>
          <w:rFonts w:ascii="Arial" w:hAnsi="Arial"/>
          <w:color w:val="74706E"/>
          <w:spacing w:val="-6"/>
          <w:sz w:val="13"/>
        </w:rPr>
        <w:t>l</w:t>
      </w:r>
      <w:r>
        <w:rPr>
          <w:rFonts w:ascii="Arial" w:hAnsi="Arial"/>
          <w:color w:val="74706E"/>
          <w:sz w:val="13"/>
        </w:rPr>
        <w:t>yttig</w:t>
      </w:r>
      <w:r>
        <w:rPr>
          <w:rFonts w:ascii="Arial" w:hAnsi="Arial"/>
          <w:color w:val="74706E"/>
          <w:spacing w:val="-12"/>
          <w:sz w:val="13"/>
        </w:rPr>
        <w:t> </w:t>
      </w:r>
      <w:r>
        <w:rPr>
          <w:rFonts w:ascii="Arial" w:hAnsi="Arial"/>
          <w:color w:val="74706E"/>
          <w:sz w:val="13"/>
        </w:rPr>
        <w:t>with</w:t>
      </w:r>
      <w:r>
        <w:rPr>
          <w:rFonts w:ascii="Arial" w:hAnsi="Arial"/>
          <w:color w:val="74706E"/>
          <w:spacing w:val="-10"/>
          <w:sz w:val="13"/>
        </w:rPr>
        <w:t> </w:t>
      </w:r>
      <w:r>
        <w:rPr>
          <w:rFonts w:ascii="Arial" w:hAnsi="Arial"/>
          <w:color w:val="74706E"/>
          <w:sz w:val="13"/>
        </w:rPr>
        <w:t>Austta!tan</w:t>
      </w:r>
      <w:r>
        <w:rPr>
          <w:rFonts w:ascii="Arial" w:hAnsi="Arial"/>
          <w:color w:val="74706E"/>
          <w:spacing w:val="-4"/>
          <w:sz w:val="13"/>
        </w:rPr>
        <w:t> </w:t>
      </w:r>
      <w:r>
        <w:rPr>
          <w:rFonts w:ascii="Arial" w:hAnsi="Arial"/>
          <w:color w:val="74706E"/>
          <w:sz w:val="13"/>
        </w:rPr>
        <w:t>A</w:t>
      </w:r>
      <w:r>
        <w:rPr>
          <w:rFonts w:ascii="Arial" w:hAnsi="Arial"/>
          <w:color w:val="74706E"/>
          <w:spacing w:val="-22"/>
          <w:sz w:val="13"/>
        </w:rPr>
        <w:t>&lt;</w:t>
      </w:r>
      <w:r>
        <w:rPr>
          <w:rFonts w:ascii="Arial" w:hAnsi="Arial"/>
          <w:color w:val="74706E"/>
          <w:spacing w:val="-25"/>
          <w:sz w:val="13"/>
        </w:rPr>
        <w:t>«</w:t>
      </w:r>
      <w:r>
        <w:rPr>
          <w:rFonts w:ascii="Arial" w:hAnsi="Arial"/>
          <w:color w:val="74706E"/>
          <w:sz w:val="13"/>
        </w:rPr>
        <w:t>M.mtlnc</w:t>
      </w:r>
      <w:r>
        <w:rPr>
          <w:rFonts w:ascii="Arial" w:hAnsi="Arial"/>
          <w:color w:val="74706E"/>
          <w:spacing w:val="-9"/>
          <w:sz w:val="13"/>
        </w:rPr>
        <w:t> </w:t>
      </w:r>
      <w:r>
        <w:rPr>
          <w:rFonts w:ascii="Arial" w:hAnsi="Arial"/>
          <w:color w:val="74706E"/>
          <w:sz w:val="13"/>
        </w:rPr>
        <w:t>Standards</w:t>
      </w:r>
      <w:r>
        <w:rPr>
          <w:rFonts w:ascii="Arial" w:hAnsi="Arial"/>
          <w:color w:val="74706E"/>
          <w:spacing w:val="-6"/>
          <w:sz w:val="13"/>
        </w:rPr>
        <w:t> </w:t>
      </w:r>
      <w:r>
        <w:rPr>
          <w:rFonts w:ascii="Arial" w:hAnsi="Arial"/>
          <w:color w:val="878282"/>
          <w:w w:val="175"/>
          <w:sz w:val="13"/>
        </w:rPr>
        <w:t>-</w:t>
      </w:r>
      <w:r>
        <w:rPr>
          <w:rFonts w:ascii="Arial" w:hAnsi="Arial"/>
          <w:color w:val="878282"/>
          <w:spacing w:val="50"/>
          <w:w w:val="175"/>
          <w:sz w:val="13"/>
        </w:rPr>
        <w:t> </w:t>
      </w:r>
      <w:r>
        <w:rPr>
          <w:rFonts w:ascii="Arial" w:hAnsi="Arial"/>
          <w:color w:val="74706E"/>
          <w:sz w:val="13"/>
        </w:rPr>
        <w:t>dl.K'ed</w:t>
      </w:r>
      <w:r>
        <w:rPr>
          <w:rFonts w:ascii="Arial" w:hAnsi="Arial"/>
          <w:color w:val="74706E"/>
          <w:spacing w:val="-9"/>
          <w:sz w:val="13"/>
        </w:rPr>
        <w:t> </w:t>
      </w:r>
      <w:r>
        <w:rPr>
          <w:rFonts w:ascii="Arial" w:hAnsi="Arial"/>
          <w:color w:val="74706E"/>
          <w:sz w:val="13"/>
        </w:rPr>
        <w:t>Obclosi.re</w:t>
      </w:r>
      <w:r>
        <w:rPr>
          <w:rFonts w:ascii="Arial" w:hAnsi="Arial"/>
          <w:color w:val="74706E"/>
          <w:spacing w:val="-6"/>
          <w:sz w:val="13"/>
        </w:rPr>
        <w:t> </w:t>
      </w:r>
      <w:r>
        <w:rPr>
          <w:rFonts w:ascii="Arial" w:hAnsi="Arial"/>
          <w:color w:val="74706E"/>
          <w:sz w:val="13"/>
        </w:rPr>
        <w:t>Recp.itremeflts. </w:t>
      </w:r>
      <w:r>
        <w:rPr>
          <w:rFonts w:ascii="Times New Roman" w:hAnsi="Times New Roman"/>
          <w:color w:val="5D5B59"/>
          <w:sz w:val="14"/>
        </w:rPr>
        <w:t>the</w:t>
      </w:r>
      <w:r>
        <w:rPr>
          <w:rFonts w:ascii="Times New Roman" w:hAnsi="Times New Roman"/>
          <w:color w:val="5D5B59"/>
          <w:spacing w:val="-8"/>
          <w:sz w:val="14"/>
        </w:rPr>
        <w:t> </w:t>
      </w:r>
      <w:r>
        <w:rPr>
          <w:rFonts w:ascii="Arial" w:hAnsi="Arial"/>
          <w:i/>
          <w:color w:val="74706E"/>
          <w:spacing w:val="-14"/>
          <w:sz w:val="12"/>
        </w:rPr>
        <w:t>(</w:t>
      </w:r>
      <w:r>
        <w:rPr>
          <w:rFonts w:ascii="Arial" w:hAnsi="Arial"/>
          <w:i/>
          <w:color w:val="74706E"/>
          <w:sz w:val="12"/>
        </w:rPr>
        <w:t>&lt;Hporotions</w:t>
      </w:r>
      <w:r>
        <w:rPr>
          <w:rFonts w:ascii="Arial" w:hAnsi="Arial"/>
          <w:i/>
          <w:color w:val="74706E"/>
          <w:w w:val="98"/>
          <w:sz w:val="12"/>
        </w:rPr>
        <w:t> </w:t>
      </w:r>
      <w:r>
        <w:rPr>
          <w:rFonts w:ascii="Arial" w:hAnsi="Arial"/>
          <w:i/>
          <w:color w:val="74706E"/>
          <w:sz w:val="12"/>
        </w:rPr>
        <w:t>1tt'9ufotio</w:t>
      </w:r>
      <w:r>
        <w:rPr>
          <w:rFonts w:ascii="Arial" w:hAnsi="Arial"/>
          <w:i/>
          <w:color w:val="74706E"/>
          <w:spacing w:val="-25"/>
          <w:sz w:val="12"/>
        </w:rPr>
        <w:t>n</w:t>
      </w:r>
      <w:r>
        <w:rPr>
          <w:rFonts w:ascii="Arial" w:hAnsi="Arial"/>
          <w:i/>
          <w:color w:val="74706E"/>
          <w:spacing w:val="-11"/>
          <w:sz w:val="12"/>
        </w:rPr>
        <w:t>1</w:t>
      </w:r>
      <w:r>
        <w:rPr>
          <w:rFonts w:ascii="Arial" w:hAnsi="Arial"/>
          <w:i/>
          <w:color w:val="5D5B59"/>
          <w:sz w:val="12"/>
        </w:rPr>
        <w:t>2001 </w:t>
      </w:r>
      <w:r>
        <w:rPr>
          <w:rFonts w:ascii="Arial" w:hAnsi="Arial"/>
          <w:color w:val="878282"/>
          <w:sz w:val="13"/>
        </w:rPr>
        <w:t>and</w:t>
      </w:r>
      <w:r>
        <w:rPr>
          <w:rFonts w:ascii="Arial" w:hAnsi="Arial"/>
          <w:color w:val="878282"/>
          <w:spacing w:val="-1"/>
          <w:sz w:val="13"/>
        </w:rPr>
        <w:t> </w:t>
      </w:r>
      <w:r>
        <w:rPr>
          <w:rFonts w:ascii="Times New Roman" w:hAnsi="Times New Roman"/>
          <w:color w:val="74706E"/>
          <w:sz w:val="13"/>
        </w:rPr>
        <w:t>Q</w:t>
      </w:r>
      <w:r>
        <w:rPr>
          <w:rFonts w:ascii="Times New Roman" w:hAnsi="Times New Roman"/>
          <w:color w:val="74706E"/>
          <w:spacing w:val="-21"/>
          <w:sz w:val="13"/>
        </w:rPr>
        <w:t>i</w:t>
      </w:r>
      <w:r>
        <w:rPr>
          <w:rFonts w:ascii="Times New Roman" w:hAnsi="Times New Roman"/>
          <w:color w:val="74706E"/>
          <w:sz w:val="13"/>
        </w:rPr>
        <w:t>._;Sion</w:t>
      </w:r>
      <w:r>
        <w:rPr>
          <w:rFonts w:ascii="Times New Roman" w:hAnsi="Times New Roman"/>
          <w:color w:val="74706E"/>
          <w:spacing w:val="12"/>
          <w:sz w:val="13"/>
        </w:rPr>
        <w:t> </w:t>
      </w:r>
      <w:r>
        <w:rPr>
          <w:rFonts w:ascii="Times New Roman" w:hAnsi="Times New Roman"/>
          <w:color w:val="74706E"/>
          <w:sz w:val="13"/>
        </w:rPr>
        <w:t>60</w:t>
      </w:r>
      <w:r>
        <w:rPr>
          <w:rFonts w:ascii="Times New Roman" w:hAnsi="Times New Roman"/>
          <w:color w:val="74706E"/>
          <w:spacing w:val="5"/>
          <w:sz w:val="13"/>
        </w:rPr>
        <w:t> </w:t>
      </w:r>
      <w:r>
        <w:rPr>
          <w:rFonts w:ascii="Arial" w:hAnsi="Arial"/>
          <w:color w:val="74706E"/>
          <w:sz w:val="13"/>
        </w:rPr>
        <w:t>of</w:t>
      </w:r>
      <w:r>
        <w:rPr>
          <w:rFonts w:ascii="Arial" w:hAnsi="Arial"/>
          <w:color w:val="74706E"/>
          <w:spacing w:val="15"/>
          <w:sz w:val="13"/>
        </w:rPr>
        <w:t> </w:t>
      </w:r>
      <w:r>
        <w:rPr>
          <w:rFonts w:ascii="Times New Roman" w:hAnsi="Times New Roman"/>
          <w:color w:val="74706E"/>
          <w:sz w:val="14"/>
        </w:rPr>
        <w:t>the</w:t>
      </w:r>
      <w:r>
        <w:rPr>
          <w:rFonts w:ascii="Times New Roman" w:hAnsi="Times New Roman"/>
          <w:color w:val="74706E"/>
          <w:spacing w:val="-6"/>
          <w:sz w:val="14"/>
        </w:rPr>
        <w:t> </w:t>
      </w:r>
      <w:r>
        <w:rPr>
          <w:rFonts w:ascii="Arial" w:hAnsi="Arial"/>
          <w:i/>
          <w:color w:val="74706E"/>
          <w:sz w:val="12"/>
        </w:rPr>
        <w:t>Au</w:t>
      </w:r>
      <w:r>
        <w:rPr>
          <w:rFonts w:ascii="Arial" w:hAnsi="Arial"/>
          <w:i/>
          <w:color w:val="74706E"/>
          <w:spacing w:val="-6"/>
          <w:sz w:val="12"/>
        </w:rPr>
        <w:t>u</w:t>
      </w:r>
      <w:r>
        <w:rPr>
          <w:rFonts w:ascii="Arial" w:hAnsi="Arial"/>
          <w:i/>
          <w:color w:val="74706E"/>
          <w:spacing w:val="-27"/>
          <w:sz w:val="12"/>
        </w:rPr>
        <w:t>1</w:t>
      </w:r>
      <w:r>
        <w:rPr>
          <w:rFonts w:ascii="Arial" w:hAnsi="Arial"/>
          <w:i/>
          <w:color w:val="74706E"/>
          <w:sz w:val="12"/>
        </w:rPr>
        <w:t>o.Gon</w:t>
      </w:r>
      <w:r>
        <w:rPr>
          <w:rFonts w:ascii="Arial" w:hAnsi="Arial"/>
          <w:i/>
          <w:color w:val="74706E"/>
          <w:spacing w:val="15"/>
          <w:sz w:val="12"/>
        </w:rPr>
        <w:t> </w:t>
      </w:r>
      <w:r>
        <w:rPr>
          <w:rFonts w:ascii="Arial" w:hAnsi="Arial"/>
          <w:i/>
          <w:color w:val="5D5B59"/>
          <w:sz w:val="12"/>
        </w:rPr>
        <w:t>ChOrititts </w:t>
      </w:r>
      <w:r>
        <w:rPr>
          <w:rFonts w:ascii="Times New Roman" w:hAnsi="Times New Roman"/>
          <w:i/>
          <w:color w:val="74706E"/>
          <w:sz w:val="13"/>
        </w:rPr>
        <w:t>and</w:t>
      </w:r>
      <w:r>
        <w:rPr>
          <w:rFonts w:ascii="Times New Roman" w:hAnsi="Times New Roman"/>
          <w:i/>
          <w:color w:val="74706E"/>
          <w:spacing w:val="13"/>
          <w:sz w:val="13"/>
        </w:rPr>
        <w:t> </w:t>
      </w:r>
      <w:r>
        <w:rPr>
          <w:rFonts w:ascii="Arial" w:hAnsi="Arial"/>
          <w:i/>
          <w:color w:val="74706E"/>
          <w:sz w:val="12"/>
        </w:rPr>
        <w:t>Not</w:t>
      </w:r>
      <w:r>
        <w:rPr>
          <w:rFonts w:ascii="Arial" w:hAnsi="Arial"/>
          <w:i/>
          <w:color w:val="74706E"/>
          <w:spacing w:val="-22"/>
          <w:sz w:val="12"/>
        </w:rPr>
        <w:t>·</w:t>
      </w:r>
      <w:r>
        <w:rPr>
          <w:rFonts w:ascii="Arial" w:hAnsi="Arial"/>
          <w:i/>
          <w:color w:val="74706E"/>
          <w:sz w:val="12"/>
        </w:rPr>
        <w:t>/Ol</w:t>
      </w:r>
      <w:r>
        <w:rPr>
          <w:rFonts w:ascii="Arial" w:hAnsi="Arial"/>
          <w:i/>
          <w:color w:val="74706E"/>
          <w:spacing w:val="-12"/>
          <w:sz w:val="12"/>
        </w:rPr>
        <w:t>·</w:t>
      </w:r>
      <w:r>
        <w:rPr>
          <w:rFonts w:ascii="Arial" w:hAnsi="Arial"/>
          <w:i/>
          <w:color w:val="74706E"/>
          <w:sz w:val="12"/>
        </w:rPr>
        <w:t>ptofi:S</w:t>
      </w:r>
      <w:r>
        <w:rPr>
          <w:rFonts w:ascii="Arial" w:hAnsi="Arial"/>
          <w:i/>
          <w:color w:val="74706E"/>
          <w:spacing w:val="26"/>
          <w:sz w:val="12"/>
        </w:rPr>
        <w:t> </w:t>
      </w:r>
      <w:r>
        <w:rPr>
          <w:rFonts w:ascii="Arial" w:hAnsi="Arial"/>
          <w:i/>
          <w:color w:val="74706E"/>
          <w:sz w:val="12"/>
        </w:rPr>
        <w:t>CommittiOn</w:t>
      </w:r>
      <w:r>
        <w:rPr>
          <w:rFonts w:ascii="Arial" w:hAnsi="Arial"/>
          <w:i/>
          <w:color w:val="74706E"/>
          <w:spacing w:val="12"/>
          <w:sz w:val="12"/>
        </w:rPr>
        <w:t> </w:t>
      </w:r>
      <w:r>
        <w:rPr>
          <w:rFonts w:ascii="Times New Roman" w:hAnsi="Times New Roman"/>
          <w:color w:val="74706E"/>
          <w:sz w:val="13"/>
        </w:rPr>
        <w:t>lttgoulor.ion</w:t>
      </w:r>
      <w:r>
        <w:rPr>
          <w:rFonts w:ascii="Times New Roman" w:hAnsi="Times New Roman"/>
          <w:color w:val="74706E"/>
          <w:w w:val="89"/>
          <w:sz w:val="13"/>
        </w:rPr>
        <w:t> </w:t>
      </w:r>
      <w:r>
        <w:rPr>
          <w:rFonts w:ascii="Times New Roman" w:hAnsi="Times New Roman"/>
          <w:color w:val="74706E"/>
          <w:sz w:val="15"/>
        </w:rPr>
        <w:t>ZOIJ.</w:t>
      </w:r>
      <w:r>
        <w:rPr>
          <w:rFonts w:ascii="Times New Roman" w:hAnsi="Times New Roman"/>
          <w:sz w:val="15"/>
        </w:rPr>
      </w:r>
    </w:p>
    <w:p>
      <w:pPr>
        <w:spacing w:before="62"/>
        <w:ind w:left="1054" w:right="0" w:firstLine="0"/>
        <w:jc w:val="both"/>
        <w:rPr>
          <w:rFonts w:ascii="Arial" w:hAnsi="Arial" w:cs="Arial" w:eastAsia="Arial"/>
          <w:sz w:val="12"/>
          <w:szCs w:val="12"/>
        </w:rPr>
      </w:pPr>
      <w:r>
        <w:rPr>
          <w:rFonts w:ascii="Times New Roman"/>
          <w:color w:val="5D5B59"/>
          <w:spacing w:val="-2"/>
          <w:sz w:val="14"/>
        </w:rPr>
        <w:t>Th</w:t>
      </w:r>
      <w:r>
        <w:rPr>
          <w:rFonts w:ascii="Times New Roman"/>
          <w:color w:val="878282"/>
          <w:spacing w:val="-1"/>
          <w:sz w:val="14"/>
        </w:rPr>
        <w:t>e</w:t>
      </w:r>
      <w:r>
        <w:rPr>
          <w:rFonts w:ascii="Times New Roman"/>
          <w:color w:val="878282"/>
          <w:spacing w:val="27"/>
          <w:sz w:val="14"/>
        </w:rPr>
        <w:t> </w:t>
      </w:r>
      <w:r>
        <w:rPr>
          <w:rFonts w:ascii="Times New Roman"/>
          <w:color w:val="878282"/>
          <w:spacing w:val="-3"/>
          <w:sz w:val="14"/>
        </w:rPr>
        <w:t>f'inanci1</w:t>
      </w:r>
      <w:r>
        <w:rPr>
          <w:rFonts w:ascii="Times New Roman"/>
          <w:color w:val="878282"/>
          <w:spacing w:val="-2"/>
          <w:sz w:val="14"/>
        </w:rPr>
        <w:t>I</w:t>
      </w:r>
      <w:r>
        <w:rPr>
          <w:rFonts w:ascii="Times New Roman"/>
          <w:color w:val="878282"/>
          <w:spacing w:val="17"/>
          <w:sz w:val="14"/>
        </w:rPr>
        <w:t> </w:t>
      </w:r>
      <w:r>
        <w:rPr>
          <w:rFonts w:ascii="Times New Roman"/>
          <w:color w:val="74706E"/>
          <w:sz w:val="14"/>
        </w:rPr>
        <w:t>report</w:t>
      </w:r>
      <w:r>
        <w:rPr>
          <w:rFonts w:ascii="Times New Roman"/>
          <w:color w:val="74706E"/>
          <w:spacing w:val="31"/>
          <w:sz w:val="14"/>
        </w:rPr>
        <w:t> </w:t>
      </w:r>
      <w:r>
        <w:rPr>
          <w:rFonts w:ascii="Arial"/>
          <w:color w:val="74706E"/>
          <w:sz w:val="13"/>
        </w:rPr>
        <w:t>of</w:t>
      </w:r>
      <w:r>
        <w:rPr>
          <w:rFonts w:ascii="Arial"/>
          <w:color w:val="74706E"/>
          <w:spacing w:val="27"/>
          <w:sz w:val="13"/>
        </w:rPr>
        <w:t> </w:t>
      </w:r>
      <w:r>
        <w:rPr>
          <w:rFonts w:ascii="Times New Roman"/>
          <w:color w:val="5D5B59"/>
          <w:w w:val="110"/>
          <w:sz w:val="14"/>
        </w:rPr>
        <w:t>tht</w:t>
      </w:r>
      <w:r>
        <w:rPr>
          <w:rFonts w:ascii="Times New Roman"/>
          <w:color w:val="5D5B59"/>
          <w:spacing w:val="22"/>
          <w:w w:val="110"/>
          <w:sz w:val="14"/>
        </w:rPr>
        <w:t> </w:t>
      </w:r>
      <w:r>
        <w:rPr>
          <w:rFonts w:ascii="Times New Roman"/>
          <w:color w:val="74706E"/>
          <w:spacing w:val="-3"/>
          <w:sz w:val="14"/>
        </w:rPr>
        <w:t>ComJ)any</w:t>
      </w:r>
      <w:r>
        <w:rPr>
          <w:rFonts w:ascii="Times New Roman"/>
          <w:color w:val="74706E"/>
          <w:spacing w:val="-1"/>
          <w:sz w:val="14"/>
        </w:rPr>
        <w:t>,</w:t>
      </w:r>
      <w:r>
        <w:rPr>
          <w:rFonts w:ascii="Times New Roman"/>
          <w:color w:val="74706E"/>
          <w:spacing w:val="-7"/>
          <w:sz w:val="14"/>
        </w:rPr>
        <w:t> </w:t>
      </w:r>
      <w:r>
        <w:rPr>
          <w:rFonts w:ascii="Times New Roman"/>
          <w:color w:val="74706E"/>
          <w:sz w:val="14"/>
        </w:rPr>
        <w:t>whith </w:t>
      </w:r>
      <w:r>
        <w:rPr>
          <w:rFonts w:ascii="Times New Roman"/>
          <w:color w:val="74706E"/>
          <w:spacing w:val="11"/>
          <w:sz w:val="14"/>
        </w:rPr>
        <w:t> </w:t>
      </w:r>
      <w:r>
        <w:rPr>
          <w:rFonts w:ascii="Times New Roman"/>
          <w:color w:val="878282"/>
          <w:sz w:val="14"/>
        </w:rPr>
        <w:t>I </w:t>
      </w:r>
      <w:r>
        <w:rPr>
          <w:rFonts w:ascii="Times New Roman"/>
          <w:color w:val="878282"/>
          <w:spacing w:val="1"/>
          <w:sz w:val="14"/>
        </w:rPr>
        <w:t> </w:t>
      </w:r>
      <w:r>
        <w:rPr>
          <w:rFonts w:ascii="Times New Roman"/>
          <w:color w:val="74706E"/>
          <w:sz w:val="14"/>
        </w:rPr>
        <w:t>have </w:t>
      </w:r>
      <w:r>
        <w:rPr>
          <w:rFonts w:ascii="Times New Roman"/>
          <w:color w:val="74706E"/>
          <w:spacing w:val="5"/>
          <w:sz w:val="14"/>
        </w:rPr>
        <w:t> </w:t>
      </w:r>
      <w:r>
        <w:rPr>
          <w:rFonts w:ascii="Times New Roman"/>
          <w:color w:val="74706E"/>
          <w:sz w:val="14"/>
        </w:rPr>
        <w:t>audited,  comprises</w:t>
      </w:r>
      <w:r>
        <w:rPr>
          <w:rFonts w:ascii="Times New Roman"/>
          <w:color w:val="74706E"/>
          <w:spacing w:val="24"/>
          <w:sz w:val="14"/>
        </w:rPr>
        <w:t> </w:t>
      </w:r>
      <w:r>
        <w:rPr>
          <w:rFonts w:ascii="Times New Roman"/>
          <w:color w:val="74706E"/>
          <w:sz w:val="14"/>
        </w:rPr>
        <w:t>the </w:t>
      </w:r>
      <w:r>
        <w:rPr>
          <w:rFonts w:ascii="Times New Roman"/>
          <w:color w:val="74706E"/>
          <w:spacing w:val="2"/>
          <w:sz w:val="14"/>
        </w:rPr>
        <w:t> </w:t>
      </w:r>
      <w:r>
        <w:rPr>
          <w:rFonts w:ascii="Times New Roman"/>
          <w:color w:val="74706E"/>
          <w:sz w:val="14"/>
        </w:rPr>
        <w:t>following </w:t>
      </w:r>
      <w:r>
        <w:rPr>
          <w:rFonts w:ascii="Times New Roman"/>
          <w:color w:val="74706E"/>
          <w:spacing w:val="9"/>
          <w:sz w:val="14"/>
        </w:rPr>
        <w:t> </w:t>
      </w:r>
      <w:r>
        <w:rPr>
          <w:rFonts w:ascii="Times New Roman"/>
          <w:color w:val="74706E"/>
          <w:sz w:val="14"/>
        </w:rPr>
        <w:t>stattmtnts  </w:t>
      </w:r>
      <w:r>
        <w:rPr>
          <w:rFonts w:ascii="Arial"/>
          <w:color w:val="74706E"/>
          <w:w w:val="145"/>
          <w:sz w:val="16"/>
        </w:rPr>
        <w:t>u</w:t>
      </w:r>
      <w:r>
        <w:rPr>
          <w:rFonts w:ascii="Arial"/>
          <w:color w:val="74706E"/>
          <w:spacing w:val="-27"/>
          <w:w w:val="145"/>
          <w:sz w:val="16"/>
        </w:rPr>
        <w:t> </w:t>
      </w:r>
      <w:r>
        <w:rPr>
          <w:rFonts w:ascii="Arial"/>
          <w:color w:val="74706E"/>
          <w:w w:val="180"/>
          <w:sz w:val="12"/>
        </w:rPr>
        <w:t>It</w:t>
      </w:r>
      <w:r>
        <w:rPr>
          <w:rFonts w:ascii="Arial"/>
          <w:sz w:val="12"/>
        </w:rPr>
      </w:r>
    </w:p>
    <w:p>
      <w:pPr>
        <w:spacing w:before="17"/>
        <w:ind w:left="1284" w:right="0" w:hanging="231"/>
        <w:jc w:val="left"/>
        <w:rPr>
          <w:rFonts w:ascii="Arial" w:hAnsi="Arial" w:cs="Arial" w:eastAsia="Arial"/>
          <w:sz w:val="13"/>
          <w:szCs w:val="13"/>
        </w:rPr>
      </w:pPr>
      <w:r>
        <w:rPr>
          <w:rFonts w:ascii="Arial"/>
          <w:color w:val="74706E"/>
          <w:w w:val="110"/>
          <w:sz w:val="13"/>
        </w:rPr>
        <w:t>3</w:t>
      </w:r>
      <w:r>
        <w:rPr>
          <w:rFonts w:ascii="Arial"/>
          <w:color w:val="74706E"/>
          <w:spacing w:val="5"/>
          <w:w w:val="110"/>
          <w:sz w:val="13"/>
        </w:rPr>
        <w:t>0</w:t>
      </w:r>
      <w:r>
        <w:rPr>
          <w:rFonts w:ascii="Arial"/>
          <w:color w:val="5D5B59"/>
          <w:w w:val="110"/>
          <w:sz w:val="13"/>
        </w:rPr>
        <w:t>J</w:t>
      </w:r>
      <w:r>
        <w:rPr>
          <w:rFonts w:ascii="Arial"/>
          <w:color w:val="5D5B59"/>
          <w:spacing w:val="-13"/>
          <w:w w:val="110"/>
          <w:sz w:val="13"/>
        </w:rPr>
        <w:t>u</w:t>
      </w:r>
      <w:r>
        <w:rPr>
          <w:rFonts w:ascii="Arial"/>
          <w:color w:val="5D5B59"/>
          <w:w w:val="110"/>
          <w:sz w:val="13"/>
        </w:rPr>
        <w:t>ne</w:t>
      </w:r>
      <w:r>
        <w:rPr>
          <w:rFonts w:ascii="Arial"/>
          <w:color w:val="5D5B59"/>
          <w:spacing w:val="-26"/>
          <w:w w:val="110"/>
          <w:sz w:val="13"/>
        </w:rPr>
        <w:t> </w:t>
      </w:r>
      <w:r>
        <w:rPr>
          <w:rFonts w:ascii="Arial"/>
          <w:color w:val="74706E"/>
          <w:spacing w:val="-25"/>
          <w:w w:val="110"/>
          <w:sz w:val="13"/>
        </w:rPr>
        <w:t>2</w:t>
      </w:r>
      <w:r>
        <w:rPr>
          <w:rFonts w:ascii="Arial"/>
          <w:color w:val="74706E"/>
          <w:spacing w:val="-13"/>
          <w:w w:val="110"/>
          <w:sz w:val="13"/>
        </w:rPr>
        <w:t>0</w:t>
      </w:r>
      <w:r>
        <w:rPr>
          <w:rFonts w:ascii="Arial"/>
          <w:color w:val="74706E"/>
          <w:spacing w:val="-42"/>
          <w:w w:val="110"/>
          <w:sz w:val="13"/>
        </w:rPr>
        <w:t>1</w:t>
      </w:r>
      <w:r>
        <w:rPr>
          <w:rFonts w:ascii="Arial"/>
          <w:color w:val="74706E"/>
          <w:w w:val="110"/>
          <w:sz w:val="13"/>
        </w:rPr>
        <w:t>9</w:t>
      </w:r>
      <w:r>
        <w:rPr>
          <w:rFonts w:ascii="Arial"/>
          <w:color w:val="74706E"/>
          <w:spacing w:val="-26"/>
          <w:w w:val="110"/>
          <w:sz w:val="13"/>
        </w:rPr>
        <w:t> </w:t>
      </w:r>
      <w:r>
        <w:rPr>
          <w:rFonts w:ascii="Arial"/>
          <w:color w:val="74706E"/>
          <w:w w:val="110"/>
          <w:sz w:val="13"/>
        </w:rPr>
        <w:t>and</w:t>
      </w:r>
      <w:r>
        <w:rPr>
          <w:rFonts w:ascii="Arial"/>
          <w:color w:val="74706E"/>
          <w:spacing w:val="-23"/>
          <w:w w:val="110"/>
          <w:sz w:val="13"/>
        </w:rPr>
        <w:t> </w:t>
      </w:r>
      <w:r>
        <w:rPr>
          <w:rFonts w:ascii="Arial"/>
          <w:color w:val="74706E"/>
          <w:w w:val="110"/>
          <w:sz w:val="13"/>
        </w:rPr>
        <w:t>for</w:t>
      </w:r>
      <w:r>
        <w:rPr>
          <w:rFonts w:ascii="Arial"/>
          <w:color w:val="74706E"/>
          <w:spacing w:val="-12"/>
          <w:w w:val="110"/>
          <w:sz w:val="13"/>
        </w:rPr>
        <w:t> </w:t>
      </w:r>
      <w:r>
        <w:rPr>
          <w:rFonts w:ascii="Arial"/>
          <w:color w:val="74706E"/>
          <w:w w:val="110"/>
          <w:sz w:val="13"/>
        </w:rPr>
        <w:t>the</w:t>
      </w:r>
      <w:r>
        <w:rPr>
          <w:rFonts w:ascii="Arial"/>
          <w:color w:val="74706E"/>
          <w:spacing w:val="-19"/>
          <w:w w:val="110"/>
          <w:sz w:val="13"/>
        </w:rPr>
        <w:t> </w:t>
      </w:r>
      <w:r>
        <w:rPr>
          <w:rFonts w:ascii="Arial"/>
          <w:color w:val="74706E"/>
          <w:w w:val="110"/>
          <w:sz w:val="13"/>
        </w:rPr>
        <w:t>YN</w:t>
      </w:r>
      <w:r>
        <w:rPr>
          <w:rFonts w:ascii="Arial"/>
          <w:color w:val="74706E"/>
          <w:spacing w:val="9"/>
          <w:w w:val="110"/>
          <w:sz w:val="13"/>
        </w:rPr>
        <w:t>'</w:t>
      </w:r>
      <w:r>
        <w:rPr>
          <w:rFonts w:ascii="Times New Roman"/>
          <w:color w:val="74706E"/>
          <w:w w:val="110"/>
          <w:sz w:val="13"/>
        </w:rPr>
        <w:t>tlwn</w:t>
      </w:r>
      <w:r>
        <w:rPr>
          <w:rFonts w:ascii="Times New Roman"/>
          <w:color w:val="74706E"/>
          <w:spacing w:val="-9"/>
          <w:w w:val="110"/>
          <w:sz w:val="13"/>
        </w:rPr>
        <w:t> </w:t>
      </w:r>
      <w:r>
        <w:rPr>
          <w:rFonts w:ascii="Arial"/>
          <w:color w:val="74706E"/>
          <w:w w:val="110"/>
          <w:sz w:val="13"/>
        </w:rPr>
        <w:t>ende</w:t>
      </w:r>
      <w:r>
        <w:rPr>
          <w:rFonts w:ascii="Arial"/>
          <w:color w:val="74706E"/>
          <w:spacing w:val="5"/>
          <w:w w:val="110"/>
          <w:sz w:val="13"/>
        </w:rPr>
        <w:t>d</w:t>
      </w:r>
      <w:r>
        <w:rPr>
          <w:rFonts w:ascii="Arial"/>
          <w:color w:val="AAA5A5"/>
          <w:w w:val="110"/>
          <w:sz w:val="13"/>
        </w:rPr>
        <w:t>:</w:t>
      </w:r>
      <w:r>
        <w:rPr>
          <w:rFonts w:ascii="Arial"/>
          <w:sz w:val="13"/>
        </w:rPr>
      </w:r>
    </w:p>
    <w:p>
      <w:pPr>
        <w:spacing w:before="95"/>
        <w:ind w:left="1284" w:right="0" w:firstLine="0"/>
        <w:jc w:val="left"/>
        <w:rPr>
          <w:rFonts w:ascii="Times New Roman" w:hAnsi="Times New Roman" w:cs="Times New Roman" w:eastAsia="Times New Roman"/>
          <w:sz w:val="13"/>
          <w:szCs w:val="13"/>
        </w:rPr>
      </w:pPr>
      <w:r>
        <w:rPr>
          <w:rFonts w:ascii="Times New Roman"/>
          <w:color w:val="74706E"/>
          <w:w w:val="105"/>
          <w:sz w:val="13"/>
        </w:rPr>
        <w:t>Oirettors'</w:t>
      </w:r>
      <w:r>
        <w:rPr>
          <w:rFonts w:ascii="Times New Roman"/>
          <w:color w:val="74706E"/>
          <w:spacing w:val="-21"/>
          <w:w w:val="105"/>
          <w:sz w:val="13"/>
        </w:rPr>
        <w:t> </w:t>
      </w:r>
      <w:r>
        <w:rPr>
          <w:rFonts w:ascii="Times New Roman"/>
          <w:color w:val="74706E"/>
          <w:w w:val="105"/>
          <w:sz w:val="13"/>
        </w:rPr>
        <w:t>OeclaratiOn;</w:t>
      </w:r>
      <w:r>
        <w:rPr>
          <w:rFonts w:ascii="Times New Roman"/>
          <w:sz w:val="13"/>
        </w:rPr>
      </w:r>
    </w:p>
    <w:p>
      <w:pPr>
        <w:tabs>
          <w:tab w:pos="2321" w:val="left" w:leader="none"/>
        </w:tabs>
        <w:spacing w:line="234" w:lineRule="auto" w:before="17"/>
        <w:ind w:left="1284" w:right="4892" w:firstLine="0"/>
        <w:jc w:val="left"/>
        <w:rPr>
          <w:rFonts w:ascii="Times New Roman" w:hAnsi="Times New Roman" w:cs="Times New Roman" w:eastAsia="Times New Roman"/>
          <w:sz w:val="15"/>
          <w:szCs w:val="15"/>
        </w:rPr>
      </w:pPr>
      <w:r>
        <w:rPr>
          <w:rFonts w:ascii="Times New Roman"/>
          <w:color w:val="74706E"/>
          <w:sz w:val="13"/>
        </w:rPr>
        <w:t>Stattment</w:t>
      </w:r>
      <w:r>
        <w:rPr>
          <w:rFonts w:ascii="Times New Roman"/>
          <w:color w:val="74706E"/>
          <w:spacing w:val="29"/>
          <w:sz w:val="13"/>
        </w:rPr>
        <w:t> </w:t>
      </w:r>
      <w:r>
        <w:rPr>
          <w:rFonts w:ascii="Times New Roman"/>
          <w:color w:val="74706E"/>
          <w:sz w:val="14"/>
        </w:rPr>
        <w:t>oe</w:t>
      </w:r>
      <w:r>
        <w:rPr>
          <w:rFonts w:ascii="Times New Roman"/>
          <w:color w:val="74706E"/>
          <w:spacing w:val="17"/>
          <w:sz w:val="14"/>
        </w:rPr>
        <w:t> </w:t>
      </w:r>
      <w:r>
        <w:rPr>
          <w:rFonts w:ascii="Times New Roman"/>
          <w:color w:val="5D5B59"/>
          <w:spacing w:val="-4"/>
          <w:sz w:val="14"/>
        </w:rPr>
        <w:t>Compr</w:t>
      </w:r>
      <w:r>
        <w:rPr>
          <w:rFonts w:ascii="Times New Roman"/>
          <w:color w:val="878282"/>
          <w:spacing w:val="-3"/>
          <w:sz w:val="14"/>
        </w:rPr>
        <w:t>thet1</w:t>
      </w:r>
      <w:r>
        <w:rPr>
          <w:rFonts w:ascii="Times New Roman"/>
          <w:color w:val="878282"/>
          <w:spacing w:val="-4"/>
          <w:sz w:val="14"/>
        </w:rPr>
        <w:t>S</w:t>
      </w:r>
      <w:r>
        <w:rPr>
          <w:rFonts w:ascii="Times New Roman"/>
          <w:color w:val="5D5B59"/>
          <w:spacing w:val="-3"/>
          <w:sz w:val="14"/>
        </w:rPr>
        <w:t>ivt</w:t>
      </w:r>
      <w:r>
        <w:rPr>
          <w:rFonts w:ascii="Times New Roman"/>
          <w:color w:val="5D5B59"/>
          <w:spacing w:val="27"/>
          <w:sz w:val="14"/>
        </w:rPr>
        <w:t> </w:t>
      </w:r>
      <w:r>
        <w:rPr>
          <w:rFonts w:ascii="Times New Roman"/>
          <w:color w:val="74706E"/>
          <w:sz w:val="13"/>
        </w:rPr>
        <w:t>ln(ome;</w:t>
      </w:r>
      <w:r>
        <w:rPr>
          <w:rFonts w:ascii="Times New Roman"/>
          <w:color w:val="74706E"/>
          <w:spacing w:val="23"/>
          <w:w w:val="111"/>
          <w:sz w:val="13"/>
        </w:rPr>
        <w:t> </w:t>
      </w:r>
      <w:r>
        <w:rPr>
          <w:rFonts w:ascii="Times New Roman"/>
          <w:color w:val="74706E"/>
          <w:w w:val="95"/>
          <w:sz w:val="14"/>
        </w:rPr>
        <w:t>Statement</w:t>
      </w:r>
      <w:r>
        <w:rPr>
          <w:rFonts w:ascii="Times New Roman"/>
          <w:color w:val="74706E"/>
          <w:spacing w:val="-4"/>
          <w:w w:val="95"/>
          <w:sz w:val="14"/>
        </w:rPr>
        <w:t> </w:t>
      </w:r>
      <w:r>
        <w:rPr>
          <w:rFonts w:ascii="Times New Roman"/>
          <w:color w:val="74706E"/>
          <w:w w:val="95"/>
          <w:sz w:val="15"/>
        </w:rPr>
        <w:t>of</w:t>
      </w:r>
      <w:r>
        <w:rPr>
          <w:rFonts w:ascii="Times New Roman"/>
          <w:color w:val="74706E"/>
          <w:spacing w:val="7"/>
          <w:w w:val="95"/>
          <w:sz w:val="15"/>
        </w:rPr>
        <w:t> </w:t>
      </w:r>
      <w:r>
        <w:rPr>
          <w:rFonts w:ascii="Times New Roman"/>
          <w:color w:val="74706E"/>
          <w:w w:val="95"/>
          <w:sz w:val="14"/>
        </w:rPr>
        <w:t>Financial</w:t>
      </w:r>
      <w:r>
        <w:rPr>
          <w:rFonts w:ascii="Times New Roman"/>
          <w:color w:val="74706E"/>
          <w:spacing w:val="5"/>
          <w:w w:val="95"/>
          <w:sz w:val="14"/>
        </w:rPr>
        <w:t> </w:t>
      </w:r>
      <w:r>
        <w:rPr>
          <w:rFonts w:ascii="Times New Roman"/>
          <w:color w:val="74706E"/>
          <w:w w:val="95"/>
          <w:sz w:val="14"/>
        </w:rPr>
        <w:t>Posttlon;</w:t>
      </w:r>
      <w:r>
        <w:rPr>
          <w:rFonts w:ascii="Times New Roman"/>
          <w:color w:val="74706E"/>
          <w:w w:val="98"/>
          <w:sz w:val="14"/>
        </w:rPr>
        <w:t> </w:t>
      </w:r>
      <w:r>
        <w:rPr>
          <w:rFonts w:ascii="Times New Roman"/>
          <w:color w:val="74706E"/>
          <w:w w:val="95"/>
          <w:sz w:val="15"/>
        </w:rPr>
        <w:t>Statement</w:t>
      </w:r>
      <w:r>
        <w:rPr>
          <w:rFonts w:ascii="Times New Roman"/>
          <w:color w:val="74706E"/>
          <w:spacing w:val="-2"/>
          <w:w w:val="95"/>
          <w:sz w:val="15"/>
        </w:rPr>
        <w:t> </w:t>
      </w:r>
      <w:r>
        <w:rPr>
          <w:rFonts w:ascii="Arial"/>
          <w:color w:val="74706E"/>
          <w:w w:val="95"/>
          <w:sz w:val="13"/>
        </w:rPr>
        <w:t>of</w:t>
      </w:r>
      <w:r>
        <w:rPr>
          <w:rFonts w:ascii="Arial"/>
          <w:color w:val="74706E"/>
          <w:spacing w:val="-15"/>
          <w:w w:val="95"/>
          <w:sz w:val="13"/>
        </w:rPr>
        <w:t> </w:t>
      </w:r>
      <w:r>
        <w:rPr>
          <w:rFonts w:ascii="Times New Roman"/>
          <w:color w:val="74706E"/>
          <w:w w:val="95"/>
          <w:sz w:val="15"/>
        </w:rPr>
        <w:t>Chanees</w:t>
      </w:r>
      <w:r>
        <w:rPr>
          <w:rFonts w:ascii="Times New Roman"/>
          <w:color w:val="74706E"/>
          <w:spacing w:val="-4"/>
          <w:w w:val="95"/>
          <w:sz w:val="15"/>
        </w:rPr>
        <w:t> </w:t>
      </w:r>
      <w:r>
        <w:rPr>
          <w:rFonts w:ascii="Times New Roman"/>
          <w:color w:val="878282"/>
          <w:w w:val="95"/>
          <w:sz w:val="15"/>
        </w:rPr>
        <w:t>In</w:t>
      </w:r>
      <w:r>
        <w:rPr>
          <w:rFonts w:ascii="Times New Roman"/>
          <w:color w:val="878282"/>
          <w:spacing w:val="-5"/>
          <w:w w:val="95"/>
          <w:sz w:val="15"/>
        </w:rPr>
        <w:t> </w:t>
      </w:r>
      <w:r>
        <w:rPr>
          <w:rFonts w:ascii="Times New Roman"/>
          <w:color w:val="74706E"/>
          <w:w w:val="95"/>
          <w:sz w:val="13"/>
        </w:rPr>
        <w:t>Equhy:</w:t>
      </w:r>
      <w:r>
        <w:rPr>
          <w:rFonts w:ascii="Times New Roman"/>
          <w:color w:val="74706E"/>
          <w:w w:val="104"/>
          <w:sz w:val="13"/>
        </w:rPr>
        <w:t> </w:t>
      </w:r>
      <w:r>
        <w:rPr>
          <w:rFonts w:ascii="Times New Roman"/>
          <w:color w:val="74706E"/>
          <w:w w:val="95"/>
          <w:sz w:val="15"/>
        </w:rPr>
        <w:t>Statement</w:t>
      </w:r>
      <w:r>
        <w:rPr>
          <w:rFonts w:ascii="Times New Roman"/>
          <w:color w:val="74706E"/>
          <w:spacing w:val="-5"/>
          <w:w w:val="95"/>
          <w:sz w:val="15"/>
        </w:rPr>
        <w:t> </w:t>
      </w:r>
      <w:r>
        <w:rPr>
          <w:rFonts w:ascii="Arial"/>
          <w:color w:val="74706E"/>
          <w:w w:val="95"/>
          <w:sz w:val="14"/>
        </w:rPr>
        <w:t>of</w:t>
        <w:tab/>
      </w:r>
      <w:r>
        <w:rPr>
          <w:rFonts w:ascii="Times New Roman"/>
          <w:color w:val="74706E"/>
          <w:spacing w:val="-4"/>
          <w:sz w:val="15"/>
        </w:rPr>
        <w:t>nows</w:t>
      </w:r>
      <w:r>
        <w:rPr>
          <w:rFonts w:ascii="Times New Roman"/>
          <w:color w:val="74706E"/>
          <w:spacing w:val="-3"/>
          <w:sz w:val="15"/>
        </w:rPr>
        <w:t>;</w:t>
      </w:r>
      <w:r>
        <w:rPr>
          <w:rFonts w:ascii="Times New Roman"/>
          <w:color w:val="74706E"/>
          <w:spacing w:val="-5"/>
          <w:sz w:val="15"/>
        </w:rPr>
        <w:t>and</w:t>
      </w:r>
      <w:r>
        <w:rPr>
          <w:rFonts w:ascii="Times New Roman"/>
          <w:sz w:val="15"/>
        </w:rPr>
      </w:r>
    </w:p>
    <w:p>
      <w:pPr>
        <w:spacing w:line="249" w:lineRule="auto" w:before="10"/>
        <w:ind w:left="1284" w:right="1135" w:firstLine="0"/>
        <w:jc w:val="left"/>
        <w:rPr>
          <w:rFonts w:ascii="Times New Roman" w:hAnsi="Times New Roman" w:cs="Times New Roman" w:eastAsia="Times New Roman"/>
          <w:sz w:val="13"/>
          <w:szCs w:val="13"/>
        </w:rPr>
      </w:pPr>
      <w:r>
        <w:rPr>
          <w:rFonts w:ascii="Times New Roman"/>
          <w:color w:val="74706E"/>
          <w:w w:val="105"/>
          <w:sz w:val="13"/>
        </w:rPr>
        <w:t>Not.ts</w:t>
      </w:r>
      <w:r>
        <w:rPr>
          <w:rFonts w:ascii="Times New Roman"/>
          <w:color w:val="74706E"/>
          <w:spacing w:val="2"/>
          <w:w w:val="105"/>
          <w:sz w:val="13"/>
        </w:rPr>
        <w:t> </w:t>
      </w:r>
      <w:r>
        <w:rPr>
          <w:rFonts w:ascii="Times New Roman"/>
          <w:color w:val="74706E"/>
          <w:w w:val="105"/>
          <w:sz w:val="13"/>
        </w:rPr>
        <w:t>to</w:t>
      </w:r>
      <w:r>
        <w:rPr>
          <w:rFonts w:ascii="Times New Roman"/>
          <w:color w:val="74706E"/>
          <w:spacing w:val="-12"/>
          <w:w w:val="105"/>
          <w:sz w:val="13"/>
        </w:rPr>
        <w:t> </w:t>
      </w:r>
      <w:r>
        <w:rPr>
          <w:rFonts w:ascii="Times New Roman"/>
          <w:color w:val="74706E"/>
          <w:w w:val="105"/>
          <w:sz w:val="14"/>
        </w:rPr>
        <w:t>tl'tt</w:t>
      </w:r>
      <w:r>
        <w:rPr>
          <w:rFonts w:ascii="Times New Roman"/>
          <w:color w:val="74706E"/>
          <w:spacing w:val="-9"/>
          <w:w w:val="105"/>
          <w:sz w:val="14"/>
        </w:rPr>
        <w:t> </w:t>
      </w:r>
      <w:r>
        <w:rPr>
          <w:rFonts w:ascii="Times New Roman"/>
          <w:color w:val="74706E"/>
          <w:w w:val="105"/>
          <w:sz w:val="13"/>
        </w:rPr>
        <w:t>lin</w:t>
      </w:r>
      <w:r>
        <w:rPr>
          <w:rFonts w:ascii="Times New Roman"/>
          <w:color w:val="74706E"/>
          <w:spacing w:val="-5"/>
          <w:w w:val="105"/>
          <w:sz w:val="13"/>
        </w:rPr>
        <w:t>1</w:t>
      </w:r>
      <w:r>
        <w:rPr>
          <w:rFonts w:ascii="Times New Roman"/>
          <w:color w:val="74706E"/>
          <w:w w:val="105"/>
          <w:sz w:val="13"/>
        </w:rPr>
        <w:t>nc</w:t>
      </w:r>
      <w:r>
        <w:rPr>
          <w:rFonts w:ascii="Times New Roman"/>
          <w:color w:val="74706E"/>
          <w:spacing w:val="-16"/>
          <w:w w:val="105"/>
          <w:sz w:val="13"/>
        </w:rPr>
        <w:t>i</w:t>
      </w:r>
      <w:r>
        <w:rPr>
          <w:rFonts w:ascii="Times New Roman"/>
          <w:color w:val="74706E"/>
          <w:w w:val="105"/>
          <w:sz w:val="13"/>
        </w:rPr>
        <w:t>.al</w:t>
      </w:r>
      <w:r>
        <w:rPr>
          <w:rFonts w:ascii="Times New Roman"/>
          <w:color w:val="74706E"/>
          <w:spacing w:val="-5"/>
          <w:w w:val="105"/>
          <w:sz w:val="13"/>
        </w:rPr>
        <w:t> </w:t>
      </w:r>
      <w:r>
        <w:rPr>
          <w:rFonts w:ascii="Times New Roman"/>
          <w:color w:val="878282"/>
          <w:w w:val="110"/>
          <w:sz w:val="13"/>
        </w:rPr>
        <w:t>s</w:t>
      </w:r>
      <w:r>
        <w:rPr>
          <w:rFonts w:ascii="Times New Roman"/>
          <w:color w:val="878282"/>
          <w:spacing w:val="-6"/>
          <w:w w:val="110"/>
          <w:sz w:val="13"/>
        </w:rPr>
        <w:t>u</w:t>
      </w:r>
      <w:r>
        <w:rPr>
          <w:rFonts w:ascii="Times New Roman"/>
          <w:color w:val="5D5B59"/>
          <w:w w:val="110"/>
          <w:sz w:val="13"/>
        </w:rPr>
        <w:t>te</w:t>
      </w:r>
      <w:r>
        <w:rPr>
          <w:rFonts w:ascii="Times New Roman"/>
          <w:color w:val="5D5B59"/>
          <w:spacing w:val="1"/>
          <w:w w:val="110"/>
          <w:sz w:val="13"/>
        </w:rPr>
        <w:t>m</w:t>
      </w:r>
      <w:r>
        <w:rPr>
          <w:rFonts w:ascii="Times New Roman"/>
          <w:color w:val="878282"/>
          <w:w w:val="110"/>
          <w:sz w:val="13"/>
        </w:rPr>
        <w:t>tnts,</w:t>
      </w:r>
      <w:r>
        <w:rPr>
          <w:rFonts w:ascii="Times New Roman"/>
          <w:color w:val="878282"/>
          <w:spacing w:val="-6"/>
          <w:w w:val="110"/>
          <w:sz w:val="13"/>
        </w:rPr>
        <w:t> </w:t>
      </w:r>
      <w:r>
        <w:rPr>
          <w:rFonts w:ascii="Times New Roman"/>
          <w:color w:val="74706E"/>
          <w:sz w:val="13"/>
        </w:rPr>
        <w:t>(IC)tnprl:Sln,s</w:t>
      </w:r>
      <w:r>
        <w:rPr>
          <w:rFonts w:ascii="Times New Roman"/>
          <w:color w:val="74706E"/>
          <w:spacing w:val="-1"/>
          <w:sz w:val="13"/>
        </w:rPr>
        <w:t> </w:t>
      </w:r>
      <w:r>
        <w:rPr>
          <w:rFonts w:ascii="Times New Roman"/>
          <w:color w:val="5D5B59"/>
          <w:w w:val="110"/>
          <w:sz w:val="13"/>
        </w:rPr>
        <w:t>a</w:t>
      </w:r>
      <w:r>
        <w:rPr>
          <w:rFonts w:ascii="Times New Roman"/>
          <w:color w:val="5D5B59"/>
          <w:spacing w:val="-14"/>
          <w:w w:val="110"/>
          <w:sz w:val="13"/>
        </w:rPr>
        <w:t> </w:t>
      </w:r>
      <w:r>
        <w:rPr>
          <w:rFonts w:ascii="Times New Roman"/>
          <w:color w:val="878282"/>
          <w:w w:val="105"/>
          <w:sz w:val="13"/>
        </w:rPr>
        <w:t>$Umtnlry</w:t>
      </w:r>
      <w:r>
        <w:rPr>
          <w:rFonts w:ascii="Times New Roman"/>
          <w:color w:val="878282"/>
          <w:spacing w:val="-7"/>
          <w:w w:val="105"/>
          <w:sz w:val="13"/>
        </w:rPr>
        <w:t> </w:t>
      </w:r>
      <w:r>
        <w:rPr>
          <w:rFonts w:ascii="Arial"/>
          <w:color w:val="74706E"/>
          <w:w w:val="105"/>
          <w:sz w:val="13"/>
        </w:rPr>
        <w:t>of</w:t>
      </w:r>
      <w:r>
        <w:rPr>
          <w:rFonts w:ascii="Arial"/>
          <w:color w:val="74706E"/>
          <w:spacing w:val="-11"/>
          <w:w w:val="105"/>
          <w:sz w:val="13"/>
        </w:rPr>
        <w:t> </w:t>
      </w:r>
      <w:r>
        <w:rPr>
          <w:rFonts w:ascii="Times New Roman"/>
          <w:color w:val="878282"/>
          <w:w w:val="105"/>
          <w:sz w:val="13"/>
        </w:rPr>
        <w:t>$ISJ'lifit.aitt</w:t>
      </w:r>
      <w:r>
        <w:rPr>
          <w:rFonts w:ascii="Times New Roman"/>
          <w:color w:val="878282"/>
          <w:spacing w:val="3"/>
          <w:w w:val="105"/>
          <w:sz w:val="13"/>
        </w:rPr>
        <w:t> </w:t>
      </w:r>
      <w:r>
        <w:rPr>
          <w:rFonts w:ascii="Times New Roman"/>
          <w:color w:val="74706E"/>
          <w:spacing w:val="-33"/>
          <w:w w:val="105"/>
          <w:sz w:val="13"/>
        </w:rPr>
        <w:t>1</w:t>
      </w:r>
      <w:r>
        <w:rPr>
          <w:rFonts w:ascii="Times New Roman"/>
          <w:color w:val="74706E"/>
          <w:w w:val="105"/>
          <w:sz w:val="13"/>
        </w:rPr>
        <w:t>ccountin.s</w:t>
      </w:r>
      <w:r>
        <w:rPr>
          <w:rFonts w:ascii="Times New Roman"/>
          <w:color w:val="74706E"/>
          <w:spacing w:val="-9"/>
          <w:w w:val="105"/>
          <w:sz w:val="13"/>
        </w:rPr>
        <w:t> </w:t>
      </w:r>
      <w:r>
        <w:rPr>
          <w:rFonts w:ascii="Times New Roman"/>
          <w:color w:val="74706E"/>
          <w:w w:val="105"/>
          <w:sz w:val="13"/>
        </w:rPr>
        <w:t>p</w:t>
      </w:r>
      <w:r>
        <w:rPr>
          <w:rFonts w:ascii="Times New Roman"/>
          <w:color w:val="74706E"/>
          <w:spacing w:val="-2"/>
          <w:w w:val="105"/>
          <w:sz w:val="13"/>
        </w:rPr>
        <w:t>o</w:t>
      </w:r>
      <w:r>
        <w:rPr>
          <w:rFonts w:ascii="Times New Roman"/>
          <w:color w:val="4D4B4B"/>
          <w:spacing w:val="8"/>
          <w:w w:val="105"/>
          <w:sz w:val="13"/>
        </w:rPr>
        <w:t>l</w:t>
      </w:r>
      <w:r>
        <w:rPr>
          <w:rFonts w:ascii="Times New Roman"/>
          <w:color w:val="74706E"/>
          <w:w w:val="105"/>
          <w:sz w:val="13"/>
        </w:rPr>
        <w:t>icl4'$</w:t>
      </w:r>
      <w:r>
        <w:rPr>
          <w:rFonts w:ascii="Times New Roman"/>
          <w:color w:val="74706E"/>
          <w:spacing w:val="-2"/>
          <w:w w:val="105"/>
          <w:sz w:val="13"/>
        </w:rPr>
        <w:t> </w:t>
      </w:r>
      <w:r>
        <w:rPr>
          <w:rFonts w:ascii="Arial"/>
          <w:color w:val="878282"/>
          <w:w w:val="105"/>
          <w:sz w:val="12"/>
        </w:rPr>
        <w:t>and</w:t>
      </w:r>
      <w:r>
        <w:rPr>
          <w:rFonts w:ascii="Arial"/>
          <w:color w:val="878282"/>
          <w:spacing w:val="-16"/>
          <w:w w:val="105"/>
          <w:sz w:val="12"/>
        </w:rPr>
        <w:t> </w:t>
      </w:r>
      <w:r>
        <w:rPr>
          <w:rFonts w:ascii="Times New Roman"/>
          <w:color w:val="74706E"/>
          <w:w w:val="105"/>
          <w:sz w:val="13"/>
        </w:rPr>
        <w:t>otlwr</w:t>
      </w:r>
      <w:r>
        <w:rPr>
          <w:rFonts w:ascii="Times New Roman"/>
          <w:color w:val="74706E"/>
          <w:w w:val="114"/>
          <w:sz w:val="13"/>
        </w:rPr>
        <w:t> </w:t>
      </w:r>
      <w:r>
        <w:rPr>
          <w:rFonts w:ascii="Times New Roman"/>
          <w:color w:val="74706E"/>
          <w:spacing w:val="-2"/>
          <w:w w:val="105"/>
          <w:sz w:val="13"/>
        </w:rPr>
        <w:t>explan1torv</w:t>
      </w:r>
      <w:r>
        <w:rPr>
          <w:rFonts w:ascii="Times New Roman"/>
          <w:color w:val="74706E"/>
          <w:spacing w:val="32"/>
          <w:w w:val="105"/>
          <w:sz w:val="13"/>
        </w:rPr>
        <w:t> </w:t>
      </w:r>
      <w:r>
        <w:rPr>
          <w:rFonts w:ascii="Times New Roman"/>
          <w:color w:val="878282"/>
          <w:w w:val="105"/>
          <w:sz w:val="13"/>
        </w:rPr>
        <w:t>tnfonnadoo.</w:t>
      </w:r>
      <w:r>
        <w:rPr>
          <w:rFonts w:ascii="Times New Roman"/>
          <w:sz w:val="13"/>
        </w:rPr>
      </w:r>
    </w:p>
    <w:p>
      <w:pPr>
        <w:spacing w:before="70"/>
        <w:ind w:left="1298" w:right="0" w:firstLine="0"/>
        <w:jc w:val="left"/>
        <w:rPr>
          <w:rFonts w:ascii="Times New Roman" w:hAnsi="Times New Roman" w:cs="Times New Roman" w:eastAsia="Times New Roman"/>
          <w:sz w:val="15"/>
          <w:szCs w:val="15"/>
        </w:rPr>
      </w:pPr>
      <w:r>
        <w:rPr>
          <w:rFonts w:ascii="Times New Roman"/>
          <w:color w:val="4D4B4B"/>
          <w:w w:val="110"/>
          <w:sz w:val="15"/>
        </w:rPr>
        <w:t>Is</w:t>
      </w:r>
      <w:r>
        <w:rPr>
          <w:rFonts w:ascii="Times New Roman"/>
          <w:color w:val="4D4B4B"/>
          <w:spacing w:val="-29"/>
          <w:w w:val="110"/>
          <w:sz w:val="15"/>
        </w:rPr>
        <w:t> </w:t>
      </w:r>
      <w:r>
        <w:rPr>
          <w:rFonts w:ascii="Times New Roman"/>
          <w:color w:val="4D4B4B"/>
          <w:w w:val="110"/>
          <w:sz w:val="15"/>
        </w:rPr>
        <w:t>tor</w:t>
      </w:r>
      <w:r>
        <w:rPr>
          <w:rFonts w:ascii="Times New Roman"/>
          <w:color w:val="4D4B4B"/>
          <w:spacing w:val="-22"/>
          <w:w w:val="110"/>
          <w:sz w:val="15"/>
        </w:rPr>
        <w:t> </w:t>
      </w:r>
      <w:r>
        <w:rPr>
          <w:rFonts w:ascii="Times New Roman"/>
          <w:color w:val="5D5B59"/>
          <w:w w:val="110"/>
          <w:sz w:val="15"/>
        </w:rPr>
        <w:t>opinion</w:t>
      </w:r>
      <w:r>
        <w:rPr>
          <w:rFonts w:ascii="Times New Roman"/>
          <w:sz w:val="15"/>
        </w:rPr>
      </w:r>
    </w:p>
    <w:p>
      <w:pPr>
        <w:spacing w:before="67"/>
        <w:ind w:left="1054" w:right="0" w:firstLine="0"/>
        <w:jc w:val="both"/>
        <w:rPr>
          <w:rFonts w:ascii="Times New Roman" w:hAnsi="Times New Roman" w:cs="Times New Roman" w:eastAsia="Times New Roman"/>
          <w:sz w:val="14"/>
          <w:szCs w:val="14"/>
        </w:rPr>
      </w:pPr>
      <w:r>
        <w:rPr>
          <w:rFonts w:ascii="Arial" w:hAnsi="Arial" w:cs="Arial" w:eastAsia="Arial"/>
          <w:color w:val="5D5B59"/>
          <w:w w:val="105"/>
          <w:sz w:val="12"/>
          <w:szCs w:val="12"/>
        </w:rPr>
        <w:t>I</w:t>
      </w:r>
      <w:r>
        <w:rPr>
          <w:rFonts w:ascii="Arial" w:hAnsi="Arial" w:cs="Arial" w:eastAsia="Arial"/>
          <w:color w:val="74706E"/>
          <w:w w:val="105"/>
          <w:sz w:val="12"/>
          <w:szCs w:val="12"/>
        </w:rPr>
        <w:t>conducted</w:t>
      </w:r>
      <w:r>
        <w:rPr>
          <w:rFonts w:ascii="Arial" w:hAnsi="Arial" w:cs="Arial" w:eastAsia="Arial"/>
          <w:color w:val="74706E"/>
          <w:spacing w:val="18"/>
          <w:w w:val="105"/>
          <w:sz w:val="12"/>
          <w:szCs w:val="12"/>
        </w:rPr>
        <w:t> </w:t>
      </w:r>
      <w:r>
        <w:rPr>
          <w:rFonts w:ascii="Times New Roman" w:hAnsi="Times New Roman" w:cs="Times New Roman" w:eastAsia="Times New Roman"/>
          <w:i/>
          <w:color w:val="74706E"/>
          <w:w w:val="105"/>
          <w:sz w:val="14"/>
          <w:szCs w:val="14"/>
        </w:rPr>
        <w:t>my</w:t>
      </w:r>
      <w:r>
        <w:rPr>
          <w:rFonts w:ascii="Times New Roman" w:hAnsi="Times New Roman" w:cs="Times New Roman" w:eastAsia="Times New Roman"/>
          <w:i/>
          <w:color w:val="74706E"/>
          <w:spacing w:val="6"/>
          <w:w w:val="105"/>
          <w:sz w:val="14"/>
          <w:szCs w:val="14"/>
        </w:rPr>
        <w:t> </w:t>
      </w:r>
      <w:r>
        <w:rPr>
          <w:rFonts w:ascii="Times New Roman" w:hAnsi="Times New Roman" w:cs="Times New Roman" w:eastAsia="Times New Roman"/>
          <w:color w:val="878282"/>
          <w:spacing w:val="-16"/>
          <w:w w:val="105"/>
          <w:sz w:val="14"/>
          <w:szCs w:val="14"/>
        </w:rPr>
        <w:t>•</w:t>
      </w:r>
      <w:r>
        <w:rPr>
          <w:rFonts w:ascii="Times New Roman" w:hAnsi="Times New Roman" w:cs="Times New Roman" w:eastAsia="Times New Roman"/>
          <w:color w:val="878282"/>
          <w:w w:val="105"/>
          <w:sz w:val="14"/>
          <w:szCs w:val="14"/>
        </w:rPr>
        <w:t>l.td</w:t>
      </w:r>
      <w:r>
        <w:rPr>
          <w:rFonts w:ascii="Times New Roman" w:hAnsi="Times New Roman" w:cs="Times New Roman" w:eastAsia="Times New Roman"/>
          <w:color w:val="878282"/>
          <w:spacing w:val="6"/>
          <w:w w:val="105"/>
          <w:sz w:val="14"/>
          <w:szCs w:val="14"/>
        </w:rPr>
        <w:t>h</w:t>
      </w:r>
      <w:r>
        <w:rPr>
          <w:rFonts w:ascii="Arial" w:hAnsi="Arial" w:cs="Arial" w:eastAsia="Arial"/>
          <w:color w:val="878282"/>
          <w:spacing w:val="-88"/>
          <w:w w:val="105"/>
          <w:sz w:val="12"/>
          <w:szCs w:val="12"/>
        </w:rPr>
        <w:t>I</w:t>
      </w:r>
      <w:r>
        <w:rPr>
          <w:rFonts w:ascii="Arial" w:hAnsi="Arial" w:cs="Arial" w:eastAsia="Arial"/>
          <w:color w:val="878282"/>
          <w:w w:val="105"/>
          <w:sz w:val="12"/>
          <w:szCs w:val="12"/>
        </w:rPr>
        <w:t>n</w:t>
      </w:r>
      <w:r>
        <w:rPr>
          <w:rFonts w:ascii="Arial" w:hAnsi="Arial" w:cs="Arial" w:eastAsia="Arial"/>
          <w:color w:val="878282"/>
          <w:spacing w:val="1"/>
          <w:w w:val="105"/>
          <w:sz w:val="12"/>
          <w:szCs w:val="12"/>
        </w:rPr>
        <w:t> </w:t>
      </w:r>
      <w:r>
        <w:rPr>
          <w:rFonts w:ascii="Arial" w:hAnsi="Arial" w:cs="Arial" w:eastAsia="Arial"/>
          <w:color w:val="878282"/>
          <w:w w:val="105"/>
          <w:sz w:val="12"/>
          <w:szCs w:val="12"/>
        </w:rPr>
        <w:t>ll«Oldanee</w:t>
      </w:r>
      <w:r>
        <w:rPr>
          <w:rFonts w:ascii="Arial" w:hAnsi="Arial" w:cs="Arial" w:eastAsia="Arial"/>
          <w:color w:val="878282"/>
          <w:spacing w:val="20"/>
          <w:w w:val="105"/>
          <w:sz w:val="12"/>
          <w:szCs w:val="12"/>
        </w:rPr>
        <w:t> </w:t>
      </w:r>
      <w:r>
        <w:rPr>
          <w:rFonts w:ascii="Arial" w:hAnsi="Arial" w:cs="Arial" w:eastAsia="Arial"/>
          <w:color w:val="74706E"/>
          <w:w w:val="105"/>
          <w:sz w:val="13"/>
          <w:szCs w:val="13"/>
        </w:rPr>
        <w:t>w9th</w:t>
      </w:r>
      <w:r>
        <w:rPr>
          <w:rFonts w:ascii="Arial" w:hAnsi="Arial" w:cs="Arial" w:eastAsia="Arial"/>
          <w:color w:val="74706E"/>
          <w:spacing w:val="19"/>
          <w:w w:val="105"/>
          <w:sz w:val="13"/>
          <w:szCs w:val="13"/>
        </w:rPr>
        <w:t> </w:t>
      </w:r>
      <w:r>
        <w:rPr>
          <w:rFonts w:ascii="Arial" w:hAnsi="Arial" w:cs="Arial" w:eastAsia="Arial"/>
          <w:color w:val="74706E"/>
          <w:w w:val="565"/>
          <w:sz w:val="12"/>
          <w:szCs w:val="12"/>
        </w:rPr>
        <w:t>t</w:t>
      </w:r>
      <w:r>
        <w:rPr>
          <w:rFonts w:ascii="Arial" w:hAnsi="Arial" w:cs="Arial" w:eastAsia="Arial"/>
          <w:color w:val="74706E"/>
          <w:spacing w:val="-156"/>
          <w:w w:val="565"/>
          <w:sz w:val="12"/>
          <w:szCs w:val="12"/>
        </w:rPr>
        <w:t> </w:t>
      </w:r>
      <w:r>
        <w:rPr>
          <w:rFonts w:ascii="Arial" w:hAnsi="Arial" w:cs="Arial" w:eastAsia="Arial"/>
          <w:color w:val="74706E"/>
          <w:w w:val="105"/>
          <w:sz w:val="12"/>
          <w:szCs w:val="12"/>
        </w:rPr>
        <w:t>Austra</w:t>
      </w:r>
      <w:r>
        <w:rPr>
          <w:rFonts w:ascii="Arial" w:hAnsi="Arial" w:cs="Arial" w:eastAsia="Arial"/>
          <w:color w:val="74706E"/>
          <w:spacing w:val="-5"/>
          <w:w w:val="105"/>
          <w:sz w:val="12"/>
          <w:szCs w:val="12"/>
        </w:rPr>
        <w:t>l</w:t>
      </w:r>
      <w:r>
        <w:rPr>
          <w:rFonts w:ascii="Arial" w:hAnsi="Arial" w:cs="Arial" w:eastAsia="Arial"/>
          <w:color w:val="74706E"/>
          <w:w w:val="105"/>
          <w:sz w:val="12"/>
          <w:szCs w:val="12"/>
        </w:rPr>
        <w:t>ian</w:t>
      </w:r>
      <w:r>
        <w:rPr>
          <w:rFonts w:ascii="Arial" w:hAnsi="Arial" w:cs="Arial" w:eastAsia="Arial"/>
          <w:color w:val="74706E"/>
          <w:spacing w:val="7"/>
          <w:w w:val="105"/>
          <w:sz w:val="12"/>
          <w:szCs w:val="12"/>
        </w:rPr>
        <w:t> </w:t>
      </w:r>
      <w:r>
        <w:rPr>
          <w:rFonts w:ascii="Arial" w:hAnsi="Arial" w:cs="Arial" w:eastAsia="Arial"/>
          <w:color w:val="74706E"/>
          <w:w w:val="105"/>
          <w:sz w:val="12"/>
          <w:szCs w:val="12"/>
        </w:rPr>
        <w:t>National</w:t>
      </w:r>
      <w:r>
        <w:rPr>
          <w:rFonts w:ascii="Arial" w:hAnsi="Arial" w:cs="Arial" w:eastAsia="Arial"/>
          <w:color w:val="74706E"/>
          <w:spacing w:val="14"/>
          <w:w w:val="105"/>
          <w:sz w:val="12"/>
          <w:szCs w:val="12"/>
        </w:rPr>
        <w:t> </w:t>
      </w:r>
      <w:r>
        <w:rPr>
          <w:rFonts w:ascii="Times New Roman" w:hAnsi="Times New Roman" w:cs="Times New Roman" w:eastAsia="Times New Roman"/>
          <w:color w:val="74706E"/>
          <w:w w:val="105"/>
          <w:sz w:val="14"/>
          <w:szCs w:val="14"/>
        </w:rPr>
        <w:t>Audit</w:t>
      </w:r>
      <w:r>
        <w:rPr>
          <w:rFonts w:ascii="Times New Roman" w:hAnsi="Times New Roman" w:cs="Times New Roman" w:eastAsia="Times New Roman"/>
          <w:color w:val="74706E"/>
          <w:spacing w:val="28"/>
          <w:w w:val="105"/>
          <w:sz w:val="14"/>
          <w:szCs w:val="14"/>
        </w:rPr>
        <w:t> </w:t>
      </w:r>
      <w:r>
        <w:rPr>
          <w:rFonts w:ascii="Arial" w:hAnsi="Arial" w:cs="Arial" w:eastAsia="Arial"/>
          <w:color w:val="74706E"/>
          <w:w w:val="105"/>
          <w:sz w:val="12"/>
          <w:szCs w:val="12"/>
        </w:rPr>
        <w:t>Office</w:t>
      </w:r>
      <w:r>
        <w:rPr>
          <w:rFonts w:ascii="Arial" w:hAnsi="Arial" w:cs="Arial" w:eastAsia="Arial"/>
          <w:color w:val="74706E"/>
          <w:spacing w:val="1"/>
          <w:w w:val="105"/>
          <w:sz w:val="12"/>
          <w:szCs w:val="12"/>
        </w:rPr>
        <w:t> </w:t>
      </w:r>
      <w:r>
        <w:rPr>
          <w:rFonts w:ascii="Arial" w:hAnsi="Arial" w:cs="Arial" w:eastAsia="Arial"/>
          <w:color w:val="74706E"/>
          <w:w w:val="105"/>
          <w:sz w:val="12"/>
          <w:szCs w:val="12"/>
        </w:rPr>
        <w:t>Aud</w:t>
      </w:r>
      <w:r>
        <w:rPr>
          <w:rFonts w:ascii="Arial" w:hAnsi="Arial" w:cs="Arial" w:eastAsia="Arial"/>
          <w:color w:val="74706E"/>
          <w:spacing w:val="-5"/>
          <w:w w:val="105"/>
          <w:sz w:val="12"/>
          <w:szCs w:val="12"/>
        </w:rPr>
        <w:t>i</w:t>
      </w:r>
      <w:r>
        <w:rPr>
          <w:rFonts w:ascii="Arial" w:hAnsi="Arial" w:cs="Arial" w:eastAsia="Arial"/>
          <w:color w:val="74706E"/>
          <w:w w:val="105"/>
          <w:sz w:val="12"/>
          <w:szCs w:val="12"/>
        </w:rPr>
        <w:t>ting</w:t>
      </w:r>
      <w:r>
        <w:rPr>
          <w:rFonts w:ascii="Arial" w:hAnsi="Arial" w:cs="Arial" w:eastAsia="Arial"/>
          <w:color w:val="74706E"/>
          <w:spacing w:val="15"/>
          <w:w w:val="105"/>
          <w:sz w:val="12"/>
          <w:szCs w:val="12"/>
        </w:rPr>
        <w:t> </w:t>
      </w:r>
      <w:r>
        <w:rPr>
          <w:rFonts w:ascii="Arial" w:hAnsi="Arial" w:cs="Arial" w:eastAsia="Arial"/>
          <w:color w:val="74706E"/>
          <w:w w:val="105"/>
          <w:sz w:val="12"/>
          <w:szCs w:val="12"/>
        </w:rPr>
        <w:t>Standards.,</w:t>
      </w:r>
      <w:r>
        <w:rPr>
          <w:rFonts w:ascii="Arial" w:hAnsi="Arial" w:cs="Arial" w:eastAsia="Arial"/>
          <w:color w:val="74706E"/>
          <w:spacing w:val="23"/>
          <w:w w:val="105"/>
          <w:sz w:val="12"/>
          <w:szCs w:val="12"/>
        </w:rPr>
        <w:t> </w:t>
      </w:r>
      <w:r>
        <w:rPr>
          <w:rFonts w:ascii="Times New Roman" w:hAnsi="Times New Roman" w:cs="Times New Roman" w:eastAsia="Times New Roman"/>
          <w:color w:val="74706E"/>
          <w:w w:val="105"/>
          <w:sz w:val="14"/>
          <w:szCs w:val="14"/>
        </w:rPr>
        <w:t>wl*ft</w:t>
      </w:r>
      <w:r>
        <w:rPr>
          <w:rFonts w:ascii="Times New Roman" w:hAnsi="Times New Roman" w:cs="Times New Roman" w:eastAsia="Times New Roman"/>
          <w:sz w:val="14"/>
          <w:szCs w:val="14"/>
        </w:rPr>
      </w:r>
    </w:p>
    <w:p>
      <w:pPr>
        <w:spacing w:line="220" w:lineRule="auto" w:before="22"/>
        <w:ind w:left="1039" w:right="1151" w:firstLine="14"/>
        <w:jc w:val="both"/>
        <w:rPr>
          <w:rFonts w:ascii="Arial" w:hAnsi="Arial" w:cs="Arial" w:eastAsia="Arial"/>
          <w:sz w:val="12"/>
          <w:szCs w:val="12"/>
        </w:rPr>
      </w:pPr>
      <w:r>
        <w:rPr>
          <w:rFonts w:ascii="Arial" w:hAnsi="Arial"/>
          <w:color w:val="878282"/>
          <w:spacing w:val="-1"/>
          <w:sz w:val="13"/>
        </w:rPr>
        <w:t>Jnoorporn</w:t>
      </w:r>
      <w:r>
        <w:rPr>
          <w:rFonts w:ascii="Arial" w:hAnsi="Arial"/>
          <w:color w:val="878282"/>
          <w:spacing w:val="-2"/>
          <w:sz w:val="13"/>
        </w:rPr>
        <w:t>e</w:t>
      </w:r>
      <w:r>
        <w:rPr>
          <w:rFonts w:ascii="Arial" w:hAnsi="Arial"/>
          <w:color w:val="878282"/>
          <w:spacing w:val="-12"/>
          <w:sz w:val="13"/>
        </w:rPr>
        <w:t> </w:t>
      </w:r>
      <w:r>
        <w:rPr>
          <w:rFonts w:ascii="Arial" w:hAnsi="Arial"/>
          <w:color w:val="74706E"/>
          <w:sz w:val="13"/>
        </w:rPr>
        <w:t>ttie</w:t>
      </w:r>
      <w:r>
        <w:rPr>
          <w:rFonts w:ascii="Arial" w:hAnsi="Arial"/>
          <w:color w:val="74706E"/>
          <w:spacing w:val="-7"/>
          <w:sz w:val="13"/>
        </w:rPr>
        <w:t> </w:t>
      </w:r>
      <w:r>
        <w:rPr>
          <w:rFonts w:ascii="Times New Roman" w:hAnsi="Times New Roman"/>
          <w:color w:val="74706E"/>
          <w:spacing w:val="-2"/>
          <w:sz w:val="14"/>
        </w:rPr>
        <w:t>Austr1lian </w:t>
      </w:r>
      <w:r>
        <w:rPr>
          <w:rFonts w:ascii="Times New Roman" w:hAnsi="Times New Roman"/>
          <w:color w:val="74706E"/>
          <w:sz w:val="14"/>
        </w:rPr>
        <w:t>Al.ldltlng</w:t>
      </w:r>
      <w:r>
        <w:rPr>
          <w:rFonts w:ascii="Times New Roman" w:hAnsi="Times New Roman"/>
          <w:color w:val="74706E"/>
          <w:spacing w:val="-9"/>
          <w:sz w:val="14"/>
        </w:rPr>
        <w:t> </w:t>
      </w:r>
      <w:r>
        <w:rPr>
          <w:rFonts w:ascii="Times New Roman" w:hAnsi="Times New Roman"/>
          <w:color w:val="74706E"/>
          <w:sz w:val="13"/>
        </w:rPr>
        <w:t>Stlndards..</w:t>
      </w:r>
      <w:r>
        <w:rPr>
          <w:rFonts w:ascii="Times New Roman" w:hAnsi="Times New Roman"/>
          <w:color w:val="74706E"/>
          <w:spacing w:val="-10"/>
          <w:sz w:val="13"/>
        </w:rPr>
        <w:t> </w:t>
      </w:r>
      <w:r>
        <w:rPr>
          <w:rFonts w:ascii="Times New Roman" w:hAnsi="Times New Roman"/>
          <w:color w:val="74706E"/>
          <w:sz w:val="13"/>
        </w:rPr>
        <w:t>Myrnponsibllitlei</w:t>
      </w:r>
      <w:r>
        <w:rPr>
          <w:rFonts w:ascii="Times New Roman" w:hAnsi="Times New Roman"/>
          <w:color w:val="74706E"/>
          <w:spacing w:val="-3"/>
          <w:sz w:val="13"/>
        </w:rPr>
        <w:t> </w:t>
      </w:r>
      <w:r>
        <w:rPr>
          <w:rFonts w:ascii="Times New Roman" w:hAnsi="Times New Roman"/>
          <w:color w:val="74706E"/>
          <w:sz w:val="14"/>
        </w:rPr>
        <w:t>undtr</w:t>
      </w:r>
      <w:r>
        <w:rPr>
          <w:rFonts w:ascii="Times New Roman" w:hAnsi="Times New Roman"/>
          <w:color w:val="74706E"/>
          <w:spacing w:val="-10"/>
          <w:sz w:val="14"/>
        </w:rPr>
        <w:t> </w:t>
      </w:r>
      <w:r>
        <w:rPr>
          <w:rFonts w:ascii="Arial" w:hAnsi="Arial"/>
          <w:color w:val="74706E"/>
          <w:sz w:val="13"/>
        </w:rPr>
        <w:t>d'low</w:t>
      </w:r>
      <w:r>
        <w:rPr>
          <w:rFonts w:ascii="Arial" w:hAnsi="Arial"/>
          <w:color w:val="74706E"/>
          <w:spacing w:val="1"/>
          <w:sz w:val="13"/>
        </w:rPr>
        <w:t> </w:t>
      </w:r>
      <w:r>
        <w:rPr>
          <w:rFonts w:ascii="Times New Roman" w:hAnsi="Times New Roman"/>
          <w:color w:val="74706E"/>
          <w:sz w:val="14"/>
        </w:rPr>
        <w:t>scandards</w:t>
      </w:r>
      <w:r>
        <w:rPr>
          <w:rFonts w:ascii="Times New Roman" w:hAnsi="Times New Roman"/>
          <w:color w:val="74706E"/>
          <w:spacing w:val="-3"/>
          <w:sz w:val="14"/>
        </w:rPr>
        <w:t> </w:t>
      </w:r>
      <w:r>
        <w:rPr>
          <w:rFonts w:ascii="Times New Roman" w:hAnsi="Times New Roman"/>
          <w:color w:val="74706E"/>
          <w:sz w:val="14"/>
        </w:rPr>
        <w:t>Mt</w:t>
      </w:r>
      <w:r>
        <w:rPr>
          <w:rFonts w:ascii="Times New Roman" w:hAnsi="Times New Roman"/>
          <w:color w:val="74706E"/>
          <w:spacing w:val="1"/>
          <w:sz w:val="14"/>
        </w:rPr>
        <w:t> </w:t>
      </w:r>
      <w:r>
        <w:rPr>
          <w:rFonts w:ascii="Arial" w:hAnsi="Arial"/>
          <w:color w:val="74706E"/>
          <w:sz w:val="14"/>
        </w:rPr>
        <w:t>f'Urther</w:t>
      </w:r>
      <w:r>
        <w:rPr>
          <w:rFonts w:ascii="Arial" w:hAnsi="Arial"/>
          <w:color w:val="74706E"/>
          <w:spacing w:val="-7"/>
          <w:sz w:val="14"/>
        </w:rPr>
        <w:t> </w:t>
      </w:r>
      <w:r>
        <w:rPr>
          <w:rFonts w:ascii="Times New Roman" w:hAnsi="Times New Roman"/>
          <w:color w:val="74706E"/>
          <w:w w:val="105"/>
          <w:sz w:val="13"/>
        </w:rPr>
        <w:t>dtKribed</w:t>
      </w:r>
      <w:r>
        <w:rPr>
          <w:rFonts w:ascii="Times New Roman" w:hAnsi="Times New Roman"/>
          <w:color w:val="74706E"/>
          <w:spacing w:val="26"/>
          <w:w w:val="116"/>
          <w:sz w:val="13"/>
        </w:rPr>
        <w:t> </w:t>
      </w:r>
      <w:r>
        <w:rPr>
          <w:rFonts w:ascii="Times New Roman" w:hAnsi="Times New Roman"/>
          <w:color w:val="878282"/>
          <w:sz w:val="14"/>
        </w:rPr>
        <w:t>In</w:t>
      </w:r>
      <w:r>
        <w:rPr>
          <w:rFonts w:ascii="Times New Roman" w:hAnsi="Times New Roman"/>
          <w:color w:val="878282"/>
          <w:spacing w:val="-20"/>
          <w:sz w:val="14"/>
        </w:rPr>
        <w:t> </w:t>
      </w:r>
      <w:r>
        <w:rPr>
          <w:rFonts w:ascii="Times New Roman" w:hAnsi="Times New Roman"/>
          <w:color w:val="74706E"/>
          <w:sz w:val="14"/>
        </w:rPr>
        <w:t>the</w:t>
      </w:r>
      <w:r>
        <w:rPr>
          <w:rFonts w:ascii="Times New Roman" w:hAnsi="Times New Roman"/>
          <w:color w:val="74706E"/>
          <w:spacing w:val="-20"/>
          <w:sz w:val="14"/>
        </w:rPr>
        <w:t> </w:t>
      </w:r>
      <w:r>
        <w:rPr>
          <w:rFonts w:ascii="Arial" w:hAnsi="Arial"/>
          <w:i/>
          <w:color w:val="74706E"/>
          <w:sz w:val="14"/>
        </w:rPr>
        <w:t>Alldltor's</w:t>
      </w:r>
      <w:r>
        <w:rPr>
          <w:rFonts w:ascii="Arial" w:hAnsi="Arial"/>
          <w:i/>
          <w:color w:val="74706E"/>
          <w:spacing w:val="-15"/>
          <w:sz w:val="14"/>
        </w:rPr>
        <w:t> </w:t>
      </w:r>
      <w:r>
        <w:rPr>
          <w:rFonts w:ascii="Arial" w:hAnsi="Arial"/>
          <w:color w:val="74706E"/>
          <w:spacing w:val="-3"/>
          <w:sz w:val="13"/>
        </w:rPr>
        <w:t>/kspoflsJWl1</w:t>
      </w:r>
      <w:r>
        <w:rPr>
          <w:rFonts w:ascii="Arial" w:hAnsi="Arial"/>
          <w:color w:val="74706E"/>
          <w:spacing w:val="32"/>
          <w:sz w:val="13"/>
        </w:rPr>
        <w:t> </w:t>
      </w:r>
      <w:r>
        <w:rPr>
          <w:rFonts w:ascii="Arial" w:hAnsi="Arial"/>
          <w:color w:val="74706E"/>
          <w:spacing w:val="1"/>
          <w:sz w:val="13"/>
        </w:rPr>
        <w:t>s</w:t>
      </w:r>
      <w:r>
        <w:rPr>
          <w:rFonts w:ascii="Arial" w:hAnsi="Arial"/>
          <w:i/>
          <w:color w:val="74706E"/>
          <w:spacing w:val="1"/>
          <w:sz w:val="16"/>
        </w:rPr>
        <w:t>/of</w:t>
      </w:r>
      <w:r>
        <w:rPr>
          <w:rFonts w:ascii="Arial" w:hAnsi="Arial"/>
          <w:i/>
          <w:color w:val="74706E"/>
          <w:spacing w:val="-12"/>
          <w:sz w:val="16"/>
        </w:rPr>
        <w:t> </w:t>
      </w:r>
      <w:r>
        <w:rPr>
          <w:rFonts w:ascii="Arial" w:hAnsi="Arial"/>
          <w:i/>
          <w:color w:val="878282"/>
          <w:sz w:val="13"/>
        </w:rPr>
        <w:t>dtf'</w:t>
      </w:r>
      <w:r>
        <w:rPr>
          <w:rFonts w:ascii="Arial" w:hAnsi="Arial"/>
          <w:i/>
          <w:color w:val="878282"/>
          <w:spacing w:val="-24"/>
          <w:sz w:val="13"/>
        </w:rPr>
        <w:t> </w:t>
      </w:r>
      <w:r>
        <w:rPr>
          <w:rFonts w:ascii="Arial" w:hAnsi="Arial"/>
          <w:i/>
          <w:color w:val="5D5B59"/>
          <w:w w:val="285"/>
          <w:sz w:val="14"/>
        </w:rPr>
        <w:t>A</w:t>
      </w:r>
      <w:r>
        <w:rPr>
          <w:rFonts w:ascii="Arial" w:hAnsi="Arial"/>
          <w:i/>
          <w:color w:val="5D5B59"/>
          <w:spacing w:val="-88"/>
          <w:w w:val="285"/>
          <w:sz w:val="14"/>
        </w:rPr>
        <w:t> </w:t>
      </w:r>
      <w:r>
        <w:rPr>
          <w:rFonts w:ascii="Times New Roman" w:hAnsi="Times New Roman"/>
          <w:color w:val="74706E"/>
          <w:sz w:val="14"/>
        </w:rPr>
        <w:t>o/file</w:t>
      </w:r>
      <w:r>
        <w:rPr>
          <w:rFonts w:ascii="Times New Roman" w:hAnsi="Times New Roman"/>
          <w:color w:val="74706E"/>
          <w:spacing w:val="-22"/>
          <w:sz w:val="14"/>
        </w:rPr>
        <w:t> </w:t>
      </w:r>
      <w:r>
        <w:rPr>
          <w:rFonts w:ascii="Arial" w:hAnsi="Arial"/>
          <w:i/>
          <w:color w:val="878282"/>
          <w:sz w:val="14"/>
        </w:rPr>
        <w:t>llnol'ICk:tl</w:t>
      </w:r>
      <w:r>
        <w:rPr>
          <w:rFonts w:ascii="Arial" w:hAnsi="Arial"/>
          <w:i/>
          <w:color w:val="878282"/>
          <w:spacing w:val="-13"/>
          <w:sz w:val="14"/>
        </w:rPr>
        <w:t> </w:t>
      </w:r>
      <w:r>
        <w:rPr>
          <w:rFonts w:ascii="Arial" w:hAnsi="Arial"/>
          <w:i/>
          <w:color w:val="74706E"/>
          <w:sz w:val="14"/>
        </w:rPr>
        <w:t>Rt'PQft</w:t>
      </w:r>
      <w:r>
        <w:rPr>
          <w:rFonts w:ascii="Arial" w:hAnsi="Arial"/>
          <w:i/>
          <w:color w:val="74706E"/>
          <w:spacing w:val="-17"/>
          <w:sz w:val="14"/>
        </w:rPr>
        <w:t> </w:t>
      </w:r>
      <w:r>
        <w:rPr>
          <w:rFonts w:ascii="Times New Roman" w:hAnsi="Times New Roman"/>
          <w:color w:val="74706E"/>
          <w:sz w:val="14"/>
        </w:rPr>
        <w:t>section</w:t>
      </w:r>
      <w:r>
        <w:rPr>
          <w:rFonts w:ascii="Times New Roman" w:hAnsi="Times New Roman"/>
          <w:color w:val="74706E"/>
          <w:spacing w:val="-18"/>
          <w:sz w:val="14"/>
        </w:rPr>
        <w:t> </w:t>
      </w:r>
      <w:r>
        <w:rPr>
          <w:rFonts w:ascii="Times New Roman" w:hAnsi="Times New Roman"/>
          <w:color w:val="74706E"/>
          <w:sz w:val="14"/>
        </w:rPr>
        <w:t>of</w:t>
      </w:r>
      <w:r>
        <w:rPr>
          <w:rFonts w:ascii="Times New Roman" w:hAnsi="Times New Roman"/>
          <w:color w:val="74706E"/>
          <w:spacing w:val="-19"/>
          <w:sz w:val="14"/>
        </w:rPr>
        <w:t> </w:t>
      </w:r>
      <w:r>
        <w:rPr>
          <w:rFonts w:ascii="Times New Roman" w:hAnsi="Times New Roman"/>
          <w:color w:val="74706E"/>
          <w:sz w:val="14"/>
        </w:rPr>
        <w:t>my</w:t>
      </w:r>
      <w:r>
        <w:rPr>
          <w:rFonts w:ascii="Times New Roman" w:hAnsi="Times New Roman"/>
          <w:color w:val="74706E"/>
          <w:spacing w:val="-18"/>
          <w:sz w:val="14"/>
        </w:rPr>
        <w:t> </w:t>
      </w:r>
      <w:r>
        <w:rPr>
          <w:rFonts w:ascii="Times New Roman" w:hAnsi="Times New Roman"/>
          <w:color w:val="74706E"/>
          <w:sz w:val="13"/>
        </w:rPr>
        <w:t>report..</w:t>
      </w:r>
      <w:r>
        <w:rPr>
          <w:rFonts w:ascii="Times New Roman" w:hAnsi="Times New Roman"/>
          <w:color w:val="74706E"/>
          <w:spacing w:val="-17"/>
          <w:sz w:val="13"/>
        </w:rPr>
        <w:t> </w:t>
      </w:r>
      <w:r>
        <w:rPr>
          <w:rFonts w:ascii="Times New Roman" w:hAnsi="Times New Roman"/>
          <w:color w:val="74706E"/>
          <w:sz w:val="14"/>
        </w:rPr>
        <w:t>I</w:t>
      </w:r>
      <w:r>
        <w:rPr>
          <w:rFonts w:ascii="Times New Roman" w:hAnsi="Times New Roman"/>
          <w:color w:val="74706E"/>
          <w:spacing w:val="-11"/>
          <w:sz w:val="14"/>
        </w:rPr>
        <w:t> </w:t>
      </w:r>
      <w:r>
        <w:rPr>
          <w:rFonts w:ascii="Times New Roman" w:hAnsi="Times New Roman"/>
          <w:color w:val="74706E"/>
          <w:sz w:val="13"/>
        </w:rPr>
        <w:t>am</w:t>
      </w:r>
      <w:r>
        <w:rPr>
          <w:rFonts w:ascii="Times New Roman" w:hAnsi="Times New Roman"/>
          <w:color w:val="74706E"/>
          <w:spacing w:val="-18"/>
          <w:sz w:val="13"/>
        </w:rPr>
        <w:t> </w:t>
      </w:r>
      <w:r>
        <w:rPr>
          <w:rFonts w:ascii="Times New Roman" w:hAnsi="Times New Roman"/>
          <w:color w:val="878282"/>
          <w:sz w:val="14"/>
        </w:rPr>
        <w:t>lndependenc</w:t>
      </w:r>
      <w:r>
        <w:rPr>
          <w:rFonts w:ascii="Times New Roman" w:hAnsi="Times New Roman"/>
          <w:color w:val="878282"/>
          <w:spacing w:val="-14"/>
          <w:sz w:val="14"/>
        </w:rPr>
        <w:t> </w:t>
      </w:r>
      <w:r>
        <w:rPr>
          <w:rFonts w:ascii="Times New Roman" w:hAnsi="Times New Roman"/>
          <w:color w:val="74706E"/>
          <w:sz w:val="15"/>
        </w:rPr>
        <w:t>of</w:t>
      </w:r>
      <w:r>
        <w:rPr>
          <w:rFonts w:ascii="Times New Roman" w:hAnsi="Times New Roman"/>
          <w:color w:val="74706E"/>
          <w:spacing w:val="36"/>
          <w:w w:val="83"/>
          <w:sz w:val="15"/>
        </w:rPr>
        <w:t> </w:t>
      </w:r>
      <w:r>
        <w:rPr>
          <w:rFonts w:ascii="Times New Roman" w:hAnsi="Times New Roman"/>
          <w:color w:val="74706E"/>
          <w:sz w:val="15"/>
        </w:rPr>
        <w:t>the</w:t>
      </w:r>
      <w:r>
        <w:rPr>
          <w:rFonts w:ascii="Times New Roman" w:hAnsi="Times New Roman"/>
          <w:color w:val="74706E"/>
          <w:spacing w:val="1"/>
          <w:sz w:val="14"/>
        </w:rPr>
        <w:t>COmpany</w:t>
      </w:r>
      <w:r>
        <w:rPr>
          <w:rFonts w:ascii="Times New Roman" w:hAnsi="Times New Roman"/>
          <w:color w:val="74706E"/>
          <w:spacing w:val="-23"/>
          <w:sz w:val="14"/>
        </w:rPr>
        <w:t> </w:t>
      </w:r>
      <w:r>
        <w:rPr>
          <w:rFonts w:ascii="Times New Roman" w:hAnsi="Times New Roman"/>
          <w:color w:val="878282"/>
          <w:sz w:val="14"/>
        </w:rPr>
        <w:t>in</w:t>
      </w:r>
      <w:r>
        <w:rPr>
          <w:rFonts w:ascii="Times New Roman" w:hAnsi="Times New Roman"/>
          <w:color w:val="878282"/>
          <w:spacing w:val="-16"/>
          <w:sz w:val="14"/>
        </w:rPr>
        <w:t> </w:t>
      </w:r>
      <w:r>
        <w:rPr>
          <w:rFonts w:ascii="Times New Roman" w:hAnsi="Times New Roman"/>
          <w:color w:val="878282"/>
          <w:sz w:val="14"/>
        </w:rPr>
        <w:t>aoeotdance</w:t>
      </w:r>
      <w:r>
        <w:rPr>
          <w:rFonts w:ascii="Times New Roman" w:hAnsi="Times New Roman"/>
          <w:color w:val="878282"/>
          <w:spacing w:val="-12"/>
          <w:sz w:val="14"/>
        </w:rPr>
        <w:t> </w:t>
      </w:r>
      <w:r>
        <w:rPr>
          <w:rFonts w:ascii="Times New Roman" w:hAnsi="Times New Roman"/>
          <w:color w:val="74706E"/>
          <w:sz w:val="14"/>
        </w:rPr>
        <w:t>witl\</w:t>
      </w:r>
      <w:r>
        <w:rPr>
          <w:rFonts w:ascii="Times New Roman" w:hAnsi="Times New Roman"/>
          <w:color w:val="74706E"/>
          <w:spacing w:val="-12"/>
          <w:sz w:val="14"/>
        </w:rPr>
        <w:t> </w:t>
      </w:r>
      <w:r>
        <w:rPr>
          <w:rFonts w:ascii="Times New Roman" w:hAnsi="Times New Roman"/>
          <w:color w:val="74706E"/>
          <w:sz w:val="15"/>
        </w:rPr>
        <w:t>the</w:t>
      </w:r>
      <w:r>
        <w:rPr>
          <w:rFonts w:ascii="Times New Roman" w:hAnsi="Times New Roman"/>
          <w:color w:val="74706E"/>
          <w:spacing w:val="1"/>
          <w:sz w:val="15"/>
        </w:rPr>
        <w:t>auditot</w:t>
      </w:r>
      <w:r>
        <w:rPr>
          <w:rFonts w:ascii="Times New Roman" w:hAnsi="Times New Roman"/>
          <w:color w:val="74706E"/>
          <w:spacing w:val="-15"/>
          <w:sz w:val="15"/>
        </w:rPr>
        <w:t> </w:t>
      </w:r>
      <w:r>
        <w:rPr>
          <w:rFonts w:ascii="Times New Roman" w:hAnsi="Times New Roman"/>
          <w:color w:val="74706E"/>
          <w:sz w:val="14"/>
        </w:rPr>
        <w:t>independenoe</w:t>
      </w:r>
      <w:r>
        <w:rPr>
          <w:rFonts w:ascii="Times New Roman" w:hAnsi="Times New Roman"/>
          <w:color w:val="74706E"/>
          <w:spacing w:val="-8"/>
          <w:sz w:val="14"/>
        </w:rPr>
        <w:t> </w:t>
      </w:r>
      <w:r>
        <w:rPr>
          <w:rFonts w:ascii="Times New Roman" w:hAnsi="Times New Roman"/>
          <w:color w:val="74706E"/>
          <w:sz w:val="15"/>
        </w:rPr>
        <w:t>requirements</w:t>
      </w:r>
      <w:r>
        <w:rPr>
          <w:rFonts w:ascii="Times New Roman" w:hAnsi="Times New Roman"/>
          <w:color w:val="74706E"/>
          <w:spacing w:val="-8"/>
          <w:sz w:val="15"/>
        </w:rPr>
        <w:t> </w:t>
      </w:r>
      <w:r>
        <w:rPr>
          <w:rFonts w:ascii="Arial" w:hAnsi="Arial"/>
          <w:color w:val="74706E"/>
          <w:sz w:val="13"/>
        </w:rPr>
        <w:t>of</w:t>
      </w:r>
      <w:r>
        <w:rPr>
          <w:rFonts w:ascii="Arial" w:hAnsi="Arial"/>
          <w:color w:val="74706E"/>
          <w:spacing w:val="-14"/>
          <w:sz w:val="13"/>
        </w:rPr>
        <w:t> </w:t>
      </w:r>
      <w:r>
        <w:rPr>
          <w:rFonts w:ascii="Times New Roman" w:hAnsi="Times New Roman"/>
          <w:color w:val="74706E"/>
          <w:sz w:val="13"/>
        </w:rPr>
        <w:t>the</w:t>
      </w:r>
      <w:r>
        <w:rPr>
          <w:rFonts w:ascii="Times New Roman" w:hAnsi="Times New Roman"/>
          <w:color w:val="74706E"/>
          <w:spacing w:val="-14"/>
          <w:sz w:val="13"/>
        </w:rPr>
        <w:t> </w:t>
      </w:r>
      <w:r>
        <w:rPr>
          <w:rFonts w:ascii="Arial" w:hAnsi="Arial"/>
          <w:i/>
          <w:color w:val="74706E"/>
          <w:sz w:val="12"/>
        </w:rPr>
        <w:t>Corpo1orions</w:t>
      </w:r>
      <w:r>
        <w:rPr>
          <w:rFonts w:ascii="Arial" w:hAnsi="Arial"/>
          <w:i/>
          <w:color w:val="74706E"/>
          <w:spacing w:val="-8"/>
          <w:sz w:val="12"/>
        </w:rPr>
        <w:t> </w:t>
      </w:r>
      <w:r>
        <w:rPr>
          <w:rFonts w:ascii="Times New Roman" w:hAnsi="Times New Roman"/>
          <w:i/>
          <w:color w:val="74706E"/>
          <w:sz w:val="13"/>
        </w:rPr>
        <w:t>Att</w:t>
      </w:r>
      <w:r>
        <w:rPr>
          <w:rFonts w:ascii="Times New Roman" w:hAnsi="Times New Roman"/>
          <w:i/>
          <w:color w:val="74706E"/>
          <w:spacing w:val="-3"/>
          <w:sz w:val="13"/>
        </w:rPr>
        <w:t> </w:t>
      </w:r>
      <w:r>
        <w:rPr>
          <w:rFonts w:ascii="Arial" w:hAnsi="Arial"/>
          <w:i/>
          <w:color w:val="74706E"/>
          <w:sz w:val="12"/>
        </w:rPr>
        <w:t>1001</w:t>
      </w:r>
      <w:r>
        <w:rPr>
          <w:rFonts w:ascii="Arial" w:hAnsi="Arial"/>
          <w:i/>
          <w:color w:val="74706E"/>
          <w:spacing w:val="-20"/>
          <w:sz w:val="12"/>
        </w:rPr>
        <w:t> </w:t>
      </w:r>
      <w:r>
        <w:rPr>
          <w:rFonts w:ascii="Times New Roman" w:hAnsi="Times New Roman"/>
          <w:color w:val="74706E"/>
          <w:sz w:val="15"/>
        </w:rPr>
        <w:t>and</w:t>
      </w:r>
      <w:r>
        <w:rPr>
          <w:rFonts w:ascii="Times New Roman" w:hAnsi="Times New Roman"/>
          <w:color w:val="74706E"/>
          <w:spacing w:val="-17"/>
          <w:sz w:val="15"/>
        </w:rPr>
        <w:t> </w:t>
      </w:r>
      <w:r>
        <w:rPr>
          <w:rFonts w:ascii="Times New Roman" w:hAnsi="Times New Roman"/>
          <w:color w:val="74706E"/>
          <w:sz w:val="15"/>
        </w:rPr>
        <w:t>the</w:t>
      </w:r>
      <w:r>
        <w:rPr>
          <w:rFonts w:ascii="Times New Roman" w:hAnsi="Times New Roman"/>
          <w:color w:val="74706E"/>
          <w:spacing w:val="22"/>
          <w:w w:val="103"/>
          <w:sz w:val="15"/>
        </w:rPr>
        <w:t> </w:t>
      </w:r>
      <w:r>
        <w:rPr>
          <w:rFonts w:ascii="Times New Roman" w:hAnsi="Times New Roman"/>
          <w:color w:val="5D5B59"/>
          <w:sz w:val="13"/>
        </w:rPr>
        <w:t>r</w:t>
      </w:r>
      <w:r>
        <w:rPr>
          <w:rFonts w:ascii="Times New Roman" w:hAnsi="Times New Roman"/>
          <w:color w:val="878282"/>
          <w:sz w:val="13"/>
        </w:rPr>
        <w:t>ctltv;</w:t>
      </w:r>
      <w:r>
        <w:rPr>
          <w:rFonts w:ascii="Times New Roman" w:hAnsi="Times New Roman"/>
          <w:color w:val="878282"/>
          <w:spacing w:val="-7"/>
          <w:sz w:val="13"/>
        </w:rPr>
        <w:t>,</w:t>
      </w:r>
      <w:r>
        <w:rPr>
          <w:rFonts w:ascii="Times New Roman" w:hAnsi="Times New Roman"/>
          <w:color w:val="5D5B59"/>
          <w:sz w:val="13"/>
        </w:rPr>
        <w:t>nt</w:t>
      </w:r>
      <w:r>
        <w:rPr>
          <w:rFonts w:ascii="Times New Roman" w:hAnsi="Times New Roman"/>
          <w:color w:val="5D5B59"/>
          <w:spacing w:val="9"/>
          <w:sz w:val="13"/>
        </w:rPr>
        <w:t> </w:t>
      </w:r>
      <w:r>
        <w:rPr>
          <w:rFonts w:ascii="Times New Roman" w:hAnsi="Times New Roman"/>
          <w:color w:val="878282"/>
          <w:w w:val="135"/>
          <w:sz w:val="15"/>
        </w:rPr>
        <w:t>tdl</w:t>
      </w:r>
      <w:r>
        <w:rPr>
          <w:rFonts w:ascii="Times New Roman" w:hAnsi="Times New Roman"/>
          <w:color w:val="878282"/>
          <w:spacing w:val="-5"/>
          <w:w w:val="135"/>
          <w:sz w:val="15"/>
        </w:rPr>
        <w:t>b</w:t>
      </w:r>
      <w:r>
        <w:rPr>
          <w:rFonts w:ascii="Times New Roman" w:hAnsi="Times New Roman"/>
          <w:color w:val="5D5B59"/>
          <w:w w:val="135"/>
          <w:sz w:val="15"/>
        </w:rPr>
        <w:t>l</w:t>
      </w:r>
      <w:r>
        <w:rPr>
          <w:rFonts w:ascii="Times New Roman" w:hAnsi="Times New Roman"/>
          <w:color w:val="5D5B59"/>
          <w:spacing w:val="-16"/>
          <w:w w:val="135"/>
          <w:sz w:val="15"/>
        </w:rPr>
        <w:t> </w:t>
      </w:r>
      <w:r>
        <w:rPr>
          <w:rFonts w:ascii="Times New Roman" w:hAnsi="Times New Roman"/>
          <w:color w:val="5D5B59"/>
          <w:sz w:val="13"/>
        </w:rPr>
        <w:t>rl)'QI</w:t>
      </w:r>
      <w:r>
        <w:rPr>
          <w:rFonts w:ascii="Times New Roman" w:hAnsi="Times New Roman"/>
          <w:color w:val="5D5B59"/>
          <w:spacing w:val="11"/>
          <w:sz w:val="13"/>
        </w:rPr>
        <w:t>U</w:t>
      </w:r>
      <w:r>
        <w:rPr>
          <w:rFonts w:ascii="Times New Roman" w:hAnsi="Times New Roman"/>
          <w:color w:val="878282"/>
          <w:sz w:val="13"/>
        </w:rPr>
        <w:t>lremcnb</w:t>
      </w:r>
      <w:r>
        <w:rPr>
          <w:rFonts w:ascii="Times New Roman" w:hAnsi="Times New Roman"/>
          <w:color w:val="878282"/>
          <w:spacing w:val="8"/>
          <w:sz w:val="13"/>
        </w:rPr>
        <w:t> </w:t>
      </w:r>
      <w:r>
        <w:rPr>
          <w:rFonts w:ascii="Arial" w:hAnsi="Arial"/>
          <w:color w:val="5D5B59"/>
          <w:sz w:val="12"/>
        </w:rPr>
        <w:t>for</w:t>
      </w:r>
      <w:r>
        <w:rPr>
          <w:rFonts w:ascii="Arial" w:hAnsi="Arial"/>
          <w:color w:val="5D5B59"/>
          <w:spacing w:val="9"/>
          <w:sz w:val="12"/>
        </w:rPr>
        <w:t> </w:t>
      </w:r>
      <w:r>
        <w:rPr>
          <w:rFonts w:ascii="Times New Roman" w:hAnsi="Times New Roman"/>
          <w:color w:val="74706E"/>
          <w:sz w:val="14"/>
        </w:rPr>
        <w:t>finandfl</w:t>
      </w:r>
      <w:r>
        <w:rPr>
          <w:rFonts w:ascii="Times New Roman" w:hAnsi="Times New Roman"/>
          <w:color w:val="74706E"/>
          <w:spacing w:val="-8"/>
          <w:sz w:val="14"/>
        </w:rPr>
        <w:t> </w:t>
      </w:r>
      <w:r>
        <w:rPr>
          <w:rFonts w:ascii="Arial" w:hAnsi="Arial"/>
          <w:color w:val="5D5B59"/>
          <w:spacing w:val="-15"/>
          <w:sz w:val="12"/>
        </w:rPr>
        <w:t>r</w:t>
      </w:r>
      <w:r>
        <w:rPr>
          <w:rFonts w:ascii="Arial" w:hAnsi="Arial"/>
          <w:color w:val="878282"/>
          <w:sz w:val="12"/>
        </w:rPr>
        <w:t>&lt;":p</w:t>
      </w:r>
      <w:r>
        <w:rPr>
          <w:rFonts w:ascii="Arial" w:hAnsi="Arial"/>
          <w:color w:val="878282"/>
          <w:spacing w:val="-7"/>
          <w:sz w:val="12"/>
        </w:rPr>
        <w:t>o</w:t>
      </w:r>
      <w:r>
        <w:rPr>
          <w:rFonts w:ascii="Arial" w:hAnsi="Arial"/>
          <w:color w:val="5D5B59"/>
          <w:sz w:val="12"/>
        </w:rPr>
        <w:t>rt</w:t>
      </w:r>
      <w:r>
        <w:rPr>
          <w:rFonts w:ascii="Arial" w:hAnsi="Arial"/>
          <w:color w:val="5D5B59"/>
          <w:spacing w:val="-3"/>
          <w:sz w:val="12"/>
        </w:rPr>
        <w:t> </w:t>
      </w:r>
      <w:r>
        <w:rPr>
          <w:rFonts w:ascii="Arial" w:hAnsi="Arial"/>
          <w:color w:val="74706E"/>
          <w:sz w:val="12"/>
        </w:rPr>
        <w:t>;</w:t>
      </w:r>
      <w:r>
        <w:rPr>
          <w:rFonts w:ascii="Arial" w:hAnsi="Arial"/>
          <w:color w:val="74706E"/>
          <w:spacing w:val="-32"/>
          <w:sz w:val="12"/>
        </w:rPr>
        <w:t>1</w:t>
      </w:r>
      <w:r>
        <w:rPr>
          <w:rFonts w:ascii="Arial" w:hAnsi="Arial"/>
          <w:color w:val="74706E"/>
          <w:sz w:val="12"/>
        </w:rPr>
        <w:t>udits</w:t>
      </w:r>
      <w:r>
        <w:rPr>
          <w:rFonts w:ascii="Arial" w:hAnsi="Arial"/>
          <w:color w:val="74706E"/>
          <w:spacing w:val="-14"/>
          <w:sz w:val="12"/>
        </w:rPr>
        <w:t> </w:t>
      </w:r>
      <w:r>
        <w:rPr>
          <w:rFonts w:ascii="Times New Roman" w:hAnsi="Times New Roman"/>
          <w:color w:val="74706E"/>
          <w:sz w:val="15"/>
        </w:rPr>
        <w:t>conducted</w:t>
      </w:r>
      <w:r>
        <w:rPr>
          <w:rFonts w:ascii="Times New Roman" w:hAnsi="Times New Roman"/>
          <w:color w:val="74706E"/>
          <w:spacing w:val="-6"/>
          <w:sz w:val="15"/>
        </w:rPr>
        <w:t> </w:t>
      </w:r>
      <w:r>
        <w:rPr>
          <w:rFonts w:ascii="Times New Roman" w:hAnsi="Times New Roman"/>
          <w:color w:val="74706E"/>
          <w:sz w:val="13"/>
        </w:rPr>
        <w:t>by</w:t>
      </w:r>
      <w:r>
        <w:rPr>
          <w:rFonts w:ascii="Times New Roman" w:hAnsi="Times New Roman"/>
          <w:color w:val="74706E"/>
          <w:spacing w:val="-4"/>
          <w:sz w:val="13"/>
        </w:rPr>
        <w:t> </w:t>
      </w:r>
      <w:r>
        <w:rPr>
          <w:rFonts w:ascii="Times New Roman" w:hAnsi="Times New Roman"/>
          <w:color w:val="5D5B59"/>
          <w:w w:val="105"/>
          <w:sz w:val="13"/>
        </w:rPr>
        <w:t>th</w:t>
      </w:r>
      <w:r>
        <w:rPr>
          <w:rFonts w:ascii="Times New Roman" w:hAnsi="Times New Roman"/>
          <w:color w:val="878282"/>
          <w:w w:val="105"/>
          <w:sz w:val="13"/>
        </w:rPr>
        <w:t>e</w:t>
      </w:r>
      <w:r>
        <w:rPr>
          <w:rFonts w:ascii="Times New Roman" w:hAnsi="Times New Roman"/>
          <w:color w:val="878282"/>
          <w:spacing w:val="-18"/>
          <w:w w:val="105"/>
          <w:sz w:val="13"/>
        </w:rPr>
        <w:t> </w:t>
      </w:r>
      <w:r>
        <w:rPr>
          <w:rFonts w:ascii="Times New Roman" w:hAnsi="Times New Roman"/>
          <w:color w:val="74706E"/>
          <w:sz w:val="13"/>
        </w:rPr>
        <w:t>Al.M</w:t>
      </w:r>
      <w:r>
        <w:rPr>
          <w:rFonts w:ascii="Times New Roman" w:hAnsi="Times New Roman"/>
          <w:color w:val="74706E"/>
          <w:spacing w:val="-39"/>
          <w:sz w:val="13"/>
        </w:rPr>
        <w:t>f</w:t>
      </w:r>
      <w:r>
        <w:rPr>
          <w:rFonts w:ascii="Times New Roman" w:hAnsi="Times New Roman"/>
          <w:color w:val="74706E"/>
          <w:sz w:val="13"/>
        </w:rPr>
        <w:t>rtor-Gene</w:t>
      </w:r>
      <w:r>
        <w:rPr>
          <w:rFonts w:ascii="Times New Roman" w:hAnsi="Times New Roman"/>
          <w:color w:val="74706E"/>
          <w:spacing w:val="3"/>
          <w:sz w:val="13"/>
        </w:rPr>
        <w:t> </w:t>
      </w:r>
      <w:r>
        <w:rPr>
          <w:rFonts w:ascii="Times New Roman" w:hAnsi="Times New Roman"/>
          <w:color w:val="74706E"/>
          <w:sz w:val="15"/>
        </w:rPr>
        <w:t>aond</w:t>
      </w:r>
      <w:r>
        <w:rPr>
          <w:rFonts w:ascii="Times New Roman" w:hAnsi="Times New Roman"/>
          <w:color w:val="74706E"/>
          <w:spacing w:val="-7"/>
          <w:sz w:val="15"/>
        </w:rPr>
        <w:t> </w:t>
      </w:r>
      <w:r>
        <w:rPr>
          <w:rFonts w:ascii="Times New Roman" w:hAnsi="Times New Roman"/>
          <w:color w:val="74706E"/>
          <w:sz w:val="13"/>
        </w:rPr>
        <w:t>his</w:t>
      </w:r>
      <w:r>
        <w:rPr>
          <w:rFonts w:ascii="Times New Roman" w:hAnsi="Times New Roman"/>
          <w:color w:val="74706E"/>
          <w:spacing w:val="-8"/>
          <w:sz w:val="13"/>
        </w:rPr>
        <w:t> </w:t>
      </w:r>
      <w:r>
        <w:rPr>
          <w:rFonts w:ascii="Times New Roman" w:hAnsi="Times New Roman"/>
          <w:color w:val="74706E"/>
          <w:sz w:val="15"/>
        </w:rPr>
        <w:t>d</w:t>
      </w:r>
      <w:r>
        <w:rPr>
          <w:rFonts w:ascii="Times New Roman" w:hAnsi="Times New Roman"/>
          <w:color w:val="74706E"/>
          <w:spacing w:val="-8"/>
          <w:sz w:val="15"/>
        </w:rPr>
        <w:t>c</w:t>
      </w:r>
      <w:r>
        <w:rPr>
          <w:rFonts w:ascii="Times New Roman" w:hAnsi="Times New Roman"/>
          <w:color w:val="4D4B4B"/>
          <w:spacing w:val="-8"/>
          <w:sz w:val="15"/>
        </w:rPr>
        <w:t>l</w:t>
      </w:r>
      <w:r>
        <w:rPr>
          <w:rFonts w:ascii="Times New Roman" w:hAnsi="Times New Roman"/>
          <w:color w:val="74706E"/>
          <w:sz w:val="15"/>
        </w:rPr>
        <w:t>c-.ptn.</w:t>
      </w:r>
      <w:r>
        <w:rPr>
          <w:rFonts w:ascii="Times New Roman" w:hAnsi="Times New Roman"/>
          <w:color w:val="74706E"/>
          <w:w w:val="103"/>
          <w:sz w:val="15"/>
        </w:rPr>
        <w:t> </w:t>
      </w:r>
      <w:r>
        <w:rPr>
          <w:rFonts w:ascii="Times New Roman" w:hAnsi="Times New Roman"/>
          <w:color w:val="74706E"/>
          <w:sz w:val="14"/>
        </w:rPr>
        <w:t>These</w:t>
      </w:r>
      <w:r>
        <w:rPr>
          <w:rFonts w:ascii="Times New Roman" w:hAnsi="Times New Roman"/>
          <w:color w:val="74706E"/>
          <w:spacing w:val="12"/>
          <w:sz w:val="14"/>
        </w:rPr>
        <w:t> </w:t>
      </w:r>
      <w:r>
        <w:rPr>
          <w:rFonts w:ascii="Times New Roman" w:hAnsi="Times New Roman"/>
          <w:color w:val="878282"/>
          <w:spacing w:val="-2"/>
          <w:sz w:val="13"/>
        </w:rPr>
        <w:t>Inc</w:t>
      </w:r>
      <w:r>
        <w:rPr>
          <w:rFonts w:ascii="Times New Roman" w:hAnsi="Times New Roman"/>
          <w:color w:val="5D5B59"/>
          <w:spacing w:val="-1"/>
          <w:sz w:val="13"/>
        </w:rPr>
        <w:t>lude</w:t>
      </w:r>
      <w:r>
        <w:rPr>
          <w:rFonts w:ascii="Times New Roman" w:hAnsi="Times New Roman"/>
          <w:color w:val="5D5B59"/>
          <w:spacing w:val="-4"/>
          <w:sz w:val="13"/>
        </w:rPr>
        <w:t> </w:t>
      </w:r>
      <w:r>
        <w:rPr>
          <w:rFonts w:ascii="Times New Roman" w:hAnsi="Times New Roman"/>
          <w:color w:val="74706E"/>
          <w:sz w:val="14"/>
        </w:rPr>
        <w:t>the</w:t>
      </w:r>
      <w:r>
        <w:rPr>
          <w:rFonts w:ascii="Times New Roman" w:hAnsi="Times New Roman"/>
          <w:color w:val="74706E"/>
          <w:spacing w:val="10"/>
          <w:sz w:val="14"/>
        </w:rPr>
        <w:t> </w:t>
      </w:r>
      <w:r>
        <w:rPr>
          <w:rFonts w:ascii="Times New Roman" w:hAnsi="Times New Roman"/>
          <w:color w:val="74706E"/>
          <w:sz w:val="13"/>
        </w:rPr>
        <w:t>reoleYant</w:t>
      </w:r>
      <w:r>
        <w:rPr>
          <w:rFonts w:ascii="Times New Roman" w:hAnsi="Times New Roman"/>
          <w:color w:val="74706E"/>
          <w:spacing w:val="12"/>
          <w:sz w:val="13"/>
        </w:rPr>
        <w:t> </w:t>
      </w:r>
      <w:r>
        <w:rPr>
          <w:rFonts w:ascii="Times New Roman" w:hAnsi="Times New Roman"/>
          <w:color w:val="74706E"/>
          <w:sz w:val="14"/>
        </w:rPr>
        <w:t>Independence</w:t>
      </w:r>
      <w:r>
        <w:rPr>
          <w:rFonts w:ascii="Times New Roman" w:hAnsi="Times New Roman"/>
          <w:color w:val="74706E"/>
          <w:spacing w:val="23"/>
          <w:sz w:val="14"/>
        </w:rPr>
        <w:t> </w:t>
      </w:r>
      <w:r>
        <w:rPr>
          <w:rFonts w:ascii="Times New Roman" w:hAnsi="Times New Roman"/>
          <w:color w:val="5D5B59"/>
          <w:sz w:val="13"/>
        </w:rPr>
        <w:t>rf'Q\l</w:t>
      </w:r>
      <w:r>
        <w:rPr>
          <w:rFonts w:ascii="Times New Roman" w:hAnsi="Times New Roman"/>
          <w:color w:val="878282"/>
          <w:sz w:val="13"/>
        </w:rPr>
        <w:t>tremenu</w:t>
      </w:r>
      <w:r>
        <w:rPr>
          <w:rFonts w:ascii="Times New Roman" w:hAnsi="Times New Roman"/>
          <w:color w:val="878282"/>
          <w:spacing w:val="6"/>
          <w:sz w:val="13"/>
        </w:rPr>
        <w:t> </w:t>
      </w:r>
      <w:r>
        <w:rPr>
          <w:rFonts w:ascii="Times New Roman" w:hAnsi="Times New Roman"/>
          <w:color w:val="74706E"/>
          <w:sz w:val="14"/>
        </w:rPr>
        <w:t>of</w:t>
      </w:r>
      <w:r>
        <w:rPr>
          <w:rFonts w:ascii="Times New Roman" w:hAnsi="Times New Roman"/>
          <w:color w:val="74706E"/>
          <w:spacing w:val="27"/>
          <w:sz w:val="14"/>
        </w:rPr>
        <w:t> </w:t>
      </w:r>
      <w:r>
        <w:rPr>
          <w:rFonts w:ascii="Times New Roman" w:hAnsi="Times New Roman"/>
          <w:color w:val="74706E"/>
          <w:sz w:val="14"/>
        </w:rPr>
        <w:t>the</w:t>
      </w:r>
      <w:r>
        <w:rPr>
          <w:rFonts w:ascii="Times New Roman" w:hAnsi="Times New Roman"/>
          <w:color w:val="74706E"/>
          <w:spacing w:val="12"/>
          <w:sz w:val="14"/>
        </w:rPr>
        <w:t> </w:t>
      </w:r>
      <w:r>
        <w:rPr>
          <w:rFonts w:ascii="Times New Roman" w:hAnsi="Times New Roman"/>
          <w:color w:val="74706E"/>
          <w:sz w:val="13"/>
        </w:rPr>
        <w:t>Accounttng</w:t>
      </w:r>
      <w:r>
        <w:rPr>
          <w:rFonts w:ascii="Times New Roman" w:hAnsi="Times New Roman"/>
          <w:color w:val="74706E"/>
          <w:spacing w:val="7"/>
          <w:sz w:val="13"/>
        </w:rPr>
        <w:t> </w:t>
      </w:r>
      <w:r>
        <w:rPr>
          <w:rFonts w:ascii="Times New Roman" w:hAnsi="Times New Roman"/>
          <w:color w:val="74706E"/>
          <w:sz w:val="13"/>
        </w:rPr>
        <w:t>Prolesslonal</w:t>
      </w:r>
      <w:r>
        <w:rPr>
          <w:rFonts w:ascii="Times New Roman" w:hAnsi="Times New Roman"/>
          <w:color w:val="74706E"/>
          <w:spacing w:val="12"/>
          <w:sz w:val="13"/>
        </w:rPr>
        <w:t> </w:t>
      </w:r>
      <w:r>
        <w:rPr>
          <w:rFonts w:ascii="Times New Roman" w:hAnsi="Times New Roman"/>
          <w:color w:val="74706E"/>
          <w:sz w:val="13"/>
        </w:rPr>
        <w:t>and</w:t>
      </w:r>
      <w:r>
        <w:rPr>
          <w:rFonts w:ascii="Times New Roman" w:hAnsi="Times New Roman"/>
          <w:color w:val="74706E"/>
          <w:spacing w:val="14"/>
          <w:sz w:val="13"/>
        </w:rPr>
        <w:t> </w:t>
      </w:r>
      <w:r>
        <w:rPr>
          <w:rFonts w:ascii="Times New Roman" w:hAnsi="Times New Roman"/>
          <w:color w:val="74706E"/>
          <w:sz w:val="13"/>
        </w:rPr>
        <w:t>Ethkal</w:t>
      </w:r>
      <w:r>
        <w:rPr>
          <w:rFonts w:ascii="Times New Roman" w:hAnsi="Times New Roman"/>
          <w:color w:val="74706E"/>
          <w:spacing w:val="2"/>
          <w:sz w:val="13"/>
        </w:rPr>
        <w:t> </w:t>
      </w:r>
      <w:r>
        <w:rPr>
          <w:rFonts w:ascii="Times New Roman" w:hAnsi="Times New Roman"/>
          <w:color w:val="74706E"/>
          <w:sz w:val="13"/>
        </w:rPr>
        <w:t>Standards</w:t>
      </w:r>
      <w:r>
        <w:rPr>
          <w:rFonts w:ascii="Times New Roman" w:hAnsi="Times New Roman"/>
          <w:color w:val="74706E"/>
          <w:spacing w:val="24"/>
          <w:w w:val="109"/>
          <w:sz w:val="13"/>
        </w:rPr>
        <w:t> </w:t>
      </w:r>
      <w:r>
        <w:rPr>
          <w:rFonts w:ascii="Arial" w:hAnsi="Arial"/>
          <w:color w:val="74706E"/>
          <w:sz w:val="12"/>
        </w:rPr>
        <w:t>Board'</w:t>
      </w:r>
      <w:r>
        <w:rPr>
          <w:rFonts w:ascii="Arial" w:hAnsi="Arial"/>
          <w:color w:val="74706E"/>
          <w:spacing w:val="7"/>
          <w:sz w:val="12"/>
        </w:rPr>
        <w:t>s</w:t>
      </w:r>
      <w:r>
        <w:rPr>
          <w:rFonts w:ascii="Times New Roman" w:hAnsi="Times New Roman"/>
          <w:color w:val="74706E"/>
          <w:sz w:val="14"/>
        </w:rPr>
        <w:t>APES</w:t>
      </w:r>
      <w:r>
        <w:rPr>
          <w:rFonts w:ascii="Times New Roman" w:hAnsi="Times New Roman"/>
          <w:color w:val="74706E"/>
          <w:spacing w:val="1"/>
          <w:sz w:val="14"/>
        </w:rPr>
        <w:t> </w:t>
      </w:r>
      <w:r>
        <w:rPr>
          <w:rFonts w:ascii="Times New Roman" w:hAnsi="Times New Roman"/>
          <w:color w:val="74706E"/>
          <w:spacing w:val="-24"/>
          <w:sz w:val="14"/>
        </w:rPr>
        <w:t>1</w:t>
      </w:r>
      <w:r>
        <w:rPr>
          <w:rFonts w:ascii="Times New Roman" w:hAnsi="Times New Roman"/>
          <w:color w:val="74706E"/>
          <w:spacing w:val="-33"/>
          <w:sz w:val="14"/>
        </w:rPr>
        <w:t>1</w:t>
      </w:r>
      <w:r>
        <w:rPr>
          <w:rFonts w:ascii="Times New Roman" w:hAnsi="Times New Roman"/>
          <w:color w:val="74706E"/>
          <w:spacing w:val="2"/>
          <w:sz w:val="14"/>
        </w:rPr>
        <w:t>0</w:t>
      </w:r>
      <w:r>
        <w:rPr>
          <w:rFonts w:ascii="Times New Roman" w:hAnsi="Times New Roman"/>
          <w:i/>
          <w:color w:val="74706E"/>
          <w:sz w:val="14"/>
        </w:rPr>
        <w:t>Co</w:t>
      </w:r>
      <w:r>
        <w:rPr>
          <w:rFonts w:ascii="Times New Roman" w:hAnsi="Times New Roman"/>
          <w:i/>
          <w:color w:val="74706E"/>
          <w:spacing w:val="-9"/>
          <w:sz w:val="14"/>
        </w:rPr>
        <w:t>«</w:t>
      </w:r>
      <w:r>
        <w:rPr>
          <w:rFonts w:ascii="Arial" w:hAnsi="Arial"/>
          <w:i/>
          <w:color w:val="74706E"/>
          <w:sz w:val="17"/>
        </w:rPr>
        <w:t>l&gt;f</w:t>
      </w:r>
      <w:r>
        <w:rPr>
          <w:rFonts w:ascii="Arial" w:hAnsi="Arial"/>
          <w:i/>
          <w:color w:val="74706E"/>
          <w:spacing w:val="-28"/>
          <w:sz w:val="17"/>
        </w:rPr>
        <w:t> </w:t>
      </w:r>
      <w:r>
        <w:rPr>
          <w:rFonts w:ascii="Times New Roman" w:hAnsi="Times New Roman"/>
          <w:i/>
          <w:color w:val="74706E"/>
          <w:sz w:val="14"/>
        </w:rPr>
        <w:t>Cthk</w:t>
      </w:r>
      <w:r>
        <w:rPr>
          <w:rFonts w:ascii="Times New Roman" w:hAnsi="Times New Roman"/>
          <w:i/>
          <w:color w:val="74706E"/>
          <w:spacing w:val="5"/>
          <w:sz w:val="14"/>
        </w:rPr>
        <w:t>s</w:t>
      </w:r>
      <w:r>
        <w:rPr>
          <w:rFonts w:ascii="Arial" w:hAnsi="Arial"/>
          <w:i/>
          <w:color w:val="74706E"/>
          <w:sz w:val="17"/>
        </w:rPr>
        <w:t>/of"</w:t>
      </w:r>
      <w:r>
        <w:rPr>
          <w:rFonts w:ascii="Arial" w:hAnsi="Arial"/>
          <w:i/>
          <w:color w:val="74706E"/>
          <w:spacing w:val="-5"/>
          <w:sz w:val="17"/>
        </w:rPr>
        <w:t> </w:t>
      </w:r>
      <w:r>
        <w:rPr>
          <w:rFonts w:ascii="Times New Roman" w:hAnsi="Times New Roman"/>
          <w:i/>
          <w:color w:val="74706E"/>
          <w:sz w:val="14"/>
        </w:rPr>
        <w:t>Prof</w:t>
      </w:r>
      <w:r>
        <w:rPr>
          <w:rFonts w:ascii="Times New Roman" w:hAnsi="Times New Roman"/>
          <w:i/>
          <w:color w:val="74706E"/>
          <w:spacing w:val="-9"/>
          <w:sz w:val="14"/>
        </w:rPr>
        <w:t>m</w:t>
      </w:r>
      <w:r>
        <w:rPr>
          <w:rFonts w:ascii="Times New Roman" w:hAnsi="Times New Roman"/>
          <w:i/>
          <w:color w:val="74706E"/>
          <w:sz w:val="14"/>
        </w:rPr>
        <w:t>lono</w:t>
      </w:r>
      <w:r>
        <w:rPr>
          <w:rFonts w:ascii="Times New Roman" w:hAnsi="Times New Roman"/>
          <w:i/>
          <w:color w:val="74706E"/>
          <w:spacing w:val="3"/>
          <w:sz w:val="14"/>
        </w:rPr>
        <w:t>l</w:t>
      </w:r>
      <w:r>
        <w:rPr>
          <w:rFonts w:ascii="Arial" w:hAnsi="Arial"/>
          <w:color w:val="74706E"/>
          <w:sz w:val="12"/>
        </w:rPr>
        <w:t>AW&gt;UfltontJ</w:t>
      </w:r>
      <w:r>
        <w:rPr>
          <w:rFonts w:ascii="Arial" w:hAnsi="Arial"/>
          <w:color w:val="74706E"/>
          <w:spacing w:val="-13"/>
          <w:sz w:val="12"/>
        </w:rPr>
        <w:t> </w:t>
      </w:r>
      <w:r>
        <w:rPr>
          <w:rFonts w:ascii="Times New Roman" w:hAnsi="Times New Roman"/>
          <w:color w:val="74706E"/>
          <w:sz w:val="14"/>
        </w:rPr>
        <w:t>(tl\t</w:t>
      </w:r>
      <w:r>
        <w:rPr>
          <w:rFonts w:ascii="Times New Roman" w:hAnsi="Times New Roman"/>
          <w:color w:val="74706E"/>
          <w:spacing w:val="-19"/>
          <w:sz w:val="14"/>
        </w:rPr>
        <w:t> </w:t>
      </w:r>
      <w:r>
        <w:rPr>
          <w:rFonts w:ascii="Arial" w:hAnsi="Arial"/>
          <w:color w:val="74706E"/>
          <w:spacing w:val="-25"/>
          <w:w w:val="105"/>
          <w:sz w:val="12"/>
        </w:rPr>
        <w:t>C</w:t>
      </w:r>
      <w:r>
        <w:rPr>
          <w:rFonts w:ascii="Arial" w:hAnsi="Arial"/>
          <w:color w:val="74706E"/>
          <w:w w:val="105"/>
          <w:sz w:val="12"/>
        </w:rPr>
        <w:t>ocl</w:t>
      </w:r>
      <w:r>
        <w:rPr>
          <w:rFonts w:ascii="Arial" w:hAnsi="Arial"/>
          <w:color w:val="74706E"/>
          <w:spacing w:val="-16"/>
          <w:w w:val="105"/>
          <w:sz w:val="12"/>
        </w:rPr>
        <w:t>t</w:t>
      </w:r>
      <w:r>
        <w:rPr>
          <w:rFonts w:ascii="Arial" w:hAnsi="Arial"/>
          <w:color w:val="74706E"/>
          <w:w w:val="105"/>
          <w:sz w:val="12"/>
        </w:rPr>
        <w:t>)</w:t>
      </w:r>
      <w:r>
        <w:rPr>
          <w:rFonts w:ascii="Arial" w:hAnsi="Arial"/>
          <w:color w:val="74706E"/>
          <w:spacing w:val="-20"/>
          <w:w w:val="105"/>
          <w:sz w:val="12"/>
        </w:rPr>
        <w:t> </w:t>
      </w:r>
      <w:r>
        <w:rPr>
          <w:rFonts w:ascii="Times New Roman" w:hAnsi="Times New Roman"/>
          <w:color w:val="5D5B59"/>
          <w:sz w:val="14"/>
        </w:rPr>
        <w:t>t</w:t>
      </w:r>
      <w:r>
        <w:rPr>
          <w:rFonts w:ascii="Times New Roman" w:hAnsi="Times New Roman"/>
          <w:color w:val="5D5B59"/>
          <w:spacing w:val="7"/>
          <w:sz w:val="14"/>
        </w:rPr>
        <w:t>o</w:t>
      </w:r>
      <w:r>
        <w:rPr>
          <w:rFonts w:ascii="Arial" w:hAnsi="Arial"/>
          <w:color w:val="5D5B59"/>
          <w:sz w:val="14"/>
        </w:rPr>
        <w:t>tlw</w:t>
      </w:r>
      <w:r>
        <w:rPr>
          <w:rFonts w:ascii="Arial" w:hAnsi="Arial"/>
          <w:color w:val="5D5B59"/>
          <w:spacing w:val="-1"/>
          <w:sz w:val="14"/>
        </w:rPr>
        <w:t> </w:t>
      </w:r>
      <w:r>
        <w:rPr>
          <w:rFonts w:ascii="Times New Roman" w:hAnsi="Times New Roman"/>
          <w:color w:val="878282"/>
          <w:sz w:val="14"/>
        </w:rPr>
        <w:t>txte</w:t>
      </w:r>
      <w:r>
        <w:rPr>
          <w:rFonts w:ascii="Times New Roman" w:hAnsi="Times New Roman"/>
          <w:color w:val="878282"/>
          <w:spacing w:val="2"/>
          <w:sz w:val="14"/>
        </w:rPr>
        <w:t>n</w:t>
      </w:r>
      <w:r>
        <w:rPr>
          <w:rFonts w:ascii="Times New Roman" w:hAnsi="Times New Roman"/>
          <w:color w:val="5D5B59"/>
          <w:sz w:val="14"/>
        </w:rPr>
        <w:t>t</w:t>
      </w:r>
      <w:r>
        <w:rPr>
          <w:rFonts w:ascii="Times New Roman" w:hAnsi="Times New Roman"/>
          <w:color w:val="5D5B59"/>
          <w:spacing w:val="2"/>
          <w:sz w:val="14"/>
        </w:rPr>
        <w:t> </w:t>
      </w:r>
      <w:r>
        <w:rPr>
          <w:rFonts w:ascii="Times New Roman" w:hAnsi="Times New Roman"/>
          <w:color w:val="5D5B59"/>
          <w:sz w:val="14"/>
        </w:rPr>
        <w:t>tl\</w:t>
      </w:r>
      <w:r>
        <w:rPr>
          <w:rFonts w:ascii="Times New Roman" w:hAnsi="Times New Roman"/>
          <w:color w:val="5D5B59"/>
          <w:spacing w:val="13"/>
          <w:sz w:val="14"/>
        </w:rPr>
        <w:t>H</w:t>
      </w:r>
      <w:r>
        <w:rPr>
          <w:rFonts w:ascii="Times New Roman" w:hAnsi="Times New Roman"/>
          <w:color w:val="74706E"/>
          <w:sz w:val="14"/>
        </w:rPr>
        <w:t>they</w:t>
      </w:r>
      <w:r>
        <w:rPr>
          <w:rFonts w:ascii="Times New Roman" w:hAnsi="Times New Roman"/>
          <w:color w:val="74706E"/>
          <w:spacing w:val="5"/>
          <w:sz w:val="14"/>
        </w:rPr>
        <w:t> </w:t>
      </w:r>
      <w:r>
        <w:rPr>
          <w:rFonts w:ascii="Times New Roman" w:hAnsi="Times New Roman"/>
          <w:color w:val="74706E"/>
          <w:sz w:val="14"/>
        </w:rPr>
        <w:t>ar</w:t>
      </w:r>
      <w:r>
        <w:rPr>
          <w:rFonts w:ascii="Times New Roman" w:hAnsi="Times New Roman"/>
          <w:color w:val="74706E"/>
          <w:spacing w:val="7"/>
          <w:sz w:val="14"/>
        </w:rPr>
        <w:t>e</w:t>
      </w:r>
      <w:r>
        <w:rPr>
          <w:rFonts w:ascii="Times New Roman" w:hAnsi="Times New Roman"/>
          <w:color w:val="74706E"/>
          <w:sz w:val="14"/>
        </w:rPr>
        <w:t>not</w:t>
      </w:r>
      <w:r>
        <w:rPr>
          <w:rFonts w:ascii="Times New Roman" w:hAnsi="Times New Roman"/>
          <w:color w:val="74706E"/>
          <w:spacing w:val="-13"/>
          <w:sz w:val="14"/>
        </w:rPr>
        <w:t> </w:t>
      </w:r>
      <w:r>
        <w:rPr>
          <w:rFonts w:ascii="Times New Roman" w:hAnsi="Times New Roman"/>
          <w:color w:val="5D5B59"/>
          <w:sz w:val="14"/>
        </w:rPr>
        <w:t>i</w:t>
      </w:r>
      <w:r>
        <w:rPr>
          <w:rFonts w:ascii="Times New Roman" w:hAnsi="Times New Roman"/>
          <w:color w:val="5D5B59"/>
          <w:spacing w:val="11"/>
          <w:sz w:val="14"/>
        </w:rPr>
        <w:t>n</w:t>
      </w:r>
      <w:r>
        <w:rPr>
          <w:rFonts w:ascii="Arial" w:hAnsi="Arial"/>
          <w:color w:val="74706E"/>
          <w:sz w:val="14"/>
        </w:rPr>
        <w:t>conflict</w:t>
      </w:r>
      <w:r>
        <w:rPr>
          <w:rFonts w:ascii="Arial" w:hAnsi="Arial"/>
          <w:color w:val="74706E"/>
          <w:w w:val="94"/>
          <w:sz w:val="14"/>
        </w:rPr>
        <w:t> </w:t>
      </w:r>
      <w:r>
        <w:rPr>
          <w:rFonts w:ascii="Times New Roman" w:hAnsi="Times New Roman"/>
          <w:color w:val="878282"/>
          <w:sz w:val="15"/>
        </w:rPr>
        <w:t>with          </w:t>
      </w:r>
      <w:r>
        <w:rPr>
          <w:rFonts w:ascii="Times New Roman" w:hAnsi="Times New Roman"/>
          <w:color w:val="878282"/>
          <w:spacing w:val="30"/>
          <w:sz w:val="15"/>
        </w:rPr>
        <w:t> </w:t>
      </w:r>
      <w:r>
        <w:rPr>
          <w:rFonts w:ascii="Arial" w:hAnsi="Arial"/>
          <w:color w:val="74706E"/>
          <w:sz w:val="12"/>
        </w:rPr>
        <w:t>Aud</w:t>
      </w:r>
      <w:r>
        <w:rPr>
          <w:rFonts w:ascii="Arial" w:hAnsi="Arial"/>
          <w:color w:val="74706E"/>
          <w:spacing w:val="-19"/>
          <w:sz w:val="12"/>
        </w:rPr>
        <w:t>i</w:t>
      </w:r>
      <w:r>
        <w:rPr>
          <w:rFonts w:ascii="Arial" w:hAnsi="Arial"/>
          <w:color w:val="74706E"/>
          <w:spacing w:val="-11"/>
          <w:sz w:val="12"/>
        </w:rPr>
        <w:t>t</w:t>
      </w:r>
      <w:r>
        <w:rPr>
          <w:rFonts w:ascii="Arial" w:hAnsi="Arial"/>
          <w:color w:val="74706E"/>
          <w:sz w:val="12"/>
        </w:rPr>
        <w:t>Of-&lt;</w:t>
      </w:r>
      <w:r>
        <w:rPr>
          <w:rFonts w:ascii="Arial" w:hAnsi="Arial"/>
          <w:color w:val="74706E"/>
          <w:spacing w:val="-26"/>
          <w:sz w:val="12"/>
        </w:rPr>
        <w:t>;</w:t>
      </w:r>
      <w:r>
        <w:rPr>
          <w:rFonts w:ascii="Arial" w:hAnsi="Arial"/>
          <w:color w:val="74706E"/>
          <w:sz w:val="12"/>
        </w:rPr>
        <w:t>eM.ror Act</w:t>
      </w:r>
      <w:r>
        <w:rPr>
          <w:rFonts w:ascii="Arial" w:hAnsi="Arial"/>
          <w:color w:val="74706E"/>
          <w:spacing w:val="25"/>
          <w:sz w:val="12"/>
        </w:rPr>
        <w:t> </w:t>
      </w:r>
      <w:r>
        <w:rPr>
          <w:rFonts w:ascii="Arial" w:hAnsi="Arial"/>
          <w:i/>
          <w:color w:val="74706E"/>
          <w:spacing w:val="-36"/>
          <w:w w:val="135"/>
          <w:sz w:val="12"/>
        </w:rPr>
        <w:t>1</w:t>
      </w:r>
      <w:r>
        <w:rPr>
          <w:rFonts w:ascii="Arial" w:hAnsi="Arial"/>
          <w:i/>
          <w:color w:val="74706E"/>
          <w:w w:val="135"/>
          <w:sz w:val="12"/>
        </w:rPr>
        <w:t>99</w:t>
      </w:r>
      <w:r>
        <w:rPr>
          <w:rFonts w:ascii="Arial" w:hAnsi="Arial"/>
          <w:i/>
          <w:color w:val="74706E"/>
          <w:spacing w:val="-36"/>
          <w:w w:val="135"/>
          <w:sz w:val="12"/>
        </w:rPr>
        <w:t>1</w:t>
      </w:r>
      <w:r>
        <w:rPr>
          <w:rFonts w:ascii="Arial" w:hAnsi="Arial"/>
          <w:i/>
          <w:color w:val="74706E"/>
          <w:spacing w:val="-6"/>
          <w:w w:val="135"/>
          <w:sz w:val="12"/>
        </w:rPr>
        <w:t>.</w:t>
      </w:r>
      <w:r>
        <w:rPr>
          <w:rFonts w:ascii="Arial" w:hAnsi="Arial"/>
          <w:color w:val="5D5B59"/>
          <w:spacing w:val="-4"/>
          <w:w w:val="135"/>
          <w:sz w:val="12"/>
        </w:rPr>
        <w:t>1</w:t>
      </w:r>
      <w:r>
        <w:rPr>
          <w:rFonts w:ascii="Arial" w:hAnsi="Arial"/>
          <w:color w:val="74706E"/>
          <w:spacing w:val="-3"/>
          <w:w w:val="135"/>
          <w:sz w:val="12"/>
        </w:rPr>
        <w:t>h</w:t>
      </w:r>
      <w:r>
        <w:rPr>
          <w:rFonts w:ascii="Arial" w:hAnsi="Arial"/>
          <w:color w:val="74706E"/>
          <w:w w:val="135"/>
          <w:sz w:val="12"/>
        </w:rPr>
        <w:t>also</w:t>
      </w:r>
      <w:r>
        <w:rPr>
          <w:rFonts w:ascii="Arial" w:hAnsi="Arial"/>
          <w:color w:val="74706E"/>
          <w:spacing w:val="1"/>
          <w:w w:val="135"/>
          <w:sz w:val="12"/>
        </w:rPr>
        <w:t> </w:t>
      </w:r>
      <w:r>
        <w:rPr>
          <w:rFonts w:ascii="Arial" w:hAnsi="Arial"/>
          <w:color w:val="74706E"/>
          <w:w w:val="105"/>
          <w:sz w:val="12"/>
        </w:rPr>
        <w:t>f</w:t>
      </w:r>
      <w:r>
        <w:rPr>
          <w:rFonts w:ascii="Arial" w:hAnsi="Arial"/>
          <w:color w:val="74706E"/>
          <w:spacing w:val="-48"/>
          <w:w w:val="105"/>
          <w:sz w:val="12"/>
        </w:rPr>
        <w:t>u</w:t>
      </w:r>
      <w:r>
        <w:rPr>
          <w:rFonts w:ascii="Arial" w:hAnsi="Arial"/>
          <w:color w:val="74706E"/>
          <w:spacing w:val="-76"/>
          <w:w w:val="105"/>
          <w:sz w:val="12"/>
        </w:rPr>
        <w:t>l</w:t>
      </w:r>
      <w:r>
        <w:rPr>
          <w:rFonts w:ascii="Arial" w:hAnsi="Arial"/>
          <w:color w:val="74706E"/>
          <w:w w:val="105"/>
          <w:sz w:val="12"/>
        </w:rPr>
        <w:t>filled</w:t>
      </w:r>
      <w:r>
        <w:rPr>
          <w:rFonts w:ascii="Arial" w:hAnsi="Arial"/>
          <w:color w:val="74706E"/>
          <w:spacing w:val="4"/>
          <w:w w:val="105"/>
          <w:sz w:val="12"/>
        </w:rPr>
        <w:t> </w:t>
      </w:r>
      <w:r>
        <w:rPr>
          <w:rFonts w:ascii="Arial" w:hAnsi="Arial"/>
          <w:color w:val="74706E"/>
          <w:sz w:val="12"/>
        </w:rPr>
        <w:t>mvoctier</w:t>
      </w:r>
      <w:r>
        <w:rPr>
          <w:rFonts w:ascii="Arial" w:hAnsi="Arial"/>
          <w:color w:val="74706E"/>
          <w:spacing w:val="-6"/>
          <w:sz w:val="12"/>
        </w:rPr>
        <w:t> </w:t>
      </w:r>
      <w:r>
        <w:rPr>
          <w:rFonts w:ascii="Arial" w:hAnsi="Arial"/>
          <w:color w:val="74706E"/>
          <w:sz w:val="12"/>
        </w:rPr>
        <w:t>responslbl5tlH</w:t>
      </w:r>
      <w:r>
        <w:rPr>
          <w:rFonts w:ascii="Arial" w:hAnsi="Arial"/>
          <w:color w:val="74706E"/>
          <w:spacing w:val="5"/>
          <w:sz w:val="12"/>
        </w:rPr>
        <w:t> </w:t>
      </w:r>
      <w:r>
        <w:rPr>
          <w:rFonts w:ascii="Arial" w:hAnsi="Arial"/>
          <w:color w:val="74706E"/>
          <w:sz w:val="14"/>
        </w:rPr>
        <w:t>I</w:t>
      </w:r>
      <w:r>
        <w:rPr>
          <w:rFonts w:ascii="Arial" w:hAnsi="Arial"/>
          <w:color w:val="74706E"/>
          <w:spacing w:val="-10"/>
          <w:sz w:val="14"/>
        </w:rPr>
        <w:t>n</w:t>
      </w:r>
      <w:r>
        <w:rPr>
          <w:rFonts w:ascii="Arial" w:hAnsi="Arial"/>
          <w:color w:val="878282"/>
          <w:sz w:val="12"/>
        </w:rPr>
        <w:t>accordance</w:t>
      </w:r>
      <w:r>
        <w:rPr>
          <w:rFonts w:ascii="Arial" w:hAnsi="Arial"/>
          <w:color w:val="878282"/>
          <w:spacing w:val="22"/>
          <w:sz w:val="12"/>
        </w:rPr>
        <w:t> </w:t>
      </w:r>
      <w:r>
        <w:rPr>
          <w:rFonts w:ascii="Arial" w:hAnsi="Arial"/>
          <w:color w:val="74706E"/>
          <w:sz w:val="12"/>
        </w:rPr>
        <w:t>wfth</w:t>
      </w:r>
      <w:r>
        <w:rPr>
          <w:rFonts w:ascii="Arial" w:hAnsi="Arial"/>
          <w:color w:val="74706E"/>
          <w:spacing w:val="10"/>
          <w:sz w:val="12"/>
        </w:rPr>
        <w:t> </w:t>
      </w:r>
      <w:r>
        <w:rPr>
          <w:rFonts w:ascii="Times New Roman" w:hAnsi="Times New Roman"/>
          <w:color w:val="74706E"/>
          <w:sz w:val="16"/>
        </w:rPr>
        <w:t>tt.</w:t>
      </w:r>
      <w:r>
        <w:rPr>
          <w:rFonts w:ascii="Times New Roman" w:hAnsi="Times New Roman"/>
          <w:color w:val="74706E"/>
          <w:spacing w:val="12"/>
          <w:sz w:val="16"/>
        </w:rPr>
        <w:t>e</w:t>
      </w:r>
      <w:r>
        <w:rPr>
          <w:rFonts w:ascii="Arial" w:hAnsi="Arial"/>
          <w:color w:val="74706E"/>
          <w:spacing w:val="-24"/>
          <w:sz w:val="12"/>
        </w:rPr>
        <w:t>C</w:t>
      </w:r>
      <w:r>
        <w:rPr>
          <w:rFonts w:ascii="Arial" w:hAnsi="Arial"/>
          <w:color w:val="74706E"/>
          <w:sz w:val="12"/>
        </w:rPr>
        <w:t>ode.</w:t>
      </w:r>
      <w:r>
        <w:rPr>
          <w:rFonts w:ascii="Arial" w:hAnsi="Arial"/>
          <w:sz w:val="12"/>
        </w:rPr>
      </w:r>
    </w:p>
    <w:p>
      <w:pPr>
        <w:spacing w:line="137" w:lineRule="exact" w:before="73"/>
        <w:ind w:left="1054" w:right="0" w:firstLine="0"/>
        <w:jc w:val="both"/>
        <w:rPr>
          <w:rFonts w:ascii="Times New Roman" w:hAnsi="Times New Roman" w:cs="Times New Roman" w:eastAsia="Times New Roman"/>
          <w:sz w:val="14"/>
          <w:szCs w:val="14"/>
        </w:rPr>
      </w:pPr>
      <w:r>
        <w:rPr>
          <w:rFonts w:ascii="Times New Roman" w:hAnsi="Times New Roman" w:cs="Times New Roman" w:eastAsia="Times New Roman"/>
          <w:color w:val="5D5B59"/>
          <w:w w:val="105"/>
          <w:sz w:val="13"/>
          <w:szCs w:val="13"/>
        </w:rPr>
        <w:t>I</w:t>
      </w:r>
      <w:r>
        <w:rPr>
          <w:rFonts w:ascii="Times New Roman" w:hAnsi="Times New Roman" w:cs="Times New Roman" w:eastAsia="Times New Roman"/>
          <w:color w:val="5D5B59"/>
          <w:spacing w:val="-6"/>
          <w:w w:val="105"/>
          <w:sz w:val="13"/>
          <w:szCs w:val="13"/>
        </w:rPr>
        <w:t> </w:t>
      </w:r>
      <w:r>
        <w:rPr>
          <w:rFonts w:ascii="Arial" w:hAnsi="Arial" w:cs="Arial" w:eastAsia="Arial"/>
          <w:color w:val="74706E"/>
          <w:w w:val="105"/>
          <w:sz w:val="12"/>
          <w:szCs w:val="12"/>
        </w:rPr>
        <w:t>confir</w:t>
      </w:r>
      <w:r>
        <w:rPr>
          <w:rFonts w:ascii="Arial" w:hAnsi="Arial" w:cs="Arial" w:eastAsia="Arial"/>
          <w:color w:val="74706E"/>
          <w:spacing w:val="8"/>
          <w:w w:val="105"/>
          <w:sz w:val="12"/>
          <w:szCs w:val="12"/>
        </w:rPr>
        <w:t>m</w:t>
      </w:r>
      <w:r>
        <w:rPr>
          <w:rFonts w:ascii="Times New Roman" w:hAnsi="Times New Roman" w:cs="Times New Roman" w:eastAsia="Times New Roman"/>
          <w:color w:val="74706E"/>
          <w:w w:val="105"/>
          <w:sz w:val="14"/>
          <w:szCs w:val="14"/>
        </w:rPr>
        <w:t>that</w:t>
      </w:r>
      <w:r>
        <w:rPr>
          <w:rFonts w:ascii="Times New Roman" w:hAnsi="Times New Roman" w:cs="Times New Roman" w:eastAsia="Times New Roman"/>
          <w:color w:val="74706E"/>
          <w:spacing w:val="1"/>
          <w:w w:val="105"/>
          <w:sz w:val="14"/>
          <w:szCs w:val="14"/>
        </w:rPr>
        <w:t> </w:t>
      </w:r>
      <w:r>
        <w:rPr>
          <w:rFonts w:ascii="Times New Roman" w:hAnsi="Times New Roman" w:cs="Times New Roman" w:eastAsia="Times New Roman"/>
          <w:color w:val="74706E"/>
          <w:w w:val="105"/>
          <w:sz w:val="15"/>
          <w:szCs w:val="15"/>
        </w:rPr>
        <w:t>th</w:t>
      </w:r>
      <w:r>
        <w:rPr>
          <w:rFonts w:ascii="Times New Roman" w:hAnsi="Times New Roman" w:cs="Times New Roman" w:eastAsia="Times New Roman"/>
          <w:color w:val="74706E"/>
          <w:spacing w:val="14"/>
          <w:w w:val="105"/>
          <w:sz w:val="15"/>
          <w:szCs w:val="15"/>
        </w:rPr>
        <w:t>t</w:t>
      </w:r>
      <w:r>
        <w:rPr>
          <w:rFonts w:ascii="Times New Roman" w:hAnsi="Times New Roman" w:cs="Times New Roman" w:eastAsia="Times New Roman"/>
          <w:color w:val="74706E"/>
          <w:w w:val="105"/>
          <w:sz w:val="14"/>
          <w:szCs w:val="14"/>
        </w:rPr>
        <w:t>lndf9Cndttl&lt;•</w:t>
      </w:r>
      <w:r>
        <w:rPr>
          <w:rFonts w:ascii="Times New Roman" w:hAnsi="Times New Roman" w:cs="Times New Roman" w:eastAsia="Times New Roman"/>
          <w:color w:val="74706E"/>
          <w:spacing w:val="2"/>
          <w:w w:val="105"/>
          <w:sz w:val="14"/>
          <w:szCs w:val="14"/>
        </w:rPr>
        <w:t> </w:t>
      </w:r>
      <w:r>
        <w:rPr>
          <w:rFonts w:ascii="Times New Roman" w:hAnsi="Times New Roman" w:cs="Times New Roman" w:eastAsia="Times New Roman"/>
          <w:color w:val="74706E"/>
          <w:w w:val="105"/>
          <w:sz w:val="14"/>
          <w:szCs w:val="14"/>
        </w:rPr>
        <w:t>dtdarationrtciulred</w:t>
      </w:r>
      <w:r>
        <w:rPr>
          <w:rFonts w:ascii="Times New Roman" w:hAnsi="Times New Roman" w:cs="Times New Roman" w:eastAsia="Times New Roman"/>
          <w:color w:val="74706E"/>
          <w:spacing w:val="15"/>
          <w:w w:val="105"/>
          <w:sz w:val="14"/>
          <w:szCs w:val="14"/>
        </w:rPr>
        <w:t> </w:t>
      </w:r>
      <w:r>
        <w:rPr>
          <w:rFonts w:ascii="Arial" w:hAnsi="Arial" w:cs="Arial" w:eastAsia="Arial"/>
          <w:color w:val="74706E"/>
          <w:w w:val="105"/>
          <w:sz w:val="13"/>
          <w:szCs w:val="13"/>
        </w:rPr>
        <w:t>by</w:t>
      </w:r>
      <w:r>
        <w:rPr>
          <w:rFonts w:ascii="Arial" w:hAnsi="Arial" w:cs="Arial" w:eastAsia="Arial"/>
          <w:color w:val="74706E"/>
          <w:spacing w:val="-14"/>
          <w:w w:val="105"/>
          <w:sz w:val="13"/>
          <w:szCs w:val="13"/>
        </w:rPr>
        <w:t> </w:t>
      </w:r>
      <w:r>
        <w:rPr>
          <w:rFonts w:ascii="Times New Roman" w:hAnsi="Times New Roman" w:cs="Times New Roman" w:eastAsia="Times New Roman"/>
          <w:color w:val="5D5B59"/>
          <w:w w:val="105"/>
          <w:sz w:val="14"/>
          <w:szCs w:val="14"/>
        </w:rPr>
        <w:t>tht</w:t>
      </w:r>
      <w:r>
        <w:rPr>
          <w:rFonts w:ascii="Times New Roman" w:hAnsi="Times New Roman" w:cs="Times New Roman" w:eastAsia="Times New Roman"/>
          <w:color w:val="5D5B59"/>
          <w:spacing w:val="-19"/>
          <w:w w:val="105"/>
          <w:sz w:val="14"/>
          <w:szCs w:val="14"/>
        </w:rPr>
        <w:t> </w:t>
      </w:r>
      <w:r>
        <w:rPr>
          <w:rFonts w:ascii="Arial" w:hAnsi="Arial" w:cs="Arial" w:eastAsia="Arial"/>
          <w:i/>
          <w:color w:val="74706E"/>
          <w:w w:val="105"/>
          <w:sz w:val="12"/>
          <w:szCs w:val="12"/>
        </w:rPr>
        <w:t>(;orporotiOflsA&lt;t</w:t>
      </w:r>
      <w:r>
        <w:rPr>
          <w:rFonts w:ascii="Arial" w:hAnsi="Arial" w:cs="Arial" w:eastAsia="Arial"/>
          <w:i/>
          <w:color w:val="74706E"/>
          <w:spacing w:val="-7"/>
          <w:w w:val="105"/>
          <w:sz w:val="12"/>
          <w:szCs w:val="12"/>
        </w:rPr>
        <w:t> </w:t>
      </w:r>
      <w:r>
        <w:rPr>
          <w:rFonts w:ascii="Arial" w:hAnsi="Arial" w:cs="Arial" w:eastAsia="Arial"/>
          <w:i/>
          <w:color w:val="74706E"/>
          <w:w w:val="105"/>
          <w:sz w:val="12"/>
          <w:szCs w:val="12"/>
        </w:rPr>
        <w:t>100</w:t>
      </w:r>
      <w:r>
        <w:rPr>
          <w:rFonts w:ascii="Arial" w:hAnsi="Arial" w:cs="Arial" w:eastAsia="Arial"/>
          <w:i/>
          <w:color w:val="74706E"/>
          <w:spacing w:val="-38"/>
          <w:w w:val="105"/>
          <w:sz w:val="12"/>
          <w:szCs w:val="12"/>
        </w:rPr>
        <w:t>1</w:t>
      </w:r>
      <w:r>
        <w:rPr>
          <w:rFonts w:ascii="Arial" w:hAnsi="Arial" w:cs="Arial" w:eastAsia="Arial"/>
          <w:i/>
          <w:color w:val="74706E"/>
          <w:spacing w:val="-4"/>
          <w:w w:val="105"/>
          <w:sz w:val="12"/>
          <w:szCs w:val="12"/>
        </w:rPr>
        <w:t>,</w:t>
      </w:r>
      <w:r>
        <w:rPr>
          <w:rFonts w:ascii="Arial" w:hAnsi="Arial" w:cs="Arial" w:eastAsia="Arial"/>
          <w:color w:val="74706E"/>
          <w:w w:val="105"/>
          <w:sz w:val="13"/>
          <w:szCs w:val="13"/>
        </w:rPr>
        <w:t>whK:h</w:t>
      </w:r>
      <w:r>
        <w:rPr>
          <w:rFonts w:ascii="Arial" w:hAnsi="Arial" w:cs="Arial" w:eastAsia="Arial"/>
          <w:color w:val="74706E"/>
          <w:spacing w:val="-22"/>
          <w:w w:val="105"/>
          <w:sz w:val="13"/>
          <w:szCs w:val="13"/>
        </w:rPr>
        <w:t> </w:t>
      </w:r>
      <w:r>
        <w:rPr>
          <w:rFonts w:ascii="Times New Roman" w:hAnsi="Times New Roman" w:cs="Times New Roman" w:eastAsia="Times New Roman"/>
          <w:color w:val="74706E"/>
          <w:w w:val="105"/>
          <w:sz w:val="13"/>
          <w:szCs w:val="13"/>
        </w:rPr>
        <w:t>h.a</w:t>
      </w:r>
      <w:r>
        <w:rPr>
          <w:rFonts w:ascii="Times New Roman" w:hAnsi="Times New Roman" w:cs="Times New Roman" w:eastAsia="Times New Roman"/>
          <w:color w:val="74706E"/>
          <w:spacing w:val="12"/>
          <w:w w:val="105"/>
          <w:sz w:val="13"/>
          <w:szCs w:val="13"/>
        </w:rPr>
        <w:t>s</w:t>
      </w:r>
      <w:r>
        <w:rPr>
          <w:rFonts w:ascii="Times New Roman" w:hAnsi="Times New Roman" w:cs="Times New Roman" w:eastAsia="Times New Roman"/>
          <w:color w:val="74706E"/>
          <w:w w:val="105"/>
          <w:sz w:val="14"/>
          <w:szCs w:val="14"/>
        </w:rPr>
        <w:t>bttn </w:t>
      </w:r>
      <w:r>
        <w:rPr>
          <w:rFonts w:ascii="Arial" w:hAnsi="Arial" w:cs="Arial" w:eastAsia="Arial"/>
          <w:color w:val="74706E"/>
          <w:w w:val="105"/>
          <w:sz w:val="13"/>
          <w:szCs w:val="13"/>
        </w:rPr>
        <w:t>giYtn</w:t>
      </w:r>
      <w:r>
        <w:rPr>
          <w:rFonts w:ascii="Arial" w:hAnsi="Arial" w:cs="Arial" w:eastAsia="Arial"/>
          <w:color w:val="74706E"/>
          <w:spacing w:val="-14"/>
          <w:w w:val="105"/>
          <w:sz w:val="13"/>
          <w:szCs w:val="13"/>
        </w:rPr>
        <w:t> </w:t>
      </w:r>
      <w:r>
        <w:rPr>
          <w:rFonts w:ascii="Times New Roman" w:hAnsi="Times New Roman" w:cs="Times New Roman" w:eastAsia="Times New Roman"/>
          <w:color w:val="74706E"/>
          <w:w w:val="105"/>
          <w:sz w:val="14"/>
          <w:szCs w:val="14"/>
        </w:rPr>
        <w:t>t</w:t>
      </w:r>
      <w:r>
        <w:rPr>
          <w:rFonts w:ascii="Times New Roman" w:hAnsi="Times New Roman" w:cs="Times New Roman" w:eastAsia="Times New Roman"/>
          <w:color w:val="74706E"/>
          <w:spacing w:val="7"/>
          <w:w w:val="105"/>
          <w:sz w:val="14"/>
          <w:szCs w:val="14"/>
        </w:rPr>
        <w:t>o</w:t>
      </w:r>
      <w:r>
        <w:rPr>
          <w:rFonts w:ascii="Times New Roman" w:hAnsi="Times New Roman" w:cs="Times New Roman" w:eastAsia="Times New Roman"/>
          <w:color w:val="74706E"/>
          <w:w w:val="105"/>
          <w:sz w:val="14"/>
          <w:szCs w:val="14"/>
        </w:rPr>
        <w:t>tht</w:t>
      </w:r>
      <w:r>
        <w:rPr>
          <w:rFonts w:ascii="Times New Roman" w:hAnsi="Times New Roman" w:cs="Times New Roman" w:eastAsia="Times New Roman"/>
          <w:sz w:val="14"/>
          <w:szCs w:val="14"/>
        </w:rPr>
      </w:r>
    </w:p>
    <w:p>
      <w:pPr>
        <w:spacing w:line="413" w:lineRule="exact" w:before="0"/>
        <w:ind w:left="1054" w:right="0" w:firstLine="0"/>
        <w:jc w:val="both"/>
        <w:rPr>
          <w:rFonts w:ascii="Times New Roman" w:hAnsi="Times New Roman" w:cs="Times New Roman" w:eastAsia="Times New Roman"/>
          <w:sz w:val="15"/>
          <w:szCs w:val="15"/>
        </w:rPr>
      </w:pPr>
      <w:r>
        <w:rPr>
          <w:rFonts w:ascii="Times New Roman"/>
          <w:color w:val="878282"/>
          <w:spacing w:val="-75"/>
          <w:sz w:val="15"/>
        </w:rPr>
        <w:t>d</w:t>
      </w:r>
      <w:r>
        <w:rPr>
          <w:rFonts w:ascii="Arial"/>
          <w:color w:val="74706E"/>
          <w:spacing w:val="-70"/>
          <w:position w:val="-16"/>
          <w:sz w:val="39"/>
        </w:rPr>
        <w:t>.</w:t>
      </w:r>
      <w:r>
        <w:rPr>
          <w:rFonts w:ascii="Arial"/>
          <w:color w:val="74706E"/>
          <w:spacing w:val="-59"/>
          <w:position w:val="-16"/>
          <w:sz w:val="39"/>
        </w:rPr>
        <w:t>.</w:t>
      </w:r>
      <w:r>
        <w:rPr>
          <w:rFonts w:ascii="Times New Roman"/>
          <w:color w:val="878282"/>
          <w:spacing w:val="-8"/>
          <w:sz w:val="15"/>
        </w:rPr>
        <w:t>l</w:t>
      </w:r>
      <w:r>
        <w:rPr>
          <w:rFonts w:ascii="Arial"/>
          <w:color w:val="74706E"/>
          <w:spacing w:val="-100"/>
          <w:position w:val="-16"/>
          <w:sz w:val="39"/>
        </w:rPr>
        <w:t>.</w:t>
      </w:r>
      <w:r>
        <w:rPr>
          <w:rFonts w:ascii="Times New Roman"/>
          <w:color w:val="878282"/>
          <w:sz w:val="15"/>
        </w:rPr>
        <w:t>r</w:t>
      </w:r>
      <w:r>
        <w:rPr>
          <w:rFonts w:ascii="Times New Roman"/>
          <w:color w:val="878282"/>
          <w:spacing w:val="-98"/>
          <w:sz w:val="15"/>
        </w:rPr>
        <w:t>K</w:t>
      </w:r>
      <w:r>
        <w:rPr>
          <w:rFonts w:ascii="Arial"/>
          <w:color w:val="74706E"/>
          <w:position w:val="-16"/>
          <w:sz w:val="39"/>
        </w:rPr>
        <w:t>.</w:t>
      </w:r>
      <w:r>
        <w:rPr>
          <w:rFonts w:ascii="Arial"/>
          <w:color w:val="74706E"/>
          <w:spacing w:val="-61"/>
          <w:position w:val="-16"/>
          <w:sz w:val="39"/>
        </w:rPr>
        <w:t>.</w:t>
      </w:r>
      <w:r>
        <w:rPr>
          <w:rFonts w:ascii="Times New Roman"/>
          <w:color w:val="878282"/>
          <w:spacing w:val="-7"/>
          <w:sz w:val="15"/>
        </w:rPr>
        <w:t>t</w:t>
      </w:r>
      <w:r>
        <w:rPr>
          <w:rFonts w:ascii="Arial"/>
          <w:color w:val="74706E"/>
          <w:spacing w:val="-102"/>
          <w:position w:val="-16"/>
          <w:sz w:val="39"/>
        </w:rPr>
        <w:t>.</w:t>
      </w:r>
      <w:r>
        <w:rPr>
          <w:rFonts w:ascii="Times New Roman"/>
          <w:color w:val="878282"/>
          <w:spacing w:val="-46"/>
          <w:sz w:val="15"/>
        </w:rPr>
        <w:t>0</w:t>
      </w:r>
      <w:r>
        <w:rPr>
          <w:rFonts w:ascii="Arial"/>
          <w:color w:val="4D4B4B"/>
          <w:spacing w:val="-46"/>
          <w:position w:val="-16"/>
          <w:sz w:val="39"/>
        </w:rPr>
        <w:t>.</w:t>
      </w:r>
      <w:r>
        <w:rPr>
          <w:rFonts w:ascii="Times New Roman"/>
          <w:color w:val="878282"/>
          <w:sz w:val="15"/>
        </w:rPr>
        <w:t>ts</w:t>
      </w:r>
      <w:r>
        <w:rPr>
          <w:rFonts w:ascii="Times New Roman"/>
          <w:color w:val="878282"/>
          <w:spacing w:val="-13"/>
          <w:sz w:val="15"/>
        </w:rPr>
        <w:t> </w:t>
      </w:r>
      <w:r>
        <w:rPr>
          <w:rFonts w:ascii="Times New Roman"/>
          <w:color w:val="5D5B59"/>
          <w:sz w:val="15"/>
        </w:rPr>
        <w:t>of </w:t>
      </w:r>
      <w:r>
        <w:rPr>
          <w:rFonts w:ascii="Times New Roman"/>
          <w:color w:val="74706E"/>
          <w:sz w:val="14"/>
        </w:rPr>
        <w:t>the</w:t>
      </w:r>
      <w:r>
        <w:rPr>
          <w:rFonts w:ascii="Times New Roman"/>
          <w:color w:val="74706E"/>
          <w:spacing w:val="-11"/>
          <w:sz w:val="14"/>
        </w:rPr>
        <w:t> </w:t>
      </w:r>
      <w:r>
        <w:rPr>
          <w:rFonts w:ascii="Times New Roman"/>
          <w:color w:val="74706E"/>
          <w:w w:val="130"/>
          <w:sz w:val="14"/>
        </w:rPr>
        <w:t>c    </w:t>
      </w:r>
      <w:r>
        <w:rPr>
          <w:rFonts w:ascii="Times New Roman"/>
          <w:color w:val="74706E"/>
          <w:spacing w:val="45"/>
          <w:w w:val="130"/>
          <w:sz w:val="14"/>
        </w:rPr>
        <w:t> </w:t>
      </w:r>
      <w:r>
        <w:rPr>
          <w:rFonts w:ascii="Times New Roman"/>
          <w:color w:val="74706E"/>
          <w:w w:val="105"/>
          <w:sz w:val="14"/>
        </w:rPr>
        <w:t>n</w:t>
      </w:r>
      <w:r>
        <w:rPr>
          <w:rFonts w:ascii="Times New Roman"/>
          <w:color w:val="74706E"/>
          <w:spacing w:val="-15"/>
          <w:w w:val="105"/>
          <w:sz w:val="14"/>
        </w:rPr>
        <w:t>v</w:t>
      </w:r>
      <w:r>
        <w:rPr>
          <w:rFonts w:ascii="Times New Roman"/>
          <w:color w:val="74706E"/>
          <w:spacing w:val="-11"/>
          <w:w w:val="105"/>
          <w:sz w:val="14"/>
        </w:rPr>
        <w:t>.</w:t>
      </w:r>
      <w:r>
        <w:rPr>
          <w:rFonts w:ascii="Times New Roman"/>
          <w:color w:val="74706E"/>
          <w:w w:val="105"/>
          <w:sz w:val="14"/>
        </w:rPr>
        <w:t>wookl</w:t>
      </w:r>
      <w:r>
        <w:rPr>
          <w:rFonts w:ascii="Times New Roman"/>
          <w:color w:val="74706E"/>
          <w:spacing w:val="-8"/>
          <w:w w:val="105"/>
          <w:sz w:val="14"/>
        </w:rPr>
        <w:t> </w:t>
      </w:r>
      <w:r>
        <w:rPr>
          <w:rFonts w:ascii="Times New Roman"/>
          <w:color w:val="74706E"/>
          <w:w w:val="105"/>
          <w:sz w:val="13"/>
        </w:rPr>
        <w:t>be</w:t>
      </w:r>
      <w:r>
        <w:rPr>
          <w:rFonts w:ascii="Times New Roman"/>
          <w:color w:val="74706E"/>
          <w:spacing w:val="-9"/>
          <w:w w:val="105"/>
          <w:sz w:val="13"/>
        </w:rPr>
        <w:t> </w:t>
      </w:r>
      <w:r>
        <w:rPr>
          <w:rFonts w:ascii="Times New Roman"/>
          <w:color w:val="878282"/>
          <w:sz w:val="14"/>
        </w:rPr>
        <w:t>In</w:t>
      </w:r>
      <w:r>
        <w:rPr>
          <w:rFonts w:ascii="Times New Roman"/>
          <w:color w:val="878282"/>
          <w:spacing w:val="-10"/>
          <w:sz w:val="14"/>
        </w:rPr>
        <w:t> </w:t>
      </w:r>
      <w:r>
        <w:rPr>
          <w:rFonts w:ascii="Arial"/>
          <w:color w:val="74706E"/>
          <w:sz w:val="12"/>
        </w:rPr>
        <w:t>the</w:t>
      </w:r>
      <w:r>
        <w:rPr>
          <w:rFonts w:ascii="Arial"/>
          <w:color w:val="74706E"/>
          <w:spacing w:val="-11"/>
          <w:sz w:val="12"/>
        </w:rPr>
        <w:t> </w:t>
      </w:r>
      <w:r>
        <w:rPr>
          <w:rFonts w:ascii="Times New Roman"/>
          <w:color w:val="74706E"/>
          <w:sz w:val="15"/>
        </w:rPr>
        <w:t>same</w:t>
      </w:r>
      <w:r>
        <w:rPr>
          <w:rFonts w:ascii="Times New Roman"/>
          <w:color w:val="74706E"/>
          <w:spacing w:val="-17"/>
          <w:sz w:val="15"/>
        </w:rPr>
        <w:t> </w:t>
      </w:r>
      <w:r>
        <w:rPr>
          <w:rFonts w:ascii="Times New Roman"/>
          <w:color w:val="5D5B59"/>
          <w:sz w:val="15"/>
        </w:rPr>
        <w:t>terms</w:t>
      </w:r>
      <w:r>
        <w:rPr>
          <w:rFonts w:ascii="Times New Roman"/>
          <w:color w:val="5D5B59"/>
          <w:spacing w:val="-12"/>
          <w:sz w:val="15"/>
        </w:rPr>
        <w:t> </w:t>
      </w:r>
      <w:r>
        <w:rPr>
          <w:rFonts w:ascii="Times New Roman"/>
          <w:color w:val="74706E"/>
          <w:sz w:val="15"/>
        </w:rPr>
        <w:t>If</w:t>
      </w:r>
      <w:r>
        <w:rPr>
          <w:rFonts w:ascii="Times New Roman"/>
          <w:color w:val="74706E"/>
          <w:spacing w:val="-2"/>
          <w:sz w:val="15"/>
        </w:rPr>
        <w:t> </w:t>
      </w:r>
      <w:r>
        <w:rPr>
          <w:rFonts w:ascii="Times New Roman"/>
          <w:color w:val="74706E"/>
          <w:sz w:val="15"/>
        </w:rPr>
        <w:t>gtvff'</w:t>
      </w:r>
      <w:r>
        <w:rPr>
          <w:rFonts w:ascii="Times New Roman"/>
          <w:color w:val="74706E"/>
          <w:spacing w:val="-14"/>
          <w:sz w:val="15"/>
        </w:rPr>
        <w:t> </w:t>
      </w:r>
      <w:r>
        <w:rPr>
          <w:rFonts w:ascii="Times New Roman"/>
          <w:color w:val="5D5B59"/>
          <w:sz w:val="15"/>
        </w:rPr>
        <w:t>to</w:t>
      </w:r>
      <w:r>
        <w:rPr>
          <w:rFonts w:ascii="Times New Roman"/>
          <w:color w:val="5D5B59"/>
          <w:spacing w:val="-16"/>
          <w:sz w:val="15"/>
        </w:rPr>
        <w:t> </w:t>
      </w:r>
      <w:r>
        <w:rPr>
          <w:rFonts w:ascii="Arial"/>
          <w:color w:val="74706E"/>
          <w:sz w:val="12"/>
        </w:rPr>
        <w:t>the</w:t>
      </w:r>
      <w:r>
        <w:rPr>
          <w:rFonts w:ascii="Arial"/>
          <w:color w:val="74706E"/>
          <w:spacing w:val="-11"/>
          <w:sz w:val="12"/>
        </w:rPr>
        <w:t> </w:t>
      </w:r>
      <w:r>
        <w:rPr>
          <w:rFonts w:ascii="Times New Roman"/>
          <w:color w:val="5D5B59"/>
          <w:w w:val="105"/>
          <w:sz w:val="14"/>
        </w:rPr>
        <w:t>drectors</w:t>
      </w:r>
      <w:r>
        <w:rPr>
          <w:rFonts w:ascii="Times New Roman"/>
          <w:color w:val="5D5B59"/>
          <w:spacing w:val="-10"/>
          <w:w w:val="105"/>
          <w:sz w:val="14"/>
        </w:rPr>
        <w:t> </w:t>
      </w:r>
      <w:r>
        <w:rPr>
          <w:rFonts w:ascii="Times New Roman"/>
          <w:color w:val="74706E"/>
          <w:spacing w:val="-19"/>
          <w:w w:val="105"/>
          <w:sz w:val="15"/>
        </w:rPr>
        <w:t>a</w:t>
      </w:r>
      <w:r>
        <w:rPr>
          <w:rFonts w:ascii="Times New Roman"/>
          <w:color w:val="74706E"/>
          <w:spacing w:val="11"/>
          <w:w w:val="105"/>
          <w:sz w:val="15"/>
        </w:rPr>
        <w:t>s</w:t>
      </w:r>
      <w:r>
        <w:rPr>
          <w:rFonts w:ascii="Times New Roman"/>
          <w:color w:val="74706E"/>
          <w:w w:val="105"/>
          <w:sz w:val="13"/>
        </w:rPr>
        <w:t>at</w:t>
      </w:r>
      <w:r>
        <w:rPr>
          <w:rFonts w:ascii="Times New Roman"/>
          <w:color w:val="74706E"/>
          <w:spacing w:val="3"/>
          <w:w w:val="105"/>
          <w:sz w:val="13"/>
        </w:rPr>
        <w:t> </w:t>
      </w:r>
      <w:r>
        <w:rPr>
          <w:rFonts w:ascii="Arial"/>
          <w:color w:val="74706E"/>
          <w:sz w:val="13"/>
        </w:rPr>
        <w:t>ttie</w:t>
      </w:r>
      <w:r>
        <w:rPr>
          <w:rFonts w:ascii="Arial"/>
          <w:color w:val="74706E"/>
          <w:spacing w:val="1"/>
          <w:sz w:val="13"/>
        </w:rPr>
        <w:t> </w:t>
      </w:r>
      <w:r>
        <w:rPr>
          <w:rFonts w:ascii="Times New Roman"/>
          <w:color w:val="74706E"/>
          <w:sz w:val="13"/>
        </w:rPr>
        <w:t>time</w:t>
      </w:r>
      <w:r>
        <w:rPr>
          <w:rFonts w:ascii="Times New Roman"/>
          <w:color w:val="74706E"/>
          <w:spacing w:val="-6"/>
          <w:sz w:val="13"/>
        </w:rPr>
        <w:t> </w:t>
      </w:r>
      <w:r>
        <w:rPr>
          <w:rFonts w:ascii="Arial"/>
          <w:color w:val="74706E"/>
          <w:sz w:val="14"/>
        </w:rPr>
        <w:t>of</w:t>
      </w:r>
      <w:r>
        <w:rPr>
          <w:rFonts w:ascii="Arial"/>
          <w:color w:val="74706E"/>
          <w:spacing w:val="-10"/>
          <w:sz w:val="14"/>
        </w:rPr>
        <w:t> </w:t>
      </w:r>
      <w:r>
        <w:rPr>
          <w:rFonts w:ascii="Times New Roman"/>
          <w:color w:val="5D5B59"/>
          <w:sz w:val="14"/>
        </w:rPr>
        <w:t>t</w:t>
      </w:r>
      <w:r>
        <w:rPr>
          <w:rFonts w:ascii="Times New Roman"/>
          <w:color w:val="5D5B59"/>
          <w:spacing w:val="-1"/>
          <w:sz w:val="14"/>
        </w:rPr>
        <w:t>h</w:t>
      </w:r>
      <w:r>
        <w:rPr>
          <w:rFonts w:ascii="Times New Roman"/>
          <w:color w:val="878282"/>
          <w:sz w:val="14"/>
        </w:rPr>
        <w:t>is</w:t>
      </w:r>
      <w:r>
        <w:rPr>
          <w:rFonts w:ascii="Times New Roman"/>
          <w:color w:val="878282"/>
          <w:spacing w:val="-15"/>
          <w:sz w:val="14"/>
        </w:rPr>
        <w:t> </w:t>
      </w:r>
      <w:r>
        <w:rPr>
          <w:rFonts w:ascii="Times New Roman"/>
          <w:color w:val="5D5B59"/>
          <w:sz w:val="15"/>
        </w:rPr>
        <w:t>au</w:t>
      </w:r>
      <w:r>
        <w:rPr>
          <w:rFonts w:ascii="Times New Roman"/>
          <w:color w:val="5D5B59"/>
          <w:spacing w:val="15"/>
          <w:sz w:val="15"/>
        </w:rPr>
        <w:t>d</w:t>
      </w:r>
      <w:r>
        <w:rPr>
          <w:rFonts w:ascii="Times New Roman"/>
          <w:color w:val="878282"/>
          <w:sz w:val="15"/>
        </w:rPr>
        <w:t>ltOt's</w:t>
      </w:r>
      <w:r>
        <w:rPr>
          <w:rFonts w:ascii="Times New Roman"/>
          <w:sz w:val="15"/>
        </w:rPr>
      </w:r>
    </w:p>
    <w:p>
      <w:pPr>
        <w:spacing w:before="10"/>
        <w:ind w:left="1054" w:right="0" w:firstLine="0"/>
        <w:jc w:val="both"/>
        <w:rPr>
          <w:rFonts w:ascii="Times New Roman" w:hAnsi="Times New Roman" w:cs="Times New Roman" w:eastAsia="Times New Roman"/>
          <w:sz w:val="15"/>
          <w:szCs w:val="15"/>
        </w:rPr>
      </w:pPr>
      <w:r>
        <w:rPr>
          <w:rFonts w:ascii="Times New Roman"/>
          <w:color w:val="5D5B59"/>
          <w:w w:val="105"/>
          <w:sz w:val="13"/>
        </w:rPr>
        <w:t>I</w:t>
      </w:r>
      <w:r>
        <w:rPr>
          <w:rFonts w:ascii="Times New Roman"/>
          <w:color w:val="5D5B59"/>
          <w:spacing w:val="-4"/>
          <w:w w:val="105"/>
          <w:sz w:val="13"/>
        </w:rPr>
        <w:t> </w:t>
      </w:r>
      <w:r>
        <w:rPr>
          <w:rFonts w:ascii="Times New Roman"/>
          <w:color w:val="74706E"/>
          <w:w w:val="105"/>
          <w:sz w:val="13"/>
        </w:rPr>
        <w:t>bellt'lle</w:t>
      </w:r>
      <w:r>
        <w:rPr>
          <w:rFonts w:ascii="Times New Roman"/>
          <w:color w:val="74706E"/>
          <w:spacing w:val="6"/>
          <w:w w:val="105"/>
          <w:sz w:val="13"/>
        </w:rPr>
        <w:t> </w:t>
      </w:r>
      <w:r>
        <w:rPr>
          <w:rFonts w:ascii="Times New Roman"/>
          <w:color w:val="5D5B59"/>
          <w:w w:val="105"/>
          <w:sz w:val="13"/>
        </w:rPr>
        <w:t>that</w:t>
      </w:r>
      <w:r>
        <w:rPr>
          <w:rFonts w:ascii="Times New Roman"/>
          <w:color w:val="5D5B59"/>
          <w:spacing w:val="6"/>
          <w:w w:val="105"/>
          <w:sz w:val="13"/>
        </w:rPr>
        <w:t> </w:t>
      </w:r>
      <w:r>
        <w:rPr>
          <w:rFonts w:ascii="Arial"/>
          <w:color w:val="74706E"/>
          <w:w w:val="105"/>
          <w:sz w:val="12"/>
        </w:rPr>
        <w:t>the</w:t>
      </w:r>
      <w:r>
        <w:rPr>
          <w:rFonts w:ascii="Arial"/>
          <w:color w:val="74706E"/>
          <w:spacing w:val="-6"/>
          <w:w w:val="105"/>
          <w:sz w:val="12"/>
        </w:rPr>
        <w:t> </w:t>
      </w:r>
      <w:r>
        <w:rPr>
          <w:rFonts w:ascii="Times New Roman"/>
          <w:color w:val="74706E"/>
          <w:w w:val="105"/>
          <w:sz w:val="13"/>
        </w:rPr>
        <w:t>audit</w:t>
      </w:r>
      <w:r>
        <w:rPr>
          <w:rFonts w:ascii="Times New Roman"/>
          <w:color w:val="878282"/>
          <w:w w:val="105"/>
          <w:sz w:val="13"/>
        </w:rPr>
        <w:t>e...tdfonce</w:t>
      </w:r>
      <w:r>
        <w:rPr>
          <w:rFonts w:ascii="Times New Roman"/>
          <w:color w:val="878282"/>
          <w:spacing w:val="5"/>
          <w:w w:val="105"/>
          <w:sz w:val="13"/>
        </w:rPr>
        <w:t> </w:t>
      </w:r>
      <w:r>
        <w:rPr>
          <w:rFonts w:ascii="Times New Roman"/>
          <w:color w:val="5D5B59"/>
          <w:w w:val="105"/>
          <w:sz w:val="13"/>
        </w:rPr>
        <w:t>I</w:t>
      </w:r>
      <w:r>
        <w:rPr>
          <w:rFonts w:ascii="Times New Roman"/>
          <w:color w:val="5D5B59"/>
          <w:spacing w:val="-4"/>
          <w:w w:val="105"/>
          <w:sz w:val="13"/>
        </w:rPr>
        <w:t> </w:t>
      </w:r>
      <w:r>
        <w:rPr>
          <w:rFonts w:ascii="Times New Roman"/>
          <w:color w:val="74706E"/>
          <w:w w:val="105"/>
          <w:sz w:val="13"/>
        </w:rPr>
        <w:t>have</w:t>
      </w:r>
      <w:r>
        <w:rPr>
          <w:rFonts w:ascii="Times New Roman"/>
          <w:color w:val="74706E"/>
          <w:spacing w:val="1"/>
          <w:w w:val="105"/>
          <w:sz w:val="14"/>
        </w:rPr>
        <w:t>obtained</w:t>
      </w:r>
      <w:r>
        <w:rPr>
          <w:rFonts w:ascii="Times New Roman"/>
          <w:color w:val="74706E"/>
          <w:spacing w:val="-16"/>
          <w:w w:val="105"/>
          <w:sz w:val="14"/>
        </w:rPr>
        <w:t> </w:t>
      </w:r>
      <w:r>
        <w:rPr>
          <w:rFonts w:ascii="Times New Roman"/>
          <w:color w:val="878282"/>
          <w:w w:val="105"/>
          <w:sz w:val="13"/>
        </w:rPr>
        <w:t>b</w:t>
      </w:r>
      <w:r>
        <w:rPr>
          <w:rFonts w:ascii="Times New Roman"/>
          <w:color w:val="74706E"/>
          <w:w w:val="105"/>
          <w:sz w:val="13"/>
        </w:rPr>
        <w:t>suffldentand</w:t>
      </w:r>
      <w:r>
        <w:rPr>
          <w:rFonts w:ascii="Times New Roman"/>
          <w:color w:val="74706E"/>
          <w:spacing w:val="-1"/>
          <w:w w:val="105"/>
          <w:sz w:val="13"/>
        </w:rPr>
        <w:t> </w:t>
      </w:r>
      <w:r>
        <w:rPr>
          <w:rFonts w:ascii="Times New Roman"/>
          <w:color w:val="74706E"/>
          <w:spacing w:val="-1"/>
          <w:w w:val="120"/>
          <w:sz w:val="13"/>
        </w:rPr>
        <w:t>appropte</w:t>
      </w:r>
      <w:r>
        <w:rPr>
          <w:rFonts w:ascii="Times New Roman"/>
          <w:color w:val="74706E"/>
          <w:spacing w:val="-10"/>
          <w:w w:val="120"/>
          <w:sz w:val="13"/>
        </w:rPr>
        <w:t> </w:t>
      </w:r>
      <w:r>
        <w:rPr>
          <w:rFonts w:ascii="Times New Roman"/>
          <w:color w:val="5D5B59"/>
          <w:w w:val="105"/>
          <w:sz w:val="15"/>
        </w:rPr>
        <w:t>to</w:t>
      </w:r>
      <w:r>
        <w:rPr>
          <w:rFonts w:ascii="Times New Roman"/>
          <w:color w:val="5D5B59"/>
          <w:spacing w:val="-10"/>
          <w:w w:val="105"/>
          <w:sz w:val="15"/>
        </w:rPr>
        <w:t> </w:t>
      </w:r>
      <w:r>
        <w:rPr>
          <w:rFonts w:ascii="Times New Roman"/>
          <w:color w:val="74706E"/>
          <w:w w:val="105"/>
          <w:sz w:val="13"/>
        </w:rPr>
        <w:t>provide</w:t>
      </w:r>
      <w:r>
        <w:rPr>
          <w:rFonts w:ascii="Times New Roman"/>
          <w:color w:val="74706E"/>
          <w:spacing w:val="7"/>
          <w:w w:val="105"/>
          <w:sz w:val="13"/>
        </w:rPr>
        <w:t> </w:t>
      </w:r>
      <w:r>
        <w:rPr>
          <w:rFonts w:ascii="Times New Roman"/>
          <w:color w:val="74706E"/>
          <w:w w:val="105"/>
          <w:sz w:val="13"/>
        </w:rPr>
        <w:t>a</w:t>
      </w:r>
      <w:r>
        <w:rPr>
          <w:rFonts w:ascii="Times New Roman"/>
          <w:color w:val="74706E"/>
          <w:spacing w:val="14"/>
          <w:w w:val="105"/>
          <w:sz w:val="13"/>
        </w:rPr>
        <w:t> </w:t>
      </w:r>
      <w:r>
        <w:rPr>
          <w:rFonts w:ascii="Times New Roman"/>
          <w:color w:val="878282"/>
          <w:w w:val="105"/>
          <w:sz w:val="14"/>
        </w:rPr>
        <w:t>Nsls</w:t>
      </w:r>
      <w:r>
        <w:rPr>
          <w:rFonts w:ascii="Times New Roman"/>
          <w:color w:val="878282"/>
          <w:spacing w:val="1"/>
          <w:w w:val="105"/>
          <w:sz w:val="14"/>
        </w:rPr>
        <w:t> </w:t>
      </w:r>
      <w:r>
        <w:rPr>
          <w:rFonts w:ascii="Times New Roman"/>
          <w:color w:val="74706E"/>
          <w:w w:val="105"/>
          <w:sz w:val="13"/>
        </w:rPr>
        <w:t>for</w:t>
      </w:r>
      <w:r>
        <w:rPr>
          <w:rFonts w:ascii="Times New Roman"/>
          <w:color w:val="74706E"/>
          <w:spacing w:val="-18"/>
          <w:w w:val="105"/>
          <w:sz w:val="13"/>
        </w:rPr>
        <w:t> </w:t>
      </w:r>
      <w:r>
        <w:rPr>
          <w:rFonts w:ascii="Times New Roman"/>
          <w:i/>
          <w:color w:val="74706E"/>
          <w:w w:val="105"/>
          <w:sz w:val="14"/>
        </w:rPr>
        <w:t>my</w:t>
      </w:r>
      <w:r>
        <w:rPr>
          <w:rFonts w:ascii="Times New Roman"/>
          <w:i/>
          <w:color w:val="74706E"/>
          <w:spacing w:val="-20"/>
          <w:w w:val="105"/>
          <w:sz w:val="14"/>
        </w:rPr>
        <w:t> </w:t>
      </w:r>
      <w:r>
        <w:rPr>
          <w:rFonts w:ascii="Times New Roman"/>
          <w:color w:val="74706E"/>
          <w:sz w:val="15"/>
        </w:rPr>
        <w:t>opinion,</w:t>
      </w:r>
      <w:r>
        <w:rPr>
          <w:rFonts w:ascii="Times New Roman"/>
          <w:sz w:val="15"/>
        </w:rPr>
      </w:r>
    </w:p>
    <w:p>
      <w:pPr>
        <w:spacing w:before="72"/>
        <w:ind w:left="1054" w:right="0" w:firstLine="0"/>
        <w:jc w:val="both"/>
        <w:rPr>
          <w:rFonts w:ascii="Times New Roman" w:hAnsi="Times New Roman" w:cs="Times New Roman" w:eastAsia="Times New Roman"/>
          <w:sz w:val="15"/>
          <w:szCs w:val="15"/>
        </w:rPr>
      </w:pPr>
      <w:r>
        <w:rPr>
          <w:rFonts w:ascii="Times New Roman"/>
          <w:color w:val="4D4B4B"/>
          <w:sz w:val="15"/>
        </w:rPr>
        <w:t>OtMr</w:t>
      </w:r>
      <w:r>
        <w:rPr>
          <w:rFonts w:ascii="Times New Roman"/>
          <w:color w:val="4D4B4B"/>
          <w:spacing w:val="19"/>
          <w:sz w:val="15"/>
        </w:rPr>
        <w:t> </w:t>
      </w:r>
      <w:r>
        <w:rPr>
          <w:rFonts w:ascii="Times New Roman"/>
          <w:color w:val="5D5B59"/>
          <w:sz w:val="15"/>
        </w:rPr>
        <w:t>Informatio</w:t>
      </w:r>
      <w:r>
        <w:rPr>
          <w:rFonts w:ascii="Times New Roman"/>
          <w:color w:val="3A3838"/>
          <w:sz w:val="15"/>
        </w:rPr>
        <w:t>n</w:t>
      </w:r>
      <w:r>
        <w:rPr>
          <w:rFonts w:ascii="Times New Roman"/>
          <w:sz w:val="15"/>
        </w:rPr>
      </w:r>
    </w:p>
    <w:p>
      <w:pPr>
        <w:spacing w:line="158" w:lineRule="exact" w:before="85"/>
        <w:ind w:left="1054" w:right="1154" w:firstLine="0"/>
        <w:jc w:val="both"/>
        <w:rPr>
          <w:rFonts w:ascii="Arial" w:hAnsi="Arial" w:cs="Arial" w:eastAsia="Arial"/>
          <w:sz w:val="13"/>
          <w:szCs w:val="13"/>
        </w:rPr>
      </w:pPr>
      <w:r>
        <w:rPr>
          <w:rFonts w:ascii="Times New Roman" w:hAnsi="Times New Roman" w:cs="Times New Roman" w:eastAsia="Times New Roman"/>
          <w:color w:val="5D5B59"/>
          <w:w w:val="110"/>
          <w:sz w:val="14"/>
          <w:szCs w:val="14"/>
        </w:rPr>
        <w:t>l</w:t>
      </w:r>
      <w:r>
        <w:rPr>
          <w:rFonts w:ascii="Times New Roman" w:hAnsi="Times New Roman" w:cs="Times New Roman" w:eastAsia="Times New Roman"/>
          <w:color w:val="5D5B59"/>
          <w:spacing w:val="-5"/>
          <w:w w:val="110"/>
          <w:sz w:val="14"/>
          <w:szCs w:val="14"/>
        </w:rPr>
        <w:t>h</w:t>
      </w:r>
      <w:r>
        <w:rPr>
          <w:rFonts w:ascii="Times New Roman" w:hAnsi="Times New Roman" w:cs="Times New Roman" w:eastAsia="Times New Roman"/>
          <w:color w:val="878282"/>
          <w:w w:val="110"/>
          <w:sz w:val="14"/>
          <w:szCs w:val="14"/>
        </w:rPr>
        <w:t>t</w:t>
      </w:r>
      <w:r>
        <w:rPr>
          <w:rFonts w:ascii="Times New Roman" w:hAnsi="Times New Roman" w:cs="Times New Roman" w:eastAsia="Times New Roman"/>
          <w:color w:val="878282"/>
          <w:spacing w:val="6"/>
          <w:w w:val="110"/>
          <w:sz w:val="14"/>
          <w:szCs w:val="14"/>
        </w:rPr>
        <w:t> </w:t>
      </w:r>
      <w:r>
        <w:rPr>
          <w:rFonts w:ascii="Times New Roman" w:hAnsi="Times New Roman" w:cs="Times New Roman" w:eastAsia="Times New Roman"/>
          <w:color w:val="74706E"/>
          <w:w w:val="105"/>
          <w:sz w:val="14"/>
          <w:szCs w:val="14"/>
        </w:rPr>
        <w:t>d</w:t>
      </w:r>
      <w:r>
        <w:rPr>
          <w:rFonts w:ascii="Times New Roman" w:hAnsi="Times New Roman" w:cs="Times New Roman" w:eastAsia="Times New Roman"/>
          <w:color w:val="74706E"/>
          <w:spacing w:val="-20"/>
          <w:w w:val="105"/>
          <w:sz w:val="14"/>
          <w:szCs w:val="14"/>
        </w:rPr>
        <w:t>!</w:t>
      </w:r>
      <w:r>
        <w:rPr>
          <w:rFonts w:ascii="Times New Roman" w:hAnsi="Times New Roman" w:cs="Times New Roman" w:eastAsia="Times New Roman"/>
          <w:color w:val="74706E"/>
          <w:w w:val="105"/>
          <w:sz w:val="14"/>
          <w:szCs w:val="14"/>
        </w:rPr>
        <w:t>,.</w:t>
      </w:r>
      <w:r>
        <w:rPr>
          <w:rFonts w:ascii="Times New Roman" w:hAnsi="Times New Roman" w:cs="Times New Roman" w:eastAsia="Times New Roman"/>
          <w:color w:val="74706E"/>
          <w:spacing w:val="-18"/>
          <w:w w:val="105"/>
          <w:sz w:val="14"/>
          <w:szCs w:val="14"/>
        </w:rPr>
        <w:t>.</w:t>
      </w:r>
      <w:r>
        <w:rPr>
          <w:rFonts w:ascii="Times New Roman" w:hAnsi="Times New Roman" w:cs="Times New Roman" w:eastAsia="Times New Roman"/>
          <w:color w:val="74706E"/>
          <w:w w:val="105"/>
          <w:sz w:val="14"/>
          <w:szCs w:val="14"/>
        </w:rPr>
        <w:t>torS</w:t>
      </w:r>
      <w:r>
        <w:rPr>
          <w:rFonts w:ascii="Times New Roman" w:hAnsi="Times New Roman" w:cs="Times New Roman" w:eastAsia="Times New Roman"/>
          <w:color w:val="74706E"/>
          <w:spacing w:val="5"/>
          <w:w w:val="105"/>
          <w:sz w:val="14"/>
          <w:szCs w:val="14"/>
        </w:rPr>
        <w:t> </w:t>
      </w:r>
      <w:r>
        <w:rPr>
          <w:rFonts w:ascii="Times New Roman" w:hAnsi="Times New Roman" w:cs="Times New Roman" w:eastAsia="Times New Roman"/>
          <w:color w:val="74706E"/>
          <w:w w:val="105"/>
          <w:sz w:val="14"/>
          <w:szCs w:val="14"/>
        </w:rPr>
        <w:t>Mt</w:t>
      </w:r>
      <w:r>
        <w:rPr>
          <w:rFonts w:ascii="Times New Roman" w:hAnsi="Times New Roman" w:cs="Times New Roman" w:eastAsia="Times New Roman"/>
          <w:color w:val="74706E"/>
          <w:spacing w:val="-6"/>
          <w:w w:val="105"/>
          <w:sz w:val="14"/>
          <w:szCs w:val="14"/>
        </w:rPr>
        <w:t> </w:t>
      </w:r>
      <w:r>
        <w:rPr>
          <w:rFonts w:ascii="Times New Roman" w:hAnsi="Times New Roman" w:cs="Times New Roman" w:eastAsia="Times New Roman"/>
          <w:color w:val="878282"/>
          <w:w w:val="105"/>
          <w:sz w:val="14"/>
          <w:szCs w:val="14"/>
        </w:rPr>
        <w:t>tnpolUl&gt;lt</w:t>
      </w:r>
      <w:r>
        <w:rPr>
          <w:rFonts w:ascii="Times New Roman" w:hAnsi="Times New Roman" w:cs="Times New Roman" w:eastAsia="Times New Roman"/>
          <w:color w:val="878282"/>
          <w:spacing w:val="19"/>
          <w:w w:val="105"/>
          <w:sz w:val="14"/>
          <w:szCs w:val="14"/>
        </w:rPr>
        <w:t> </w:t>
      </w:r>
      <w:r>
        <w:rPr>
          <w:rFonts w:ascii="Times New Roman" w:hAnsi="Times New Roman" w:cs="Times New Roman" w:eastAsia="Times New Roman"/>
          <w:color w:val="74706E"/>
          <w:w w:val="105"/>
          <w:sz w:val="13"/>
          <w:szCs w:val="13"/>
        </w:rPr>
        <w:t>fOf</w:t>
      </w:r>
      <w:r>
        <w:rPr>
          <w:rFonts w:ascii="Times New Roman" w:hAnsi="Times New Roman" w:cs="Times New Roman" w:eastAsia="Times New Roman"/>
          <w:color w:val="74706E"/>
          <w:spacing w:val="23"/>
          <w:w w:val="105"/>
          <w:sz w:val="13"/>
          <w:szCs w:val="13"/>
        </w:rPr>
        <w:t> </w:t>
      </w:r>
      <w:r>
        <w:rPr>
          <w:rFonts w:ascii="Times New Roman" w:hAnsi="Times New Roman" w:cs="Times New Roman" w:eastAsia="Times New Roman"/>
          <w:color w:val="74706E"/>
          <w:w w:val="105"/>
          <w:sz w:val="14"/>
          <w:szCs w:val="14"/>
        </w:rPr>
        <w:t>tht</w:t>
      </w:r>
      <w:r>
        <w:rPr>
          <w:rFonts w:ascii="Times New Roman" w:hAnsi="Times New Roman" w:cs="Times New Roman" w:eastAsia="Times New Roman"/>
          <w:color w:val="74706E"/>
          <w:spacing w:val="-4"/>
          <w:w w:val="105"/>
          <w:sz w:val="14"/>
          <w:szCs w:val="14"/>
        </w:rPr>
        <w:t> </w:t>
      </w:r>
      <w:r>
        <w:rPr>
          <w:rFonts w:ascii="Times New Roman" w:hAnsi="Times New Roman" w:cs="Times New Roman" w:eastAsia="Times New Roman"/>
          <w:color w:val="74706E"/>
          <w:w w:val="105"/>
          <w:sz w:val="14"/>
          <w:szCs w:val="14"/>
        </w:rPr>
        <w:t>«her</w:t>
      </w:r>
      <w:r>
        <w:rPr>
          <w:rFonts w:ascii="Times New Roman" w:hAnsi="Times New Roman" w:cs="Times New Roman" w:eastAsia="Times New Roman"/>
          <w:color w:val="74706E"/>
          <w:spacing w:val="-6"/>
          <w:w w:val="105"/>
          <w:sz w:val="14"/>
          <w:szCs w:val="14"/>
        </w:rPr>
        <w:t> </w:t>
      </w:r>
      <w:r>
        <w:rPr>
          <w:rFonts w:ascii="Times New Roman" w:hAnsi="Times New Roman" w:cs="Times New Roman" w:eastAsia="Times New Roman"/>
          <w:color w:val="878282"/>
          <w:w w:val="105"/>
          <w:sz w:val="14"/>
          <w:szCs w:val="14"/>
        </w:rPr>
        <w:t>inform•tion.</w:t>
      </w:r>
      <w:r>
        <w:rPr>
          <w:rFonts w:ascii="Times New Roman" w:hAnsi="Times New Roman" w:cs="Times New Roman" w:eastAsia="Times New Roman"/>
          <w:color w:val="878282"/>
          <w:spacing w:val="11"/>
          <w:w w:val="105"/>
          <w:sz w:val="14"/>
          <w:szCs w:val="14"/>
        </w:rPr>
        <w:t> </w:t>
      </w:r>
      <w:r>
        <w:rPr>
          <w:rFonts w:ascii="Times New Roman" w:hAnsi="Times New Roman" w:cs="Times New Roman" w:eastAsia="Times New Roman"/>
          <w:color w:val="74706E"/>
          <w:w w:val="105"/>
          <w:sz w:val="14"/>
          <w:szCs w:val="14"/>
        </w:rPr>
        <w:t>The</w:t>
      </w:r>
      <w:r>
        <w:rPr>
          <w:rFonts w:ascii="Times New Roman" w:hAnsi="Times New Roman" w:cs="Times New Roman" w:eastAsia="Times New Roman"/>
          <w:color w:val="74706E"/>
          <w:spacing w:val="6"/>
          <w:w w:val="105"/>
          <w:sz w:val="14"/>
          <w:szCs w:val="14"/>
        </w:rPr>
        <w:t> </w:t>
      </w:r>
      <w:r>
        <w:rPr>
          <w:rFonts w:ascii="Times New Roman" w:hAnsi="Times New Roman" w:cs="Times New Roman" w:eastAsia="Times New Roman"/>
          <w:color w:val="74706E"/>
          <w:w w:val="105"/>
          <w:sz w:val="14"/>
          <w:szCs w:val="14"/>
        </w:rPr>
        <w:t>ochtr</w:t>
      </w:r>
      <w:r>
        <w:rPr>
          <w:rFonts w:ascii="Times New Roman" w:hAnsi="Times New Roman" w:cs="Times New Roman" w:eastAsia="Times New Roman"/>
          <w:color w:val="74706E"/>
          <w:spacing w:val="-5"/>
          <w:w w:val="105"/>
          <w:sz w:val="14"/>
          <w:szCs w:val="14"/>
        </w:rPr>
        <w:t> </w:t>
      </w:r>
      <w:r>
        <w:rPr>
          <w:rFonts w:ascii="Times New Roman" w:hAnsi="Times New Roman" w:cs="Times New Roman" w:eastAsia="Times New Roman"/>
          <w:color w:val="74706E"/>
          <w:w w:val="105"/>
          <w:sz w:val="14"/>
          <w:szCs w:val="14"/>
        </w:rPr>
        <w:t>Wormatic&gt;n</w:t>
      </w:r>
      <w:r>
        <w:rPr>
          <w:rFonts w:ascii="Times New Roman" w:hAnsi="Times New Roman" w:cs="Times New Roman" w:eastAsia="Times New Roman"/>
          <w:color w:val="74706E"/>
          <w:spacing w:val="5"/>
          <w:w w:val="105"/>
          <w:sz w:val="14"/>
          <w:szCs w:val="14"/>
        </w:rPr>
        <w:t> </w:t>
      </w:r>
      <w:r>
        <w:rPr>
          <w:rFonts w:ascii="Times New Roman" w:hAnsi="Times New Roman" w:cs="Times New Roman" w:eastAsia="Times New Roman"/>
          <w:color w:val="74706E"/>
          <w:w w:val="105"/>
          <w:sz w:val="14"/>
          <w:szCs w:val="14"/>
        </w:rPr>
        <w:t>obtained</w:t>
      </w:r>
      <w:r>
        <w:rPr>
          <w:rFonts w:ascii="Times New Roman" w:hAnsi="Times New Roman" w:cs="Times New Roman" w:eastAsia="Times New Roman"/>
          <w:color w:val="74706E"/>
          <w:spacing w:val="12"/>
          <w:w w:val="105"/>
          <w:sz w:val="14"/>
          <w:szCs w:val="14"/>
        </w:rPr>
        <w:t> </w:t>
      </w:r>
      <w:r>
        <w:rPr>
          <w:rFonts w:ascii="Times New Roman" w:hAnsi="Times New Roman" w:cs="Times New Roman" w:eastAsia="Times New Roman"/>
          <w:color w:val="74706E"/>
          <w:w w:val="105"/>
          <w:sz w:val="14"/>
          <w:szCs w:val="14"/>
        </w:rPr>
        <w:t>at</w:t>
      </w:r>
      <w:r>
        <w:rPr>
          <w:rFonts w:ascii="Times New Roman" w:hAnsi="Times New Roman" w:cs="Times New Roman" w:eastAsia="Times New Roman"/>
          <w:color w:val="74706E"/>
          <w:spacing w:val="-10"/>
          <w:w w:val="105"/>
          <w:sz w:val="14"/>
          <w:szCs w:val="14"/>
        </w:rPr>
        <w:t> </w:t>
      </w:r>
      <w:r>
        <w:rPr>
          <w:rFonts w:ascii="Arial" w:hAnsi="Arial" w:cs="Arial" w:eastAsia="Arial"/>
          <w:color w:val="74706E"/>
          <w:w w:val="110"/>
          <w:sz w:val="14"/>
          <w:szCs w:val="14"/>
        </w:rPr>
        <w:t>tht</w:t>
      </w:r>
      <w:r>
        <w:rPr>
          <w:rFonts w:ascii="Arial" w:hAnsi="Arial" w:cs="Arial" w:eastAsia="Arial"/>
          <w:color w:val="74706E"/>
          <w:spacing w:val="-15"/>
          <w:w w:val="110"/>
          <w:sz w:val="14"/>
          <w:szCs w:val="14"/>
        </w:rPr>
        <w:t> </w:t>
      </w:r>
      <w:r>
        <w:rPr>
          <w:rFonts w:ascii="Times New Roman" w:hAnsi="Times New Roman" w:cs="Times New Roman" w:eastAsia="Times New Roman"/>
          <w:color w:val="74706E"/>
          <w:w w:val="105"/>
          <w:sz w:val="14"/>
          <w:szCs w:val="14"/>
        </w:rPr>
        <w:t>datt</w:t>
      </w:r>
      <w:r>
        <w:rPr>
          <w:rFonts w:ascii="Times New Roman" w:hAnsi="Times New Roman" w:cs="Times New Roman" w:eastAsia="Times New Roman"/>
          <w:color w:val="74706E"/>
          <w:spacing w:val="-6"/>
          <w:w w:val="105"/>
          <w:sz w:val="14"/>
          <w:szCs w:val="14"/>
        </w:rPr>
        <w:t> </w:t>
      </w:r>
      <w:r>
        <w:rPr>
          <w:rFonts w:ascii="Arial" w:hAnsi="Arial" w:cs="Arial" w:eastAsia="Arial"/>
          <w:color w:val="74706E"/>
          <w:w w:val="105"/>
          <w:sz w:val="14"/>
          <w:szCs w:val="14"/>
        </w:rPr>
        <w:t>of</w:t>
      </w:r>
      <w:r>
        <w:rPr>
          <w:rFonts w:ascii="Arial" w:hAnsi="Arial" w:cs="Arial" w:eastAsia="Arial"/>
          <w:color w:val="74706E"/>
          <w:spacing w:val="7"/>
          <w:w w:val="105"/>
          <w:sz w:val="14"/>
          <w:szCs w:val="14"/>
        </w:rPr>
        <w:t> </w:t>
      </w:r>
      <w:r>
        <w:rPr>
          <w:rFonts w:ascii="Times New Roman" w:hAnsi="Times New Roman" w:cs="Times New Roman" w:eastAsia="Times New Roman"/>
          <w:color w:val="5D5B59"/>
          <w:w w:val="105"/>
          <w:sz w:val="14"/>
          <w:szCs w:val="14"/>
        </w:rPr>
        <w:t>tl'ils</w:t>
      </w:r>
      <w:r>
        <w:rPr>
          <w:rFonts w:ascii="Times New Roman" w:hAnsi="Times New Roman" w:cs="Times New Roman" w:eastAsia="Times New Roman"/>
          <w:color w:val="5D5B59"/>
          <w:w w:val="85"/>
          <w:sz w:val="14"/>
          <w:szCs w:val="14"/>
        </w:rPr>
        <w:t> </w:t>
      </w:r>
      <w:r>
        <w:rPr>
          <w:rFonts w:ascii="Times New Roman" w:hAnsi="Times New Roman" w:cs="Times New Roman" w:eastAsia="Times New Roman"/>
          <w:color w:val="74706E"/>
          <w:sz w:val="15"/>
          <w:szCs w:val="15"/>
        </w:rPr>
        <w:t>auditor's</w:t>
      </w:r>
      <w:r>
        <w:rPr>
          <w:rFonts w:ascii="Times New Roman" w:hAnsi="Times New Roman" w:cs="Times New Roman" w:eastAsia="Times New Roman"/>
          <w:color w:val="74706E"/>
          <w:spacing w:val="-13"/>
          <w:sz w:val="15"/>
          <w:szCs w:val="15"/>
        </w:rPr>
        <w:t> </w:t>
      </w:r>
      <w:r>
        <w:rPr>
          <w:rFonts w:ascii="Times New Roman" w:hAnsi="Times New Roman" w:cs="Times New Roman" w:eastAsia="Times New Roman"/>
          <w:color w:val="74706E"/>
          <w:sz w:val="15"/>
          <w:szCs w:val="15"/>
        </w:rPr>
        <w:t>rfJ)Ott</w:t>
      </w:r>
      <w:r>
        <w:rPr>
          <w:rFonts w:ascii="Times New Roman" w:hAnsi="Times New Roman" w:cs="Times New Roman" w:eastAsia="Times New Roman"/>
          <w:color w:val="74706E"/>
          <w:spacing w:val="-10"/>
          <w:sz w:val="15"/>
          <w:szCs w:val="15"/>
        </w:rPr>
        <w:t> </w:t>
      </w:r>
      <w:r>
        <w:rPr>
          <w:rFonts w:ascii="Times New Roman" w:hAnsi="Times New Roman" w:cs="Times New Roman" w:eastAsia="Times New Roman"/>
          <w:color w:val="878282"/>
          <w:sz w:val="15"/>
          <w:szCs w:val="15"/>
        </w:rPr>
        <w:t>Is</w:t>
      </w:r>
      <w:r>
        <w:rPr>
          <w:rFonts w:ascii="Times New Roman" w:hAnsi="Times New Roman" w:cs="Times New Roman" w:eastAsia="Times New Roman"/>
          <w:color w:val="878282"/>
          <w:spacing w:val="-16"/>
          <w:sz w:val="15"/>
          <w:szCs w:val="15"/>
        </w:rPr>
        <w:t> </w:t>
      </w:r>
      <w:r>
        <w:rPr>
          <w:rFonts w:ascii="Times New Roman" w:hAnsi="Times New Roman" w:cs="Times New Roman" w:eastAsia="Times New Roman"/>
          <w:color w:val="5D5B59"/>
          <w:sz w:val="15"/>
          <w:szCs w:val="15"/>
        </w:rPr>
        <w:t>the</w:t>
      </w:r>
      <w:r>
        <w:rPr>
          <w:rFonts w:ascii="Times New Roman" w:hAnsi="Times New Roman" w:cs="Times New Roman" w:eastAsia="Times New Roman"/>
          <w:color w:val="5D5B59"/>
          <w:spacing w:val="-14"/>
          <w:sz w:val="15"/>
          <w:szCs w:val="15"/>
        </w:rPr>
        <w:t> </w:t>
      </w:r>
      <w:r>
        <w:rPr>
          <w:rFonts w:ascii="Times New Roman" w:hAnsi="Times New Roman" w:cs="Times New Roman" w:eastAsia="Times New Roman"/>
          <w:color w:val="74706E"/>
          <w:sz w:val="15"/>
          <w:szCs w:val="15"/>
        </w:rPr>
        <w:t>dlrKtOf"s</w:t>
      </w:r>
      <w:r>
        <w:rPr>
          <w:rFonts w:ascii="Times New Roman" w:hAnsi="Times New Roman" w:cs="Times New Roman" w:eastAsia="Times New Roman"/>
          <w:color w:val="74706E"/>
          <w:spacing w:val="-12"/>
          <w:sz w:val="15"/>
          <w:szCs w:val="15"/>
        </w:rPr>
        <w:t> </w:t>
      </w:r>
      <w:r>
        <w:rPr>
          <w:rFonts w:ascii="Times New Roman" w:hAnsi="Times New Roman" w:cs="Times New Roman" w:eastAsia="Times New Roman"/>
          <w:color w:val="74706E"/>
          <w:sz w:val="15"/>
          <w:szCs w:val="15"/>
        </w:rPr>
        <w:t>repott</w:t>
      </w:r>
      <w:r>
        <w:rPr>
          <w:rFonts w:ascii="Times New Roman" w:hAnsi="Times New Roman" w:cs="Times New Roman" w:eastAsia="Times New Roman"/>
          <w:color w:val="74706E"/>
          <w:spacing w:val="-17"/>
          <w:sz w:val="15"/>
          <w:szCs w:val="15"/>
        </w:rPr>
        <w:t> </w:t>
      </w:r>
      <w:r>
        <w:rPr>
          <w:rFonts w:ascii="Times New Roman" w:hAnsi="Times New Roman" w:cs="Times New Roman" w:eastAsia="Times New Roman"/>
          <w:color w:val="74706E"/>
          <w:sz w:val="15"/>
          <w:szCs w:val="15"/>
        </w:rPr>
        <w:t>for</w:t>
      </w:r>
      <w:r>
        <w:rPr>
          <w:rFonts w:ascii="Times New Roman" w:hAnsi="Times New Roman" w:cs="Times New Roman" w:eastAsia="Times New Roman"/>
          <w:color w:val="74706E"/>
          <w:spacing w:val="-22"/>
          <w:sz w:val="15"/>
          <w:szCs w:val="15"/>
        </w:rPr>
        <w:t> </w:t>
      </w:r>
      <w:r>
        <w:rPr>
          <w:rFonts w:ascii="Arial" w:hAnsi="Arial" w:cs="Arial" w:eastAsia="Arial"/>
          <w:color w:val="74706E"/>
          <w:sz w:val="12"/>
          <w:szCs w:val="12"/>
        </w:rPr>
        <w:t>the</w:t>
      </w:r>
      <w:r>
        <w:rPr>
          <w:rFonts w:ascii="Arial" w:hAnsi="Arial" w:cs="Arial" w:eastAsia="Arial"/>
          <w:color w:val="74706E"/>
          <w:spacing w:val="-11"/>
          <w:sz w:val="12"/>
          <w:szCs w:val="12"/>
        </w:rPr>
        <w:t> </w:t>
      </w:r>
      <w:r>
        <w:rPr>
          <w:rFonts w:ascii="Times New Roman" w:hAnsi="Times New Roman" w:cs="Times New Roman" w:eastAsia="Times New Roman"/>
          <w:color w:val="74706E"/>
          <w:sz w:val="15"/>
          <w:szCs w:val="15"/>
        </w:rPr>
        <w:t>year</w:t>
      </w:r>
      <w:r>
        <w:rPr>
          <w:rFonts w:ascii="Times New Roman" w:hAnsi="Times New Roman" w:cs="Times New Roman" w:eastAsia="Times New Roman"/>
          <w:color w:val="74706E"/>
          <w:spacing w:val="-10"/>
          <w:sz w:val="15"/>
          <w:szCs w:val="15"/>
        </w:rPr>
        <w:t> </w:t>
      </w:r>
      <w:r>
        <w:rPr>
          <w:rFonts w:ascii="Arial" w:hAnsi="Arial" w:cs="Arial" w:eastAsia="Arial"/>
          <w:color w:val="74706E"/>
          <w:sz w:val="13"/>
          <w:szCs w:val="13"/>
        </w:rPr>
        <w:t>ended</w:t>
      </w:r>
      <w:r>
        <w:rPr>
          <w:rFonts w:ascii="Arial" w:hAnsi="Arial" w:cs="Arial" w:eastAsia="Arial"/>
          <w:color w:val="74706E"/>
          <w:spacing w:val="-8"/>
          <w:sz w:val="13"/>
          <w:szCs w:val="13"/>
        </w:rPr>
        <w:t> </w:t>
      </w:r>
      <w:r>
        <w:rPr>
          <w:rFonts w:ascii="Arial" w:hAnsi="Arial" w:cs="Arial" w:eastAsia="Arial"/>
          <w:color w:val="74706E"/>
          <w:sz w:val="13"/>
          <w:szCs w:val="13"/>
        </w:rPr>
        <w:t>)()</w:t>
      </w:r>
      <w:r>
        <w:rPr>
          <w:rFonts w:ascii="Arial" w:hAnsi="Arial" w:cs="Arial" w:eastAsia="Arial"/>
          <w:color w:val="74706E"/>
          <w:spacing w:val="-18"/>
          <w:sz w:val="13"/>
          <w:szCs w:val="13"/>
        </w:rPr>
        <w:t> </w:t>
      </w:r>
      <w:r>
        <w:rPr>
          <w:rFonts w:ascii="Times New Roman" w:hAnsi="Times New Roman" w:cs="Times New Roman" w:eastAsia="Times New Roman"/>
          <w:color w:val="74706E"/>
          <w:sz w:val="15"/>
          <w:szCs w:val="15"/>
        </w:rPr>
        <w:t>Jurw</w:t>
      </w:r>
      <w:r>
        <w:rPr>
          <w:rFonts w:ascii="Times New Roman" w:hAnsi="Times New Roman" w:cs="Times New Roman" w:eastAsia="Times New Roman"/>
          <w:color w:val="74706E"/>
          <w:spacing w:val="-11"/>
          <w:sz w:val="15"/>
          <w:szCs w:val="15"/>
        </w:rPr>
        <w:t> </w:t>
      </w:r>
      <w:r>
        <w:rPr>
          <w:rFonts w:ascii="Times New Roman" w:hAnsi="Times New Roman" w:cs="Times New Roman" w:eastAsia="Times New Roman"/>
          <w:color w:val="74706E"/>
          <w:spacing w:val="-5"/>
          <w:sz w:val="13"/>
          <w:szCs w:val="13"/>
        </w:rPr>
        <w:t>201</w:t>
      </w:r>
      <w:r>
        <w:rPr>
          <w:rFonts w:ascii="Times New Roman" w:hAnsi="Times New Roman" w:cs="Times New Roman" w:eastAsia="Times New Roman"/>
          <w:color w:val="74706E"/>
          <w:spacing w:val="-4"/>
          <w:sz w:val="13"/>
          <w:szCs w:val="13"/>
        </w:rPr>
        <w:t>9</w:t>
      </w:r>
      <w:r>
        <w:rPr>
          <w:rFonts w:ascii="Times New Roman" w:hAnsi="Times New Roman" w:cs="Times New Roman" w:eastAsia="Times New Roman"/>
          <w:color w:val="74706E"/>
          <w:spacing w:val="-24"/>
          <w:sz w:val="13"/>
          <w:szCs w:val="13"/>
        </w:rPr>
        <w:t> </w:t>
      </w:r>
      <w:r>
        <w:rPr>
          <w:rFonts w:ascii="Times New Roman" w:hAnsi="Times New Roman" w:cs="Times New Roman" w:eastAsia="Times New Roman"/>
          <w:color w:val="74706E"/>
          <w:sz w:val="13"/>
          <w:szCs w:val="13"/>
        </w:rPr>
        <w:t>Wt</w:t>
      </w:r>
      <w:r>
        <w:rPr>
          <w:rFonts w:ascii="Times New Roman" w:hAnsi="Times New Roman" w:cs="Times New Roman" w:eastAsia="Times New Roman"/>
          <w:color w:val="74706E"/>
          <w:spacing w:val="-15"/>
          <w:sz w:val="13"/>
          <w:szCs w:val="13"/>
        </w:rPr>
        <w:t> </w:t>
      </w:r>
      <w:r>
        <w:rPr>
          <w:rFonts w:ascii="Arial" w:hAnsi="Arial" w:cs="Arial" w:eastAsia="Arial"/>
          <w:color w:val="74706E"/>
          <w:sz w:val="13"/>
          <w:szCs w:val="13"/>
        </w:rPr>
        <w:t>does</w:t>
      </w:r>
      <w:r>
        <w:rPr>
          <w:rFonts w:ascii="Arial" w:hAnsi="Arial" w:cs="Arial" w:eastAsia="Arial"/>
          <w:color w:val="74706E"/>
          <w:spacing w:val="-13"/>
          <w:sz w:val="13"/>
          <w:szCs w:val="13"/>
        </w:rPr>
        <w:t> </w:t>
      </w:r>
      <w:r>
        <w:rPr>
          <w:rFonts w:ascii="Arial" w:hAnsi="Arial" w:cs="Arial" w:eastAsia="Arial"/>
          <w:color w:val="74706E"/>
          <w:sz w:val="12"/>
          <w:szCs w:val="12"/>
        </w:rPr>
        <w:t>not</w:t>
      </w:r>
      <w:r>
        <w:rPr>
          <w:rFonts w:ascii="Arial" w:hAnsi="Arial" w:cs="Arial" w:eastAsia="Arial"/>
          <w:color w:val="74706E"/>
          <w:spacing w:val="-13"/>
          <w:sz w:val="12"/>
          <w:szCs w:val="12"/>
        </w:rPr>
        <w:t> </w:t>
      </w:r>
      <w:r>
        <w:rPr>
          <w:rFonts w:ascii="Times New Roman" w:hAnsi="Times New Roman" w:cs="Times New Roman" w:eastAsia="Times New Roman"/>
          <w:color w:val="878282"/>
          <w:sz w:val="13"/>
          <w:szCs w:val="13"/>
        </w:rPr>
        <w:t>Include</w:t>
      </w:r>
      <w:r>
        <w:rPr>
          <w:rFonts w:ascii="Times New Roman" w:hAnsi="Times New Roman" w:cs="Times New Roman" w:eastAsia="Times New Roman"/>
          <w:color w:val="878282"/>
          <w:spacing w:val="-6"/>
          <w:sz w:val="13"/>
          <w:szCs w:val="13"/>
        </w:rPr>
        <w:t> </w:t>
      </w:r>
      <w:r>
        <w:rPr>
          <w:rFonts w:ascii="Times New Roman" w:hAnsi="Times New Roman" w:cs="Times New Roman" w:eastAsia="Times New Roman"/>
          <w:color w:val="5D5B59"/>
          <w:sz w:val="15"/>
          <w:szCs w:val="15"/>
        </w:rPr>
        <w:t>the</w:t>
      </w:r>
      <w:r>
        <w:rPr>
          <w:rFonts w:ascii="Times New Roman" w:hAnsi="Times New Roman" w:cs="Times New Roman" w:eastAsia="Times New Roman"/>
          <w:color w:val="5D5B59"/>
          <w:spacing w:val="-15"/>
          <w:sz w:val="15"/>
          <w:szCs w:val="15"/>
        </w:rPr>
        <w:t> </w:t>
      </w:r>
      <w:r>
        <w:rPr>
          <w:rFonts w:ascii="Times New Roman" w:hAnsi="Times New Roman" w:cs="Times New Roman" w:eastAsia="Times New Roman"/>
          <w:color w:val="74706E"/>
          <w:sz w:val="15"/>
          <w:szCs w:val="15"/>
        </w:rPr>
        <w:t>f1Bar1Clal</w:t>
      </w:r>
      <w:r>
        <w:rPr>
          <w:rFonts w:ascii="Times New Roman" w:hAnsi="Times New Roman" w:cs="Times New Roman" w:eastAsia="Times New Roman"/>
          <w:color w:val="74706E"/>
          <w:spacing w:val="23"/>
          <w:w w:val="67"/>
          <w:sz w:val="15"/>
          <w:szCs w:val="15"/>
        </w:rPr>
        <w:t> </w:t>
      </w:r>
      <w:r>
        <w:rPr>
          <w:rFonts w:ascii="Arial" w:hAnsi="Arial" w:cs="Arial" w:eastAsia="Arial"/>
          <w:color w:val="74706E"/>
          <w:w w:val="105"/>
          <w:sz w:val="13"/>
          <w:szCs w:val="13"/>
        </w:rPr>
        <w:t>st.atM</w:t>
      </w:r>
      <w:r>
        <w:rPr>
          <w:rFonts w:ascii="Arial" w:hAnsi="Arial" w:cs="Arial" w:eastAsia="Arial"/>
          <w:color w:val="74706E"/>
          <w:spacing w:val="-19"/>
          <w:w w:val="105"/>
          <w:sz w:val="13"/>
          <w:szCs w:val="13"/>
        </w:rPr>
        <w:t>i</w:t>
      </w:r>
      <w:r>
        <w:rPr>
          <w:rFonts w:ascii="Arial" w:hAnsi="Arial" w:cs="Arial" w:eastAsia="Arial"/>
          <w:color w:val="74706E"/>
          <w:w w:val="105"/>
          <w:sz w:val="13"/>
          <w:szCs w:val="13"/>
        </w:rPr>
        <w:t>e</w:t>
      </w:r>
      <w:r>
        <w:rPr>
          <w:rFonts w:ascii="Arial" w:hAnsi="Arial" w:cs="Arial" w:eastAsia="Arial"/>
          <w:color w:val="74706E"/>
          <w:spacing w:val="-13"/>
          <w:w w:val="105"/>
          <w:sz w:val="13"/>
          <w:szCs w:val="13"/>
        </w:rPr>
        <w:t>n</w:t>
      </w:r>
      <w:r>
        <w:rPr>
          <w:rFonts w:ascii="Times New Roman" w:hAnsi="Times New Roman" w:cs="Times New Roman" w:eastAsia="Times New Roman"/>
          <w:color w:val="5D5B59"/>
          <w:w w:val="105"/>
          <w:sz w:val="14"/>
          <w:szCs w:val="14"/>
        </w:rPr>
        <w:t>t</w:t>
      </w:r>
      <w:r>
        <w:rPr>
          <w:rFonts w:ascii="Times New Roman" w:hAnsi="Times New Roman" w:cs="Times New Roman" w:eastAsia="Times New Roman"/>
          <w:color w:val="5D5B59"/>
          <w:spacing w:val="7"/>
          <w:w w:val="105"/>
          <w:sz w:val="14"/>
          <w:szCs w:val="14"/>
        </w:rPr>
        <w:t>s</w:t>
      </w:r>
      <w:r>
        <w:rPr>
          <w:rFonts w:ascii="Arial" w:hAnsi="Arial" w:cs="Arial" w:eastAsia="Arial"/>
          <w:color w:val="74706E"/>
          <w:w w:val="105"/>
          <w:sz w:val="13"/>
          <w:szCs w:val="13"/>
        </w:rPr>
        <w:t>and</w:t>
      </w:r>
      <w:r>
        <w:rPr>
          <w:rFonts w:ascii="Arial" w:hAnsi="Arial" w:cs="Arial" w:eastAsia="Arial"/>
          <w:color w:val="74706E"/>
          <w:spacing w:val="1"/>
          <w:w w:val="105"/>
          <w:sz w:val="13"/>
          <w:szCs w:val="13"/>
        </w:rPr>
        <w:t> </w:t>
      </w:r>
      <w:r>
        <w:rPr>
          <w:rFonts w:ascii="Arial" w:hAnsi="Arial" w:cs="Arial" w:eastAsia="Arial"/>
          <w:color w:val="74706E"/>
          <w:w w:val="105"/>
          <w:sz w:val="13"/>
          <w:szCs w:val="13"/>
        </w:rPr>
        <w:t>m</w:t>
      </w:r>
      <w:r>
        <w:rPr>
          <w:rFonts w:ascii="Arial" w:hAnsi="Arial" w:cs="Arial" w:eastAsia="Arial"/>
          <w:color w:val="74706E"/>
          <w:spacing w:val="6"/>
          <w:w w:val="105"/>
          <w:sz w:val="13"/>
          <w:szCs w:val="13"/>
        </w:rPr>
        <w:t>v</w:t>
      </w:r>
      <w:r>
        <w:rPr>
          <w:rFonts w:ascii="Arial" w:hAnsi="Arial" w:cs="Arial" w:eastAsia="Arial"/>
          <w:color w:val="74706E"/>
          <w:w w:val="105"/>
          <w:sz w:val="13"/>
          <w:szCs w:val="13"/>
        </w:rPr>
        <w:t>auditor'</w:t>
      </w:r>
      <w:r>
        <w:rPr>
          <w:rFonts w:ascii="Arial" w:hAnsi="Arial" w:cs="Arial" w:eastAsia="Arial"/>
          <w:color w:val="74706E"/>
          <w:spacing w:val="11"/>
          <w:w w:val="105"/>
          <w:sz w:val="13"/>
          <w:szCs w:val="13"/>
        </w:rPr>
        <w:t>s</w:t>
      </w:r>
      <w:r>
        <w:rPr>
          <w:rFonts w:ascii="Arial" w:hAnsi="Arial" w:cs="Arial" w:eastAsia="Arial"/>
          <w:color w:val="74706E"/>
          <w:w w:val="105"/>
          <w:sz w:val="13"/>
          <w:szCs w:val="13"/>
        </w:rPr>
        <w:t>repor</w:t>
      </w:r>
      <w:r>
        <w:rPr>
          <w:rFonts w:ascii="Arial" w:hAnsi="Arial" w:cs="Arial" w:eastAsia="Arial"/>
          <w:color w:val="74706E"/>
          <w:spacing w:val="10"/>
          <w:w w:val="105"/>
          <w:sz w:val="13"/>
          <w:szCs w:val="13"/>
        </w:rPr>
        <w:t>t</w:t>
      </w:r>
      <w:r>
        <w:rPr>
          <w:rFonts w:ascii="Arial" w:hAnsi="Arial" w:cs="Arial" w:eastAsia="Arial"/>
          <w:color w:val="74706E"/>
          <w:w w:val="105"/>
          <w:sz w:val="13"/>
          <w:szCs w:val="13"/>
        </w:rPr>
        <w:t>ttiereo</w:t>
      </w:r>
      <w:r>
        <w:rPr>
          <w:rFonts w:ascii="Arial" w:hAnsi="Arial" w:cs="Arial" w:eastAsia="Arial"/>
          <w:color w:val="74706E"/>
          <w:spacing w:val="-6"/>
          <w:w w:val="105"/>
          <w:sz w:val="13"/>
          <w:szCs w:val="13"/>
        </w:rPr>
        <w:t>n</w:t>
      </w:r>
      <w:r>
        <w:rPr>
          <w:rFonts w:ascii="Arial" w:hAnsi="Arial" w:cs="Arial" w:eastAsia="Arial"/>
          <w:color w:val="74706E"/>
          <w:w w:val="105"/>
          <w:sz w:val="13"/>
          <w:szCs w:val="13"/>
        </w:rPr>
        <w:t>,</w:t>
      </w:r>
      <w:r>
        <w:rPr>
          <w:rFonts w:ascii="Arial" w:hAnsi="Arial" w:cs="Arial" w:eastAsia="Arial"/>
          <w:sz w:val="13"/>
          <w:szCs w:val="13"/>
        </w:rPr>
      </w:r>
    </w:p>
    <w:p>
      <w:pPr>
        <w:spacing w:line="276" w:lineRule="exact" w:before="0"/>
        <w:ind w:left="1054" w:right="0" w:firstLine="0"/>
        <w:jc w:val="both"/>
        <w:rPr>
          <w:rFonts w:ascii="Arial" w:hAnsi="Arial" w:cs="Arial" w:eastAsia="Arial"/>
          <w:sz w:val="13"/>
          <w:szCs w:val="13"/>
        </w:rPr>
      </w:pPr>
      <w:r>
        <w:rPr>
          <w:rFonts w:ascii="Arial" w:hAnsi="Arial" w:cs="Arial" w:eastAsia="Arial"/>
          <w:color w:val="74706E"/>
          <w:w w:val="120"/>
          <w:sz w:val="12"/>
          <w:szCs w:val="12"/>
        </w:rPr>
        <w:t>My</w:t>
      </w:r>
      <w:r>
        <w:rPr>
          <w:rFonts w:ascii="Arial" w:hAnsi="Arial" w:cs="Arial" w:eastAsia="Arial"/>
          <w:color w:val="74706E"/>
          <w:spacing w:val="-29"/>
          <w:w w:val="120"/>
          <w:sz w:val="12"/>
          <w:szCs w:val="12"/>
        </w:rPr>
        <w:t> </w:t>
      </w:r>
      <w:r>
        <w:rPr>
          <w:rFonts w:ascii="Times New Roman" w:hAnsi="Times New Roman" w:cs="Times New Roman" w:eastAsia="Times New Roman"/>
          <w:color w:val="74706E"/>
          <w:w w:val="120"/>
          <w:sz w:val="13"/>
          <w:szCs w:val="13"/>
        </w:rPr>
        <w:t>opinion</w:t>
      </w:r>
      <w:r>
        <w:rPr>
          <w:rFonts w:ascii="Times New Roman" w:hAnsi="Times New Roman" w:cs="Times New Roman" w:eastAsia="Times New Roman"/>
          <w:color w:val="74706E"/>
          <w:spacing w:val="-23"/>
          <w:w w:val="120"/>
          <w:sz w:val="13"/>
          <w:szCs w:val="13"/>
        </w:rPr>
        <w:t> </w:t>
      </w:r>
      <w:r>
        <w:rPr>
          <w:rFonts w:ascii="Times New Roman" w:hAnsi="Times New Roman" w:cs="Times New Roman" w:eastAsia="Times New Roman"/>
          <w:color w:val="74706E"/>
          <w:w w:val="120"/>
          <w:sz w:val="11"/>
          <w:szCs w:val="11"/>
        </w:rPr>
        <w:t>Oft</w:t>
      </w:r>
      <w:r>
        <w:rPr>
          <w:rFonts w:ascii="Times New Roman" w:hAnsi="Times New Roman" w:cs="Times New Roman" w:eastAsia="Times New Roman"/>
          <w:color w:val="74706E"/>
          <w:spacing w:val="-18"/>
          <w:w w:val="120"/>
          <w:sz w:val="11"/>
          <w:szCs w:val="11"/>
        </w:rPr>
        <w:t> </w:t>
      </w:r>
      <w:r>
        <w:rPr>
          <w:rFonts w:ascii="Arial" w:hAnsi="Arial" w:cs="Arial" w:eastAsia="Arial"/>
          <w:color w:val="74706E"/>
          <w:w w:val="120"/>
          <w:sz w:val="12"/>
          <w:szCs w:val="12"/>
        </w:rPr>
        <w:t>the</w:t>
      </w:r>
      <w:r>
        <w:rPr>
          <w:rFonts w:ascii="Arial" w:hAnsi="Arial" w:cs="Arial" w:eastAsia="Arial"/>
          <w:color w:val="74706E"/>
          <w:spacing w:val="-26"/>
          <w:w w:val="120"/>
          <w:sz w:val="12"/>
          <w:szCs w:val="12"/>
        </w:rPr>
        <w:t> </w:t>
      </w:r>
      <w:r>
        <w:rPr>
          <w:rFonts w:ascii="Arial" w:hAnsi="Arial" w:cs="Arial" w:eastAsia="Arial"/>
          <w:color w:val="74706E"/>
          <w:w w:val="120"/>
          <w:sz w:val="12"/>
          <w:szCs w:val="12"/>
        </w:rPr>
        <w:t>flnandal</w:t>
      </w:r>
      <w:r>
        <w:rPr>
          <w:rFonts w:ascii="Arial" w:hAnsi="Arial" w:cs="Arial" w:eastAsia="Arial"/>
          <w:color w:val="74706E"/>
          <w:spacing w:val="-25"/>
          <w:w w:val="120"/>
          <w:sz w:val="12"/>
          <w:szCs w:val="12"/>
        </w:rPr>
        <w:t> </w:t>
      </w:r>
      <w:r>
        <w:rPr>
          <w:rFonts w:ascii="Times New Roman" w:hAnsi="Times New Roman" w:cs="Times New Roman" w:eastAsia="Times New Roman"/>
          <w:i/>
          <w:color w:val="74706E"/>
          <w:w w:val="120"/>
          <w:sz w:val="12"/>
          <w:szCs w:val="12"/>
        </w:rPr>
        <w:t>ttpOtt</w:t>
      </w:r>
      <w:r>
        <w:rPr>
          <w:rFonts w:ascii="Times New Roman" w:hAnsi="Times New Roman" w:cs="Times New Roman" w:eastAsia="Times New Roman"/>
          <w:i/>
          <w:color w:val="74706E"/>
          <w:spacing w:val="-19"/>
          <w:w w:val="120"/>
          <w:sz w:val="12"/>
          <w:szCs w:val="12"/>
        </w:rPr>
        <w:t> </w:t>
      </w:r>
      <w:r>
        <w:rPr>
          <w:rFonts w:ascii="Arial" w:hAnsi="Arial" w:cs="Arial" w:eastAsia="Arial"/>
          <w:color w:val="74706E"/>
          <w:w w:val="120"/>
          <w:sz w:val="12"/>
          <w:szCs w:val="12"/>
        </w:rPr>
        <w:t>does</w:t>
      </w:r>
      <w:r>
        <w:rPr>
          <w:rFonts w:ascii="Arial" w:hAnsi="Arial" w:cs="Arial" w:eastAsia="Arial"/>
          <w:color w:val="74706E"/>
          <w:spacing w:val="-26"/>
          <w:w w:val="120"/>
          <w:sz w:val="12"/>
          <w:szCs w:val="12"/>
        </w:rPr>
        <w:t> </w:t>
      </w:r>
      <w:r>
        <w:rPr>
          <w:rFonts w:ascii="Times New Roman" w:hAnsi="Times New Roman" w:cs="Times New Roman" w:eastAsia="Times New Roman"/>
          <w:color w:val="74706E"/>
          <w:w w:val="145"/>
          <w:sz w:val="28"/>
          <w:szCs w:val="28"/>
        </w:rPr>
        <w:t>"°</w:t>
      </w:r>
      <w:r>
        <w:rPr>
          <w:rFonts w:ascii="Times New Roman" w:hAnsi="Times New Roman" w:cs="Times New Roman" w:eastAsia="Times New Roman"/>
          <w:color w:val="74706E"/>
          <w:spacing w:val="21"/>
          <w:w w:val="145"/>
          <w:sz w:val="28"/>
          <w:szCs w:val="28"/>
        </w:rPr>
        <w:t>'</w:t>
      </w:r>
      <w:r>
        <w:rPr>
          <w:rFonts w:ascii="Arial" w:hAnsi="Arial" w:cs="Arial" w:eastAsia="Arial"/>
          <w:i/>
          <w:color w:val="74706E"/>
          <w:spacing w:val="-11"/>
          <w:w w:val="145"/>
          <w:sz w:val="13"/>
          <w:szCs w:val="13"/>
        </w:rPr>
        <w:t>c</w:t>
      </w:r>
      <w:r>
        <w:rPr>
          <w:rFonts w:ascii="Arial" w:hAnsi="Arial" w:cs="Arial" w:eastAsia="Arial"/>
          <w:i/>
          <w:color w:val="74706E"/>
          <w:w w:val="145"/>
          <w:sz w:val="13"/>
          <w:szCs w:val="13"/>
        </w:rPr>
        <w:t>r</w:t>
      </w:r>
      <w:r>
        <w:rPr>
          <w:rFonts w:ascii="Arial" w:hAnsi="Arial" w:cs="Arial" w:eastAsia="Arial"/>
          <w:i/>
          <w:color w:val="74706E"/>
          <w:spacing w:val="-32"/>
          <w:w w:val="145"/>
          <w:sz w:val="13"/>
          <w:szCs w:val="13"/>
        </w:rPr>
        <w:t> </w:t>
      </w:r>
      <w:r>
        <w:rPr>
          <w:rFonts w:ascii="Arial" w:hAnsi="Arial" w:cs="Arial" w:eastAsia="Arial"/>
          <w:color w:val="74706E"/>
          <w:w w:val="565"/>
          <w:sz w:val="12"/>
          <w:szCs w:val="12"/>
        </w:rPr>
        <w:t>t</w:t>
      </w:r>
      <w:r>
        <w:rPr>
          <w:rFonts w:ascii="Arial" w:hAnsi="Arial" w:cs="Arial" w:eastAsia="Arial"/>
          <w:color w:val="74706E"/>
          <w:spacing w:val="-178"/>
          <w:w w:val="565"/>
          <w:sz w:val="12"/>
          <w:szCs w:val="12"/>
        </w:rPr>
        <w:t> </w:t>
      </w:r>
      <w:r>
        <w:rPr>
          <w:rFonts w:ascii="Arial" w:hAnsi="Arial" w:cs="Arial" w:eastAsia="Arial"/>
          <w:color w:val="74706E"/>
          <w:w w:val="120"/>
          <w:sz w:val="12"/>
          <w:szCs w:val="12"/>
        </w:rPr>
        <w:t>o</w:t>
      </w:r>
      <w:r>
        <w:rPr>
          <w:rFonts w:ascii="Arial" w:hAnsi="Arial" w:cs="Arial" w:eastAsia="Arial"/>
          <w:color w:val="74706E"/>
          <w:spacing w:val="-5"/>
          <w:w w:val="120"/>
          <w:sz w:val="12"/>
          <w:szCs w:val="12"/>
        </w:rPr>
        <w:t>t</w:t>
      </w:r>
      <w:r>
        <w:rPr>
          <w:rFonts w:ascii="Arial" w:hAnsi="Arial" w:cs="Arial" w:eastAsia="Arial"/>
          <w:color w:val="74706E"/>
          <w:spacing w:val="-20"/>
          <w:w w:val="120"/>
          <w:sz w:val="12"/>
          <w:szCs w:val="12"/>
        </w:rPr>
        <w:t>r</w:t>
      </w:r>
      <w:r>
        <w:rPr>
          <w:rFonts w:ascii="Arial" w:hAnsi="Arial" w:cs="Arial" w:eastAsia="Arial"/>
          <w:color w:val="878282"/>
          <w:spacing w:val="-87"/>
          <w:w w:val="120"/>
          <w:sz w:val="12"/>
          <w:szCs w:val="12"/>
        </w:rPr>
        <w:t>l</w:t>
      </w:r>
      <w:r>
        <w:rPr>
          <w:rFonts w:ascii="Arial" w:hAnsi="Arial" w:cs="Arial" w:eastAsia="Arial"/>
          <w:color w:val="878282"/>
          <w:w w:val="120"/>
          <w:sz w:val="12"/>
          <w:szCs w:val="12"/>
        </w:rPr>
        <w:t>nfOtMatlon</w:t>
      </w:r>
      <w:r>
        <w:rPr>
          <w:rFonts w:ascii="Arial" w:hAnsi="Arial" w:cs="Arial" w:eastAsia="Arial"/>
          <w:color w:val="878282"/>
          <w:spacing w:val="-21"/>
          <w:w w:val="120"/>
          <w:sz w:val="12"/>
          <w:szCs w:val="12"/>
        </w:rPr>
        <w:t> </w:t>
      </w:r>
      <w:r>
        <w:rPr>
          <w:rFonts w:ascii="Arial" w:hAnsi="Arial" w:cs="Arial" w:eastAsia="Arial"/>
          <w:color w:val="74706E"/>
          <w:w w:val="120"/>
          <w:sz w:val="12"/>
          <w:szCs w:val="12"/>
        </w:rPr>
        <w:t>and</w:t>
      </w:r>
      <w:r>
        <w:rPr>
          <w:rFonts w:ascii="Arial" w:hAnsi="Arial" w:cs="Arial" w:eastAsia="Arial"/>
          <w:color w:val="74706E"/>
          <w:spacing w:val="-30"/>
          <w:w w:val="120"/>
          <w:sz w:val="12"/>
          <w:szCs w:val="12"/>
        </w:rPr>
        <w:t> </w:t>
      </w:r>
      <w:r>
        <w:rPr>
          <w:rFonts w:ascii="Arial" w:hAnsi="Arial" w:cs="Arial" w:eastAsia="Arial"/>
          <w:color w:val="74706E"/>
          <w:w w:val="120"/>
          <w:sz w:val="12"/>
          <w:szCs w:val="12"/>
        </w:rPr>
        <w:t>accord</w:t>
      </w:r>
      <w:r>
        <w:rPr>
          <w:rFonts w:ascii="Arial" w:hAnsi="Arial" w:cs="Arial" w:eastAsia="Arial"/>
          <w:color w:val="74706E"/>
          <w:spacing w:val="-8"/>
          <w:w w:val="120"/>
          <w:sz w:val="12"/>
          <w:szCs w:val="12"/>
        </w:rPr>
        <w:t>l</w:t>
      </w:r>
      <w:r>
        <w:rPr>
          <w:rFonts w:ascii="Arial" w:hAnsi="Arial" w:cs="Arial" w:eastAsia="Arial"/>
          <w:color w:val="74706E"/>
          <w:w w:val="120"/>
          <w:sz w:val="12"/>
          <w:szCs w:val="12"/>
        </w:rPr>
        <w:t>"lf</w:t>
      </w:r>
      <w:r>
        <w:rPr>
          <w:rFonts w:ascii="Arial" w:hAnsi="Arial" w:cs="Arial" w:eastAsia="Arial"/>
          <w:color w:val="74706E"/>
          <w:spacing w:val="-49"/>
          <w:w w:val="120"/>
          <w:sz w:val="12"/>
          <w:szCs w:val="12"/>
        </w:rPr>
        <w:t>Y</w:t>
      </w:r>
      <w:r>
        <w:rPr>
          <w:rFonts w:ascii="Arial" w:hAnsi="Arial" w:cs="Arial" w:eastAsia="Arial"/>
          <w:color w:val="74706E"/>
          <w:spacing w:val="-151"/>
          <w:w w:val="120"/>
          <w:sz w:val="12"/>
          <w:szCs w:val="12"/>
        </w:rPr>
        <w:t>I</w:t>
      </w:r>
      <w:r>
        <w:rPr>
          <w:rFonts w:ascii="Times New Roman" w:hAnsi="Times New Roman" w:cs="Times New Roman" w:eastAsia="Times New Roman"/>
          <w:color w:val="74706E"/>
          <w:w w:val="120"/>
          <w:sz w:val="14"/>
          <w:szCs w:val="14"/>
        </w:rPr>
        <w:t>do</w:t>
      </w:r>
      <w:r>
        <w:rPr>
          <w:rFonts w:ascii="Times New Roman" w:hAnsi="Times New Roman" w:cs="Times New Roman" w:eastAsia="Times New Roman"/>
          <w:color w:val="74706E"/>
          <w:spacing w:val="-30"/>
          <w:w w:val="120"/>
          <w:sz w:val="14"/>
          <w:szCs w:val="14"/>
        </w:rPr>
        <w:t> </w:t>
      </w:r>
      <w:r>
        <w:rPr>
          <w:rFonts w:ascii="Arial" w:hAnsi="Arial" w:cs="Arial" w:eastAsia="Arial"/>
          <w:color w:val="74706E"/>
          <w:w w:val="120"/>
          <w:sz w:val="12"/>
          <w:szCs w:val="12"/>
        </w:rPr>
        <w:t>not   </w:t>
      </w:r>
      <w:r>
        <w:rPr>
          <w:rFonts w:ascii="Arial" w:hAnsi="Arial" w:cs="Arial" w:eastAsia="Arial"/>
          <w:color w:val="74706E"/>
          <w:spacing w:val="32"/>
          <w:w w:val="120"/>
          <w:sz w:val="12"/>
          <w:szCs w:val="12"/>
        </w:rPr>
        <w:t> </w:t>
      </w:r>
      <w:r>
        <w:rPr>
          <w:rFonts w:ascii="Times New Roman" w:hAnsi="Times New Roman" w:cs="Times New Roman" w:eastAsia="Times New Roman"/>
          <w:color w:val="74706E"/>
          <w:w w:val="120"/>
          <w:sz w:val="14"/>
          <w:szCs w:val="14"/>
        </w:rPr>
        <w:t>ss</w:t>
      </w:r>
      <w:r>
        <w:rPr>
          <w:rFonts w:ascii="Times New Roman" w:hAnsi="Times New Roman" w:cs="Times New Roman" w:eastAsia="Times New Roman"/>
          <w:color w:val="74706E"/>
          <w:spacing w:val="-33"/>
          <w:w w:val="120"/>
          <w:sz w:val="14"/>
          <w:szCs w:val="14"/>
        </w:rPr>
        <w:t> </w:t>
      </w:r>
      <w:r>
        <w:rPr>
          <w:rFonts w:ascii="Arial" w:hAnsi="Arial" w:cs="Arial" w:eastAsia="Arial"/>
          <w:i/>
          <w:color w:val="74706E"/>
          <w:w w:val="115"/>
          <w:sz w:val="13"/>
          <w:szCs w:val="13"/>
        </w:rPr>
        <w:t>any</w:t>
      </w:r>
      <w:r>
        <w:rPr>
          <w:rFonts w:ascii="Arial" w:hAnsi="Arial" w:cs="Arial" w:eastAsia="Arial"/>
          <w:sz w:val="13"/>
          <w:szCs w:val="13"/>
        </w:rPr>
      </w:r>
    </w:p>
    <w:p>
      <w:pPr>
        <w:spacing w:line="93" w:lineRule="exact" w:before="0"/>
        <w:ind w:left="1054" w:right="0" w:firstLine="0"/>
        <w:jc w:val="both"/>
        <w:rPr>
          <w:rFonts w:ascii="Arial" w:hAnsi="Arial" w:cs="Arial" w:eastAsia="Arial"/>
          <w:sz w:val="13"/>
          <w:szCs w:val="13"/>
        </w:rPr>
      </w:pPr>
      <w:r>
        <w:rPr>
          <w:rFonts w:ascii="Arial"/>
          <w:color w:val="74706E"/>
          <w:w w:val="90"/>
          <w:sz w:val="13"/>
        </w:rPr>
        <w:t>form</w:t>
      </w:r>
      <w:r>
        <w:rPr>
          <w:rFonts w:ascii="Arial"/>
          <w:color w:val="74706E"/>
          <w:spacing w:val="5"/>
          <w:w w:val="90"/>
          <w:sz w:val="13"/>
        </w:rPr>
        <w:t> </w:t>
      </w:r>
      <w:r>
        <w:rPr>
          <w:rFonts w:ascii="Arial"/>
          <w:color w:val="74706E"/>
          <w:w w:val="90"/>
          <w:sz w:val="13"/>
        </w:rPr>
        <w:t>of</w:t>
      </w:r>
      <w:r>
        <w:rPr>
          <w:rFonts w:ascii="Arial"/>
          <w:color w:val="74706E"/>
          <w:spacing w:val="-7"/>
          <w:w w:val="90"/>
          <w:sz w:val="13"/>
        </w:rPr>
        <w:t> </w:t>
      </w:r>
      <w:r>
        <w:rPr>
          <w:rFonts w:ascii="Arial"/>
          <w:color w:val="74706E"/>
          <w:spacing w:val="-3"/>
          <w:w w:val="90"/>
          <w:sz w:val="13"/>
        </w:rPr>
        <w:t>.as.sur1</w:t>
      </w:r>
      <w:r>
        <w:rPr>
          <w:rFonts w:ascii="Arial"/>
          <w:color w:val="74706E"/>
          <w:spacing w:val="-2"/>
          <w:w w:val="90"/>
          <w:sz w:val="13"/>
        </w:rPr>
        <w:t>nce</w:t>
      </w:r>
      <w:r>
        <w:rPr>
          <w:rFonts w:ascii="Arial"/>
          <w:color w:val="74706E"/>
          <w:spacing w:val="-6"/>
          <w:w w:val="90"/>
          <w:sz w:val="13"/>
        </w:rPr>
        <w:t> </w:t>
      </w:r>
      <w:r>
        <w:rPr>
          <w:rFonts w:ascii="Arial"/>
          <w:color w:val="74706E"/>
          <w:w w:val="90"/>
          <w:sz w:val="13"/>
        </w:rPr>
        <w:t>conc:lusi"on</w:t>
      </w:r>
      <w:r>
        <w:rPr>
          <w:rFonts w:ascii="Arial"/>
          <w:color w:val="74706E"/>
          <w:spacing w:val="17"/>
          <w:w w:val="90"/>
          <w:sz w:val="13"/>
        </w:rPr>
        <w:t> </w:t>
      </w:r>
      <w:r>
        <w:rPr>
          <w:rFonts w:ascii="Arial"/>
          <w:color w:val="74706E"/>
          <w:spacing w:val="-1"/>
          <w:w w:val="90"/>
          <w:sz w:val="13"/>
        </w:rPr>
        <w:t>dliereon.</w:t>
      </w:r>
      <w:r>
        <w:rPr>
          <w:rFonts w:ascii="Arial"/>
          <w:sz w:val="13"/>
        </w:rPr>
      </w:r>
    </w:p>
    <w:p>
      <w:pPr>
        <w:spacing w:line="296" w:lineRule="exact" w:before="0"/>
        <w:ind w:left="1039" w:right="0" w:firstLine="14"/>
        <w:jc w:val="both"/>
        <w:rPr>
          <w:rFonts w:ascii="Arial" w:hAnsi="Arial" w:cs="Arial" w:eastAsia="Arial"/>
          <w:sz w:val="31"/>
          <w:szCs w:val="31"/>
        </w:rPr>
      </w:pPr>
      <w:r>
        <w:rPr>
          <w:rFonts w:ascii="Times New Roman" w:hAnsi="Times New Roman" w:cs="Times New Roman" w:eastAsia="Times New Roman"/>
          <w:color w:val="5D5B59"/>
          <w:w w:val="105"/>
          <w:sz w:val="13"/>
          <w:szCs w:val="13"/>
        </w:rPr>
        <w:t>In</w:t>
      </w:r>
      <w:r>
        <w:rPr>
          <w:rFonts w:ascii="Times New Roman" w:hAnsi="Times New Roman" w:cs="Times New Roman" w:eastAsia="Times New Roman"/>
          <w:color w:val="5D5B59"/>
          <w:spacing w:val="-13"/>
          <w:w w:val="105"/>
          <w:sz w:val="13"/>
          <w:szCs w:val="13"/>
        </w:rPr>
        <w:t> </w:t>
      </w:r>
      <w:r>
        <w:rPr>
          <w:rFonts w:ascii="Times New Roman" w:hAnsi="Times New Roman" w:cs="Times New Roman" w:eastAsia="Times New Roman"/>
          <w:color w:val="74706E"/>
          <w:w w:val="105"/>
          <w:sz w:val="13"/>
          <w:szCs w:val="13"/>
        </w:rPr>
        <w:t>('l()f'ltltttlo"</w:t>
      </w:r>
      <w:r>
        <w:rPr>
          <w:rFonts w:ascii="Times New Roman" w:hAnsi="Times New Roman" w:cs="Times New Roman" w:eastAsia="Times New Roman"/>
          <w:color w:val="74706E"/>
          <w:spacing w:val="-12"/>
          <w:w w:val="105"/>
          <w:sz w:val="13"/>
          <w:szCs w:val="13"/>
        </w:rPr>
        <w:t> </w:t>
      </w:r>
      <w:r>
        <w:rPr>
          <w:rFonts w:ascii="Arial" w:hAnsi="Arial" w:cs="Arial" w:eastAsia="Arial"/>
          <w:color w:val="74706E"/>
          <w:w w:val="115"/>
          <w:sz w:val="10"/>
          <w:szCs w:val="10"/>
        </w:rPr>
        <w:t>w{ttl</w:t>
      </w:r>
      <w:r>
        <w:rPr>
          <w:rFonts w:ascii="Arial" w:hAnsi="Arial" w:cs="Arial" w:eastAsia="Arial"/>
          <w:color w:val="74706E"/>
          <w:spacing w:val="-2"/>
          <w:w w:val="115"/>
          <w:sz w:val="10"/>
          <w:szCs w:val="10"/>
        </w:rPr>
        <w:t> </w:t>
      </w:r>
      <w:r>
        <w:rPr>
          <w:rFonts w:ascii="Arial" w:hAnsi="Arial" w:cs="Arial" w:eastAsia="Arial"/>
          <w:i/>
          <w:color w:val="74706E"/>
          <w:sz w:val="13"/>
          <w:szCs w:val="13"/>
        </w:rPr>
        <w:t>tYYf</w:t>
      </w:r>
      <w:r>
        <w:rPr>
          <w:rFonts w:ascii="Arial" w:hAnsi="Arial" w:cs="Arial" w:eastAsia="Arial"/>
          <w:i/>
          <w:color w:val="74706E"/>
          <w:spacing w:val="8"/>
          <w:sz w:val="13"/>
          <w:szCs w:val="13"/>
        </w:rPr>
        <w:t> </w:t>
      </w:r>
      <w:r>
        <w:rPr>
          <w:rFonts w:ascii="Times New Roman" w:hAnsi="Times New Roman" w:cs="Times New Roman" w:eastAsia="Times New Roman"/>
          <w:color w:val="74706E"/>
          <w:w w:val="105"/>
          <w:sz w:val="13"/>
          <w:szCs w:val="13"/>
        </w:rPr>
        <w:t>audit</w:t>
      </w:r>
      <w:r>
        <w:rPr>
          <w:rFonts w:ascii="Times New Roman" w:hAnsi="Times New Roman" w:cs="Times New Roman" w:eastAsia="Times New Roman"/>
          <w:color w:val="74706E"/>
          <w:spacing w:val="-10"/>
          <w:w w:val="105"/>
          <w:sz w:val="13"/>
          <w:szCs w:val="13"/>
        </w:rPr>
        <w:t> </w:t>
      </w:r>
      <w:r>
        <w:rPr>
          <w:rFonts w:ascii="Arial" w:hAnsi="Arial" w:cs="Arial" w:eastAsia="Arial"/>
          <w:color w:val="74706E"/>
          <w:w w:val="105"/>
          <w:sz w:val="14"/>
          <w:szCs w:val="14"/>
        </w:rPr>
        <w:t>of</w:t>
      </w:r>
      <w:r>
        <w:rPr>
          <w:rFonts w:ascii="Arial" w:hAnsi="Arial" w:cs="Arial" w:eastAsia="Arial"/>
          <w:color w:val="74706E"/>
          <w:spacing w:val="-16"/>
          <w:w w:val="105"/>
          <w:sz w:val="14"/>
          <w:szCs w:val="14"/>
        </w:rPr>
        <w:t> </w:t>
      </w:r>
      <w:r>
        <w:rPr>
          <w:rFonts w:ascii="Times New Roman" w:hAnsi="Times New Roman" w:cs="Times New Roman" w:eastAsia="Times New Roman"/>
          <w:color w:val="74706E"/>
          <w:w w:val="105"/>
          <w:sz w:val="13"/>
          <w:szCs w:val="13"/>
        </w:rPr>
        <w:t>the</w:t>
      </w:r>
      <w:r>
        <w:rPr>
          <w:rFonts w:ascii="Times New Roman" w:hAnsi="Times New Roman" w:cs="Times New Roman" w:eastAsia="Times New Roman"/>
          <w:color w:val="74706E"/>
          <w:spacing w:val="-2"/>
          <w:w w:val="105"/>
          <w:sz w:val="13"/>
          <w:szCs w:val="13"/>
        </w:rPr>
        <w:t> </w:t>
      </w:r>
      <w:r>
        <w:rPr>
          <w:rFonts w:ascii="Times New Roman" w:hAnsi="Times New Roman" w:cs="Times New Roman" w:eastAsia="Times New Roman"/>
          <w:color w:val="878282"/>
          <w:spacing w:val="-11"/>
          <w:w w:val="105"/>
          <w:sz w:val="13"/>
          <w:szCs w:val="13"/>
        </w:rPr>
        <w:t>r</w:t>
      </w:r>
      <w:r>
        <w:rPr>
          <w:rFonts w:ascii="Times New Roman" w:hAnsi="Times New Roman" w:cs="Times New Roman" w:eastAsia="Times New Roman"/>
          <w:color w:val="878282"/>
          <w:spacing w:val="-30"/>
          <w:w w:val="105"/>
          <w:sz w:val="13"/>
          <w:szCs w:val="13"/>
        </w:rPr>
        <w:t>i</w:t>
      </w:r>
      <w:r>
        <w:rPr>
          <w:rFonts w:ascii="Times New Roman" w:hAnsi="Times New Roman" w:cs="Times New Roman" w:eastAsia="Times New Roman"/>
          <w:color w:val="878282"/>
          <w:spacing w:val="-14"/>
          <w:w w:val="105"/>
          <w:sz w:val="13"/>
          <w:szCs w:val="13"/>
        </w:rPr>
        <w:t>-</w:t>
      </w:r>
      <w:r>
        <w:rPr>
          <w:rFonts w:ascii="Times New Roman" w:hAnsi="Times New Roman" w:cs="Times New Roman" w:eastAsia="Times New Roman"/>
          <w:color w:val="878282"/>
          <w:w w:val="105"/>
          <w:sz w:val="13"/>
          <w:szCs w:val="13"/>
        </w:rPr>
        <w:t>naftdlll</w:t>
      </w:r>
      <w:r>
        <w:rPr>
          <w:rFonts w:ascii="Times New Roman" w:hAnsi="Times New Roman" w:cs="Times New Roman" w:eastAsia="Times New Roman"/>
          <w:color w:val="878282"/>
          <w:spacing w:val="3"/>
          <w:w w:val="105"/>
          <w:sz w:val="13"/>
          <w:szCs w:val="13"/>
        </w:rPr>
        <w:t> </w:t>
      </w:r>
      <w:r>
        <w:rPr>
          <w:rFonts w:ascii="Times New Roman" w:hAnsi="Times New Roman" w:cs="Times New Roman" w:eastAsia="Times New Roman"/>
          <w:color w:val="74706E"/>
          <w:w w:val="105"/>
          <w:sz w:val="13"/>
          <w:szCs w:val="13"/>
        </w:rPr>
        <w:t>report,</w:t>
      </w:r>
      <w:r>
        <w:rPr>
          <w:rFonts w:ascii="Times New Roman" w:hAnsi="Times New Roman" w:cs="Times New Roman" w:eastAsia="Times New Roman"/>
          <w:color w:val="74706E"/>
          <w:spacing w:val="-1"/>
          <w:w w:val="105"/>
          <w:sz w:val="13"/>
          <w:szCs w:val="13"/>
        </w:rPr>
        <w:t> </w:t>
      </w:r>
      <w:r>
        <w:rPr>
          <w:rFonts w:ascii="Arial" w:hAnsi="Arial" w:cs="Arial" w:eastAsia="Arial"/>
          <w:i/>
          <w:color w:val="74706E"/>
          <w:w w:val="105"/>
          <w:sz w:val="13"/>
          <w:szCs w:val="13"/>
        </w:rPr>
        <w:t>trvf</w:t>
      </w:r>
      <w:r>
        <w:rPr>
          <w:rFonts w:ascii="Arial" w:hAnsi="Arial" w:cs="Arial" w:eastAsia="Arial"/>
          <w:i/>
          <w:color w:val="74706E"/>
          <w:spacing w:val="-6"/>
          <w:w w:val="105"/>
          <w:sz w:val="13"/>
          <w:szCs w:val="13"/>
        </w:rPr>
        <w:t> </w:t>
      </w:r>
      <w:r>
        <w:rPr>
          <w:rFonts w:ascii="Times New Roman" w:hAnsi="Times New Roman" w:cs="Times New Roman" w:eastAsia="Times New Roman"/>
          <w:color w:val="878282"/>
          <w:w w:val="105"/>
          <w:sz w:val="13"/>
          <w:szCs w:val="13"/>
        </w:rPr>
        <w:t>ttsponsibl&amp;ty</w:t>
      </w:r>
      <w:r>
        <w:rPr>
          <w:rFonts w:ascii="Times New Roman" w:hAnsi="Times New Roman" w:cs="Times New Roman" w:eastAsia="Times New Roman"/>
          <w:color w:val="878282"/>
          <w:spacing w:val="12"/>
          <w:w w:val="105"/>
          <w:sz w:val="13"/>
          <w:szCs w:val="13"/>
        </w:rPr>
        <w:t> </w:t>
      </w:r>
      <w:r>
        <w:rPr>
          <w:rFonts w:ascii="Times New Roman" w:hAnsi="Times New Roman" w:cs="Times New Roman" w:eastAsia="Times New Roman"/>
          <w:color w:val="878282"/>
          <w:w w:val="105"/>
          <w:sz w:val="11"/>
          <w:szCs w:val="11"/>
        </w:rPr>
        <w:t>1$</w:t>
      </w:r>
      <w:r>
        <w:rPr>
          <w:rFonts w:ascii="Times New Roman" w:hAnsi="Times New Roman" w:cs="Times New Roman" w:eastAsia="Times New Roman"/>
          <w:color w:val="878282"/>
          <w:spacing w:val="-18"/>
          <w:w w:val="105"/>
          <w:sz w:val="11"/>
          <w:szCs w:val="11"/>
        </w:rPr>
        <w:t> </w:t>
      </w:r>
      <w:r>
        <w:rPr>
          <w:rFonts w:ascii="Times New Roman" w:hAnsi="Times New Roman" w:cs="Times New Roman" w:eastAsia="Times New Roman"/>
          <w:color w:val="74706E"/>
          <w:w w:val="115"/>
          <w:sz w:val="13"/>
          <w:szCs w:val="13"/>
        </w:rPr>
        <w:t>to</w:t>
      </w:r>
      <w:r>
        <w:rPr>
          <w:rFonts w:ascii="Times New Roman" w:hAnsi="Times New Roman" w:cs="Times New Roman" w:eastAsia="Times New Roman"/>
          <w:color w:val="74706E"/>
          <w:spacing w:val="-19"/>
          <w:w w:val="115"/>
          <w:sz w:val="13"/>
          <w:szCs w:val="13"/>
        </w:rPr>
        <w:t> </w:t>
      </w:r>
      <w:r>
        <w:rPr>
          <w:rFonts w:ascii="Times New Roman" w:hAnsi="Times New Roman" w:cs="Times New Roman" w:eastAsia="Times New Roman"/>
          <w:color w:val="74706E"/>
          <w:w w:val="105"/>
          <w:sz w:val="13"/>
          <w:szCs w:val="13"/>
        </w:rPr>
        <w:t>read</w:t>
      </w:r>
      <w:r>
        <w:rPr>
          <w:rFonts w:ascii="Times New Roman" w:hAnsi="Times New Roman" w:cs="Times New Roman" w:eastAsia="Times New Roman"/>
          <w:color w:val="74706E"/>
          <w:spacing w:val="4"/>
          <w:w w:val="105"/>
          <w:sz w:val="13"/>
          <w:szCs w:val="13"/>
        </w:rPr>
        <w:t> </w:t>
      </w:r>
      <w:r>
        <w:rPr>
          <w:rFonts w:ascii="Times New Roman" w:hAnsi="Times New Roman" w:cs="Times New Roman" w:eastAsia="Times New Roman"/>
          <w:color w:val="5D5B59"/>
          <w:spacing w:val="-1"/>
          <w:w w:val="105"/>
          <w:sz w:val="14"/>
          <w:szCs w:val="14"/>
        </w:rPr>
        <w:t>t</w:t>
      </w:r>
      <w:r>
        <w:rPr>
          <w:rFonts w:ascii="Times New Roman" w:hAnsi="Times New Roman" w:cs="Times New Roman" w:eastAsia="Times New Roman"/>
          <w:color w:val="878282"/>
          <w:w w:val="105"/>
          <w:sz w:val="14"/>
          <w:szCs w:val="14"/>
        </w:rPr>
        <w:t>he</w:t>
      </w:r>
      <w:r>
        <w:rPr>
          <w:rFonts w:ascii="Times New Roman" w:hAnsi="Times New Roman" w:cs="Times New Roman" w:eastAsia="Times New Roman"/>
          <w:color w:val="878282"/>
          <w:spacing w:val="-16"/>
          <w:w w:val="105"/>
          <w:sz w:val="14"/>
          <w:szCs w:val="14"/>
        </w:rPr>
        <w:t> </w:t>
      </w:r>
      <w:r>
        <w:rPr>
          <w:rFonts w:ascii="Times New Roman" w:hAnsi="Times New Roman" w:cs="Times New Roman" w:eastAsia="Times New Roman"/>
          <w:color w:val="74706E"/>
          <w:w w:val="105"/>
          <w:sz w:val="13"/>
          <w:szCs w:val="13"/>
        </w:rPr>
        <w:t>other</w:t>
      </w:r>
      <w:r>
        <w:rPr>
          <w:rFonts w:ascii="Times New Roman" w:hAnsi="Times New Roman" w:cs="Times New Roman" w:eastAsia="Times New Roman"/>
          <w:color w:val="74706E"/>
          <w:spacing w:val="-10"/>
          <w:w w:val="105"/>
          <w:sz w:val="13"/>
          <w:szCs w:val="13"/>
        </w:rPr>
        <w:t> </w:t>
      </w:r>
      <w:r>
        <w:rPr>
          <w:rFonts w:ascii="Times New Roman" w:hAnsi="Times New Roman" w:cs="Times New Roman" w:eastAsia="Times New Roman"/>
          <w:color w:val="878282"/>
          <w:w w:val="105"/>
          <w:sz w:val="13"/>
          <w:szCs w:val="13"/>
        </w:rPr>
        <w:t>IMotmation</w:t>
      </w:r>
      <w:r>
        <w:rPr>
          <w:rFonts w:ascii="Times New Roman" w:hAnsi="Times New Roman" w:cs="Times New Roman" w:eastAsia="Times New Roman"/>
          <w:color w:val="878282"/>
          <w:spacing w:val="-2"/>
          <w:w w:val="105"/>
          <w:sz w:val="13"/>
          <w:szCs w:val="13"/>
        </w:rPr>
        <w:t> </w:t>
      </w:r>
      <w:r>
        <w:rPr>
          <w:rFonts w:ascii="Arial" w:hAnsi="Arial" w:cs="Arial" w:eastAsia="Arial"/>
          <w:color w:val="74706E"/>
          <w:spacing w:val="-24"/>
          <w:w w:val="105"/>
          <w:sz w:val="31"/>
          <w:szCs w:val="31"/>
        </w:rPr>
        <w:t>•</w:t>
      </w:r>
      <w:r>
        <w:rPr>
          <w:rFonts w:ascii="Arial" w:hAnsi="Arial" w:cs="Arial" w:eastAsia="Arial"/>
          <w:color w:val="74706E"/>
          <w:spacing w:val="-36"/>
          <w:w w:val="105"/>
          <w:sz w:val="31"/>
          <w:szCs w:val="31"/>
        </w:rPr>
        <w:t>.</w:t>
      </w:r>
      <w:r>
        <w:rPr>
          <w:rFonts w:ascii="Arial" w:hAnsi="Arial" w:cs="Arial" w:eastAsia="Arial"/>
          <w:color w:val="74706E"/>
          <w:w w:val="105"/>
          <w:sz w:val="31"/>
          <w:szCs w:val="31"/>
        </w:rPr>
        <w:t>in</w:t>
      </w:r>
      <w:r>
        <w:rPr>
          <w:rFonts w:ascii="Arial" w:hAnsi="Arial" w:cs="Arial" w:eastAsia="Arial"/>
          <w:sz w:val="31"/>
          <w:szCs w:val="31"/>
        </w:rPr>
      </w:r>
    </w:p>
    <w:p>
      <w:pPr>
        <w:spacing w:line="140" w:lineRule="exact" w:before="0"/>
        <w:ind w:left="1039" w:right="0" w:firstLine="0"/>
        <w:jc w:val="both"/>
        <w:rPr>
          <w:rFonts w:ascii="Times New Roman" w:hAnsi="Times New Roman" w:cs="Times New Roman" w:eastAsia="Times New Roman"/>
          <w:sz w:val="13"/>
          <w:szCs w:val="13"/>
        </w:rPr>
      </w:pPr>
      <w:r>
        <w:rPr>
          <w:rFonts w:ascii="Arial"/>
          <w:color w:val="74706E"/>
          <w:w w:val="115"/>
          <w:sz w:val="12"/>
        </w:rPr>
        <w:t>doing</w:t>
      </w:r>
      <w:r>
        <w:rPr>
          <w:rFonts w:ascii="Arial"/>
          <w:color w:val="74706E"/>
          <w:spacing w:val="-17"/>
          <w:w w:val="115"/>
          <w:sz w:val="12"/>
        </w:rPr>
        <w:t> </w:t>
      </w:r>
      <w:r>
        <w:rPr>
          <w:rFonts w:ascii="Times New Roman"/>
          <w:color w:val="74706E"/>
          <w:w w:val="145"/>
          <w:sz w:val="10"/>
        </w:rPr>
        <w:t>$0,</w:t>
      </w:r>
      <w:r>
        <w:rPr>
          <w:rFonts w:ascii="Times New Roman"/>
          <w:color w:val="74706E"/>
          <w:spacing w:val="-17"/>
          <w:w w:val="145"/>
          <w:sz w:val="10"/>
        </w:rPr>
        <w:t> </w:t>
      </w:r>
      <w:r>
        <w:rPr>
          <w:rFonts w:ascii="Times New Roman"/>
          <w:color w:val="74706E"/>
          <w:w w:val="115"/>
          <w:sz w:val="15"/>
        </w:rPr>
        <w:t>consld"'    </w:t>
      </w:r>
      <w:r>
        <w:rPr>
          <w:rFonts w:ascii="Times New Roman"/>
          <w:color w:val="74706E"/>
          <w:spacing w:val="34"/>
          <w:w w:val="115"/>
          <w:sz w:val="15"/>
        </w:rPr>
        <w:t> </w:t>
      </w:r>
      <w:r>
        <w:rPr>
          <w:rFonts w:ascii="Times New Roman"/>
          <w:color w:val="74706E"/>
          <w:w w:val="145"/>
          <w:sz w:val="13"/>
        </w:rPr>
        <w:t>er  </w:t>
      </w:r>
      <w:r>
        <w:rPr>
          <w:rFonts w:ascii="Times New Roman"/>
          <w:color w:val="74706E"/>
          <w:spacing w:val="23"/>
          <w:w w:val="145"/>
          <w:sz w:val="13"/>
        </w:rPr>
        <w:t> </w:t>
      </w:r>
      <w:r>
        <w:rPr>
          <w:rFonts w:ascii="Times New Roman"/>
          <w:color w:val="74706E"/>
          <w:w w:val="115"/>
          <w:sz w:val="13"/>
        </w:rPr>
        <w:t>otfler</w:t>
      </w:r>
      <w:r>
        <w:rPr>
          <w:rFonts w:ascii="Times New Roman"/>
          <w:color w:val="74706E"/>
          <w:spacing w:val="-9"/>
          <w:w w:val="115"/>
          <w:sz w:val="13"/>
        </w:rPr>
        <w:t> </w:t>
      </w:r>
      <w:r>
        <w:rPr>
          <w:rFonts w:ascii="Times New Roman"/>
          <w:color w:val="5D5B59"/>
          <w:sz w:val="13"/>
        </w:rPr>
        <w:t>infOfTl'l;i</w:t>
      </w:r>
      <w:r>
        <w:rPr>
          <w:rFonts w:ascii="Times New Roman"/>
          <w:color w:val="5D5B59"/>
          <w:spacing w:val="-20"/>
          <w:sz w:val="13"/>
        </w:rPr>
        <w:t> </w:t>
      </w:r>
      <w:r>
        <w:rPr>
          <w:rFonts w:ascii="Times New Roman"/>
          <w:color w:val="878282"/>
          <w:w w:val="115"/>
          <w:sz w:val="13"/>
        </w:rPr>
        <w:t>tion</w:t>
      </w:r>
      <w:r>
        <w:rPr>
          <w:rFonts w:ascii="Times New Roman"/>
          <w:color w:val="878282"/>
          <w:spacing w:val="-9"/>
          <w:w w:val="115"/>
          <w:sz w:val="13"/>
        </w:rPr>
        <w:t> </w:t>
      </w:r>
      <w:r>
        <w:rPr>
          <w:rFonts w:ascii="Times New Roman"/>
          <w:color w:val="74706E"/>
          <w:w w:val="115"/>
          <w:sz w:val="13"/>
        </w:rPr>
        <w:t>Is</w:t>
      </w:r>
      <w:r>
        <w:rPr>
          <w:rFonts w:ascii="Times New Roman"/>
          <w:color w:val="74706E"/>
          <w:spacing w:val="-13"/>
          <w:w w:val="115"/>
          <w:sz w:val="13"/>
        </w:rPr>
        <w:t> </w:t>
      </w:r>
      <w:r>
        <w:rPr>
          <w:rFonts w:ascii="Times New Roman"/>
          <w:color w:val="74706E"/>
          <w:w w:val="145"/>
          <w:sz w:val="13"/>
        </w:rPr>
        <w:t>matcri</w:t>
      </w:r>
      <w:r>
        <w:rPr>
          <w:rFonts w:ascii="Times New Roman"/>
          <w:color w:val="74706E"/>
          <w:spacing w:val="-26"/>
          <w:w w:val="145"/>
          <w:sz w:val="13"/>
        </w:rPr>
        <w:t> </w:t>
      </w:r>
      <w:r>
        <w:rPr>
          <w:rFonts w:ascii="Times New Roman"/>
          <w:color w:val="74706E"/>
          <w:w w:val="115"/>
          <w:sz w:val="13"/>
        </w:rPr>
        <w:t>inconsistent</w:t>
      </w:r>
      <w:r>
        <w:rPr>
          <w:rFonts w:ascii="Times New Roman"/>
          <w:color w:val="74706E"/>
          <w:spacing w:val="-15"/>
          <w:w w:val="115"/>
          <w:sz w:val="13"/>
        </w:rPr>
        <w:t> </w:t>
      </w:r>
      <w:r>
        <w:rPr>
          <w:rFonts w:ascii="Times New Roman"/>
          <w:color w:val="74706E"/>
          <w:w w:val="115"/>
          <w:sz w:val="13"/>
        </w:rPr>
        <w:t>with</w:t>
      </w:r>
      <w:r>
        <w:rPr>
          <w:rFonts w:ascii="Times New Roman"/>
          <w:color w:val="74706E"/>
          <w:spacing w:val="-8"/>
          <w:w w:val="115"/>
          <w:sz w:val="13"/>
        </w:rPr>
        <w:t> </w:t>
      </w:r>
      <w:r>
        <w:rPr>
          <w:rFonts w:ascii="Times New Roman"/>
          <w:color w:val="74706E"/>
          <w:w w:val="115"/>
          <w:sz w:val="15"/>
        </w:rPr>
        <w:t>the</w:t>
      </w:r>
      <w:r>
        <w:rPr>
          <w:rFonts w:ascii="Times New Roman"/>
          <w:color w:val="74706E"/>
          <w:spacing w:val="-18"/>
          <w:w w:val="115"/>
          <w:sz w:val="15"/>
        </w:rPr>
        <w:t> </w:t>
      </w:r>
      <w:r>
        <w:rPr>
          <w:rFonts w:ascii="Times New Roman"/>
          <w:color w:val="74706E"/>
          <w:w w:val="115"/>
          <w:sz w:val="13"/>
        </w:rPr>
        <w:t>financl;il</w:t>
      </w:r>
      <w:r>
        <w:rPr>
          <w:rFonts w:ascii="Times New Roman"/>
          <w:color w:val="74706E"/>
          <w:spacing w:val="-9"/>
          <w:w w:val="115"/>
          <w:sz w:val="13"/>
        </w:rPr>
        <w:t> </w:t>
      </w:r>
      <w:r>
        <w:rPr>
          <w:rFonts w:ascii="Times New Roman"/>
          <w:color w:val="74706E"/>
          <w:w w:val="115"/>
          <w:sz w:val="13"/>
        </w:rPr>
        <w:t>repott</w:t>
      </w:r>
      <w:r>
        <w:rPr>
          <w:rFonts w:ascii="Times New Roman"/>
          <w:color w:val="74706E"/>
          <w:spacing w:val="-5"/>
          <w:w w:val="115"/>
          <w:sz w:val="13"/>
        </w:rPr>
        <w:t> </w:t>
      </w:r>
      <w:r>
        <w:rPr>
          <w:rFonts w:ascii="Times New Roman"/>
          <w:color w:val="74706E"/>
          <w:w w:val="145"/>
          <w:sz w:val="11"/>
        </w:rPr>
        <w:t>0t</w:t>
      </w:r>
      <w:r>
        <w:rPr>
          <w:rFonts w:ascii="Times New Roman"/>
          <w:color w:val="74706E"/>
          <w:spacing w:val="-16"/>
          <w:w w:val="145"/>
          <w:sz w:val="11"/>
        </w:rPr>
        <w:t> </w:t>
      </w:r>
      <w:r>
        <w:rPr>
          <w:rFonts w:ascii="Times New Roman"/>
          <w:color w:val="74706E"/>
          <w:w w:val="115"/>
          <w:sz w:val="13"/>
        </w:rPr>
        <w:t>my</w:t>
      </w:r>
      <w:r>
        <w:rPr>
          <w:rFonts w:ascii="Times New Roman"/>
          <w:sz w:val="13"/>
        </w:rPr>
      </w:r>
    </w:p>
    <w:p>
      <w:pPr>
        <w:spacing w:line="179" w:lineRule="exact" w:before="0"/>
        <w:ind w:left="1054" w:right="0" w:firstLine="0"/>
        <w:jc w:val="both"/>
        <w:rPr>
          <w:rFonts w:ascii="Times New Roman" w:hAnsi="Times New Roman" w:cs="Times New Roman" w:eastAsia="Times New Roman"/>
          <w:sz w:val="13"/>
          <w:szCs w:val="13"/>
        </w:rPr>
      </w:pPr>
      <w:r>
        <w:rPr>
          <w:rFonts w:ascii="Times New Roman"/>
          <w:color w:val="74706E"/>
          <w:sz w:val="14"/>
        </w:rPr>
        <w:t>knowtedp</w:t>
      </w:r>
      <w:r>
        <w:rPr>
          <w:rFonts w:ascii="Times New Roman"/>
          <w:color w:val="74706E"/>
          <w:spacing w:val="-10"/>
          <w:sz w:val="14"/>
        </w:rPr>
        <w:t> </w:t>
      </w:r>
      <w:r>
        <w:rPr>
          <w:rFonts w:ascii="Times New Roman"/>
          <w:color w:val="74706E"/>
          <w:sz w:val="15"/>
        </w:rPr>
        <w:t>obtaolned</w:t>
      </w:r>
      <w:r>
        <w:rPr>
          <w:rFonts w:ascii="Times New Roman"/>
          <w:color w:val="74706E"/>
          <w:spacing w:val="-13"/>
          <w:sz w:val="15"/>
        </w:rPr>
        <w:t> </w:t>
      </w:r>
      <w:r>
        <w:rPr>
          <w:rFonts w:ascii="Times New Roman"/>
          <w:color w:val="5D5B59"/>
          <w:sz w:val="13"/>
        </w:rPr>
        <w:t>in</w:t>
      </w:r>
      <w:r>
        <w:rPr>
          <w:rFonts w:ascii="Times New Roman"/>
          <w:color w:val="5D5B59"/>
          <w:spacing w:val="-13"/>
          <w:sz w:val="13"/>
        </w:rPr>
        <w:t> </w:t>
      </w:r>
      <w:r>
        <w:rPr>
          <w:rFonts w:ascii="Arial"/>
          <w:color w:val="74706E"/>
          <w:sz w:val="13"/>
        </w:rPr>
        <w:t>die  </w:t>
      </w:r>
      <w:r>
        <w:rPr>
          <w:rFonts w:ascii="Arial"/>
          <w:color w:val="74706E"/>
          <w:spacing w:val="2"/>
          <w:sz w:val="13"/>
        </w:rPr>
        <w:t> </w:t>
      </w:r>
      <w:r>
        <w:rPr>
          <w:rFonts w:ascii="Times New Roman"/>
          <w:color w:val="878282"/>
          <w:sz w:val="14"/>
        </w:rPr>
        <w:t>dit,</w:t>
      </w:r>
      <w:r>
        <w:rPr>
          <w:rFonts w:ascii="Times New Roman"/>
          <w:color w:val="878282"/>
          <w:spacing w:val="-20"/>
          <w:sz w:val="14"/>
        </w:rPr>
        <w:t> </w:t>
      </w:r>
      <w:r>
        <w:rPr>
          <w:rFonts w:ascii="Times New Roman"/>
          <w:i/>
          <w:color w:val="74706E"/>
          <w:sz w:val="17"/>
        </w:rPr>
        <w:t>or</w:t>
      </w:r>
      <w:r>
        <w:rPr>
          <w:rFonts w:ascii="Times New Roman"/>
          <w:i/>
          <w:color w:val="74706E"/>
          <w:spacing w:val="-32"/>
          <w:sz w:val="17"/>
        </w:rPr>
        <w:t> </w:t>
      </w:r>
      <w:r>
        <w:rPr>
          <w:rFonts w:ascii="Times New Roman"/>
          <w:color w:val="74706E"/>
          <w:sz w:val="14"/>
        </w:rPr>
        <w:t>octierwisoe</w:t>
      </w:r>
      <w:r>
        <w:rPr>
          <w:rFonts w:ascii="Times New Roman"/>
          <w:color w:val="74706E"/>
          <w:spacing w:val="-10"/>
          <w:sz w:val="14"/>
        </w:rPr>
        <w:t> </w:t>
      </w:r>
      <w:r>
        <w:rPr>
          <w:rFonts w:ascii="Times New Roman"/>
          <w:color w:val="74706E"/>
          <w:sz w:val="13"/>
        </w:rPr>
        <w:t>appe;irs</w:t>
      </w:r>
      <w:r>
        <w:rPr>
          <w:rFonts w:ascii="Times New Roman"/>
          <w:color w:val="74706E"/>
          <w:spacing w:val="-13"/>
          <w:sz w:val="13"/>
        </w:rPr>
        <w:t> </w:t>
      </w:r>
      <w:r>
        <w:rPr>
          <w:rFonts w:ascii="Times New Roman"/>
          <w:color w:val="74706E"/>
          <w:sz w:val="13"/>
        </w:rPr>
        <w:t>to</w:t>
      </w:r>
      <w:r>
        <w:rPr>
          <w:rFonts w:ascii="Times New Roman"/>
          <w:color w:val="74706E"/>
          <w:spacing w:val="-15"/>
          <w:sz w:val="13"/>
        </w:rPr>
        <w:t> </w:t>
      </w:r>
      <w:r>
        <w:rPr>
          <w:rFonts w:ascii="Times New Roman"/>
          <w:color w:val="878282"/>
          <w:sz w:val="15"/>
        </w:rPr>
        <w:t>be</w:t>
      </w:r>
      <w:r>
        <w:rPr>
          <w:rFonts w:ascii="Times New Roman"/>
          <w:color w:val="878282"/>
          <w:spacing w:val="-17"/>
          <w:sz w:val="15"/>
        </w:rPr>
        <w:t> </w:t>
      </w:r>
      <w:r>
        <w:rPr>
          <w:rFonts w:ascii="Times New Roman"/>
          <w:color w:val="74706E"/>
          <w:sz w:val="13"/>
        </w:rPr>
        <w:t>m;iterillly</w:t>
      </w:r>
      <w:r>
        <w:rPr>
          <w:rFonts w:ascii="Times New Roman"/>
          <w:color w:val="74706E"/>
          <w:spacing w:val="-17"/>
          <w:sz w:val="13"/>
        </w:rPr>
        <w:t> </w:t>
      </w:r>
      <w:r>
        <w:rPr>
          <w:rFonts w:ascii="Times New Roman"/>
          <w:color w:val="5D5B59"/>
          <w:sz w:val="13"/>
        </w:rPr>
        <w:t>miSSQted.</w:t>
      </w:r>
      <w:r>
        <w:rPr>
          <w:rFonts w:ascii="Times New Roman"/>
          <w:sz w:val="13"/>
        </w:rPr>
      </w:r>
    </w:p>
    <w:p>
      <w:pPr>
        <w:spacing w:line="177" w:lineRule="exact" w:before="49"/>
        <w:ind w:left="1054" w:right="0" w:firstLine="0"/>
        <w:jc w:val="both"/>
        <w:rPr>
          <w:rFonts w:ascii="Times New Roman" w:hAnsi="Times New Roman" w:cs="Times New Roman" w:eastAsia="Times New Roman"/>
          <w:sz w:val="15"/>
          <w:szCs w:val="15"/>
        </w:rPr>
      </w:pPr>
      <w:r>
        <w:rPr>
          <w:rFonts w:ascii="Arial"/>
          <w:color w:val="74706E"/>
          <w:w w:val="140"/>
          <w:sz w:val="13"/>
        </w:rPr>
        <w:t>I</w:t>
      </w:r>
      <w:r>
        <w:rPr>
          <w:rFonts w:ascii="Arial"/>
          <w:color w:val="74706E"/>
          <w:spacing w:val="-26"/>
          <w:w w:val="140"/>
          <w:sz w:val="13"/>
        </w:rPr>
        <w:t>f</w:t>
      </w:r>
      <w:r>
        <w:rPr>
          <w:rFonts w:ascii="Arial"/>
          <w:color w:val="74706E"/>
          <w:w w:val="140"/>
          <w:sz w:val="13"/>
        </w:rPr>
        <w:t>,  </w:t>
      </w:r>
      <w:r>
        <w:rPr>
          <w:rFonts w:ascii="Arial"/>
          <w:color w:val="74706E"/>
          <w:spacing w:val="41"/>
          <w:w w:val="140"/>
          <w:sz w:val="13"/>
        </w:rPr>
        <w:t> </w:t>
      </w:r>
      <w:r>
        <w:rPr>
          <w:rFonts w:ascii="Arial"/>
          <w:color w:val="74706E"/>
          <w:sz w:val="14"/>
        </w:rPr>
        <w:t>d</w:t>
      </w:r>
      <w:r>
        <w:rPr>
          <w:rFonts w:ascii="Arial"/>
          <w:color w:val="74706E"/>
          <w:spacing w:val="-9"/>
          <w:sz w:val="14"/>
        </w:rPr>
        <w:t> </w:t>
      </w:r>
      <w:r>
        <w:rPr>
          <w:rFonts w:ascii="Times New Roman"/>
          <w:color w:val="74706E"/>
          <w:sz w:val="15"/>
        </w:rPr>
        <w:t>on</w:t>
      </w:r>
      <w:r>
        <w:rPr>
          <w:rFonts w:ascii="Times New Roman"/>
          <w:color w:val="74706E"/>
          <w:spacing w:val="2"/>
          <w:sz w:val="15"/>
        </w:rPr>
        <w:t> </w:t>
      </w:r>
      <w:r>
        <w:rPr>
          <w:rFonts w:ascii="Times New Roman"/>
          <w:color w:val="74706E"/>
          <w:sz w:val="15"/>
        </w:rPr>
        <w:t>the</w:t>
      </w:r>
      <w:r>
        <w:rPr>
          <w:rFonts w:ascii="Times New Roman"/>
          <w:color w:val="74706E"/>
          <w:spacing w:val="1"/>
          <w:sz w:val="15"/>
        </w:rPr>
        <w:t> </w:t>
      </w:r>
      <w:r>
        <w:rPr>
          <w:rFonts w:ascii="Times New Roman"/>
          <w:color w:val="74706E"/>
          <w:sz w:val="15"/>
        </w:rPr>
        <w:t>WOik</w:t>
      </w:r>
      <w:r>
        <w:rPr>
          <w:rFonts w:ascii="Times New Roman"/>
          <w:color w:val="74706E"/>
          <w:spacing w:val="-3"/>
          <w:sz w:val="15"/>
        </w:rPr>
        <w:t> </w:t>
      </w:r>
      <w:r>
        <w:rPr>
          <w:rFonts w:ascii="Times New Roman"/>
          <w:color w:val="74706E"/>
          <w:sz w:val="15"/>
        </w:rPr>
        <w:t>I</w:t>
      </w:r>
      <w:r>
        <w:rPr>
          <w:rFonts w:ascii="Times New Roman"/>
          <w:color w:val="74706E"/>
          <w:spacing w:val="-2"/>
          <w:sz w:val="15"/>
        </w:rPr>
        <w:t> </w:t>
      </w:r>
      <w:r>
        <w:rPr>
          <w:rFonts w:ascii="Times New Roman"/>
          <w:color w:val="74706E"/>
          <w:sz w:val="15"/>
        </w:rPr>
        <w:t>h;Jve</w:t>
      </w:r>
      <w:r>
        <w:rPr>
          <w:rFonts w:ascii="Times New Roman"/>
          <w:color w:val="74706E"/>
          <w:spacing w:val="6"/>
          <w:sz w:val="15"/>
        </w:rPr>
        <w:t> </w:t>
      </w:r>
      <w:r>
        <w:rPr>
          <w:rFonts w:ascii="Times New Roman"/>
          <w:color w:val="74706E"/>
          <w:sz w:val="15"/>
        </w:rPr>
        <w:t>performe</w:t>
      </w:r>
      <w:r>
        <w:rPr>
          <w:rFonts w:ascii="Times New Roman"/>
          <w:color w:val="74706E"/>
          <w:spacing w:val="1"/>
          <w:sz w:val="15"/>
        </w:rPr>
        <w:t>d</w:t>
      </w:r>
      <w:r>
        <w:rPr>
          <w:rFonts w:ascii="Times New Roman"/>
          <w:color w:val="74706E"/>
          <w:sz w:val="15"/>
        </w:rPr>
        <w:t>,</w:t>
      </w:r>
      <w:r>
        <w:rPr>
          <w:rFonts w:ascii="Times New Roman"/>
          <w:color w:val="74706E"/>
          <w:spacing w:val="-8"/>
          <w:sz w:val="15"/>
        </w:rPr>
        <w:t> </w:t>
      </w:r>
      <w:r>
        <w:rPr>
          <w:rFonts w:ascii="Times New Roman"/>
          <w:color w:val="74706E"/>
          <w:spacing w:val="-35"/>
          <w:sz w:val="15"/>
        </w:rPr>
        <w:t>I</w:t>
      </w:r>
      <w:r>
        <w:rPr>
          <w:rFonts w:ascii="Times New Roman"/>
          <w:color w:val="74706E"/>
          <w:spacing w:val="-105"/>
          <w:sz w:val="15"/>
        </w:rPr>
        <w:t>'</w:t>
      </w:r>
      <w:r>
        <w:rPr>
          <w:rFonts w:ascii="Times New Roman"/>
          <w:color w:val="74706E"/>
          <w:sz w:val="15"/>
        </w:rPr>
        <w:t>onc:lt&gt;dc</w:t>
      </w:r>
      <w:r>
        <w:rPr>
          <w:rFonts w:ascii="Times New Roman"/>
          <w:color w:val="74706E"/>
          <w:spacing w:val="-4"/>
          <w:sz w:val="15"/>
        </w:rPr>
        <w:t> </w:t>
      </w:r>
      <w:r>
        <w:rPr>
          <w:rFonts w:ascii="Times New Roman"/>
          <w:color w:val="74706E"/>
          <w:sz w:val="15"/>
        </w:rPr>
        <w:t>th.it</w:t>
      </w:r>
      <w:r>
        <w:rPr>
          <w:rFonts w:ascii="Times New Roman"/>
          <w:color w:val="74706E"/>
          <w:spacing w:val="5"/>
          <w:sz w:val="15"/>
        </w:rPr>
        <w:t> </w:t>
      </w:r>
      <w:r>
        <w:rPr>
          <w:rFonts w:ascii="Times New Roman"/>
          <w:color w:val="74706E"/>
          <w:sz w:val="15"/>
        </w:rPr>
        <w:t>there</w:t>
      </w:r>
      <w:r>
        <w:rPr>
          <w:rFonts w:ascii="Times New Roman"/>
          <w:color w:val="74706E"/>
          <w:spacing w:val="3"/>
          <w:sz w:val="15"/>
        </w:rPr>
        <w:t> </w:t>
      </w:r>
      <w:r>
        <w:rPr>
          <w:rFonts w:ascii="Times New Roman"/>
          <w:color w:val="74706E"/>
          <w:sz w:val="13"/>
        </w:rPr>
        <w:t>Is</w:t>
      </w:r>
      <w:r>
        <w:rPr>
          <w:rFonts w:ascii="Times New Roman"/>
          <w:color w:val="74706E"/>
          <w:spacing w:val="5"/>
          <w:sz w:val="13"/>
        </w:rPr>
        <w:t> </w:t>
      </w:r>
      <w:r>
        <w:rPr>
          <w:rFonts w:ascii="Times New Roman"/>
          <w:i/>
          <w:color w:val="74706E"/>
          <w:sz w:val="17"/>
        </w:rPr>
        <w:t>a</w:t>
      </w:r>
      <w:r>
        <w:rPr>
          <w:rFonts w:ascii="Times New Roman"/>
          <w:i/>
          <w:color w:val="74706E"/>
          <w:spacing w:val="-4"/>
          <w:sz w:val="17"/>
        </w:rPr>
        <w:t> </w:t>
      </w:r>
      <w:r>
        <w:rPr>
          <w:rFonts w:ascii="Times New Roman"/>
          <w:color w:val="74706E"/>
          <w:sz w:val="15"/>
        </w:rPr>
        <w:t>m;iterial</w:t>
      </w:r>
      <w:r>
        <w:rPr>
          <w:rFonts w:ascii="Times New Roman"/>
          <w:color w:val="74706E"/>
          <w:spacing w:val="7"/>
          <w:sz w:val="15"/>
        </w:rPr>
        <w:t> </w:t>
      </w:r>
      <w:r>
        <w:rPr>
          <w:rFonts w:ascii="Times New Roman"/>
          <w:color w:val="74706E"/>
          <w:w w:val="140"/>
          <w:sz w:val="13"/>
        </w:rPr>
        <w:t>ml</w:t>
      </w:r>
      <w:r>
        <w:rPr>
          <w:rFonts w:ascii="Times New Roman"/>
          <w:color w:val="74706E"/>
          <w:spacing w:val="-2"/>
          <w:w w:val="140"/>
          <w:sz w:val="13"/>
        </w:rPr>
        <w:t>t</w:t>
      </w:r>
      <w:r>
        <w:rPr>
          <w:rFonts w:ascii="Times New Roman"/>
          <w:color w:val="74706E"/>
          <w:w w:val="140"/>
          <w:sz w:val="13"/>
        </w:rPr>
        <w:t>cmcnt</w:t>
      </w:r>
      <w:r>
        <w:rPr>
          <w:rFonts w:ascii="Times New Roman"/>
          <w:color w:val="74706E"/>
          <w:spacing w:val="-3"/>
          <w:w w:val="140"/>
          <w:sz w:val="13"/>
        </w:rPr>
        <w:t> </w:t>
      </w:r>
      <w:r>
        <w:rPr>
          <w:rFonts w:ascii="Arial"/>
          <w:color w:val="74706E"/>
          <w:sz w:val="13"/>
        </w:rPr>
        <w:t>of</w:t>
      </w:r>
      <w:r>
        <w:rPr>
          <w:rFonts w:ascii="Arial"/>
          <w:color w:val="74706E"/>
          <w:spacing w:val="6"/>
          <w:sz w:val="13"/>
        </w:rPr>
        <w:t> </w:t>
      </w:r>
      <w:r>
        <w:rPr>
          <w:rFonts w:ascii="Times New Roman"/>
          <w:color w:val="74706E"/>
          <w:sz w:val="15"/>
        </w:rPr>
        <w:t>this</w:t>
      </w:r>
      <w:r>
        <w:rPr>
          <w:rFonts w:ascii="Times New Roman"/>
          <w:color w:val="74706E"/>
          <w:spacing w:val="2"/>
          <w:sz w:val="15"/>
        </w:rPr>
        <w:t> </w:t>
      </w:r>
      <w:r>
        <w:rPr>
          <w:rFonts w:ascii="Times New Roman"/>
          <w:color w:val="74706E"/>
          <w:sz w:val="15"/>
        </w:rPr>
        <w:t>other</w:t>
      </w:r>
      <w:r>
        <w:rPr>
          <w:rFonts w:ascii="Times New Roman"/>
          <w:sz w:val="15"/>
        </w:rPr>
      </w:r>
    </w:p>
    <w:p>
      <w:pPr>
        <w:spacing w:line="177" w:lineRule="exact" w:before="0"/>
        <w:ind w:left="1054" w:right="0" w:firstLine="0"/>
        <w:jc w:val="both"/>
        <w:rPr>
          <w:rFonts w:ascii="Arial" w:hAnsi="Arial" w:cs="Arial" w:eastAsia="Arial"/>
          <w:sz w:val="12"/>
          <w:szCs w:val="12"/>
        </w:rPr>
      </w:pPr>
      <w:r>
        <w:rPr>
          <w:rFonts w:ascii="Times New Roman" w:hAnsi="Times New Roman" w:cs="Times New Roman" w:eastAsia="Times New Roman"/>
          <w:color w:val="878282"/>
          <w:w w:val="110"/>
          <w:sz w:val="13"/>
          <w:szCs w:val="13"/>
        </w:rPr>
        <w:t>informatlor\,</w:t>
      </w:r>
      <w:r>
        <w:rPr>
          <w:rFonts w:ascii="Times New Roman" w:hAnsi="Times New Roman" w:cs="Times New Roman" w:eastAsia="Times New Roman"/>
          <w:color w:val="878282"/>
          <w:spacing w:val="-1"/>
          <w:w w:val="110"/>
          <w:sz w:val="13"/>
          <w:szCs w:val="13"/>
        </w:rPr>
        <w:t> </w:t>
      </w:r>
      <w:r>
        <w:rPr>
          <w:rFonts w:ascii="Times New Roman" w:hAnsi="Times New Roman" w:cs="Times New Roman" w:eastAsia="Times New Roman"/>
          <w:color w:val="878282"/>
          <w:spacing w:val="6"/>
          <w:w w:val="110"/>
          <w:sz w:val="13"/>
          <w:szCs w:val="13"/>
        </w:rPr>
        <w:t>I</w:t>
      </w:r>
      <w:r>
        <w:rPr>
          <w:rFonts w:ascii="Times New Roman" w:hAnsi="Times New Roman" w:cs="Times New Roman" w:eastAsia="Times New Roman"/>
          <w:color w:val="878282"/>
          <w:spacing w:val="-15"/>
          <w:w w:val="110"/>
          <w:sz w:val="13"/>
          <w:szCs w:val="13"/>
        </w:rPr>
        <w:t>•</w:t>
      </w:r>
      <w:r>
        <w:rPr>
          <w:rFonts w:ascii="Times New Roman" w:hAnsi="Times New Roman" w:cs="Times New Roman" w:eastAsia="Times New Roman"/>
          <w:color w:val="878282"/>
          <w:w w:val="110"/>
          <w:sz w:val="13"/>
          <w:szCs w:val="13"/>
        </w:rPr>
        <w:t>rn</w:t>
      </w:r>
      <w:r>
        <w:rPr>
          <w:rFonts w:ascii="Times New Roman" w:hAnsi="Times New Roman" w:cs="Times New Roman" w:eastAsia="Times New Roman"/>
          <w:color w:val="878282"/>
          <w:spacing w:val="-3"/>
          <w:w w:val="110"/>
          <w:sz w:val="13"/>
          <w:szCs w:val="13"/>
        </w:rPr>
        <w:t> </w:t>
      </w:r>
      <w:r>
        <w:rPr>
          <w:rFonts w:ascii="Arial" w:hAnsi="Arial" w:cs="Arial" w:eastAsia="Arial"/>
          <w:color w:val="878282"/>
          <w:w w:val="110"/>
          <w:sz w:val="12"/>
          <w:szCs w:val="12"/>
        </w:rPr>
        <w:t>req</w:t>
      </w:r>
      <w:r>
        <w:rPr>
          <w:rFonts w:ascii="Arial" w:hAnsi="Arial" w:cs="Arial" w:eastAsia="Arial"/>
          <w:color w:val="878282"/>
          <w:spacing w:val="-14"/>
          <w:w w:val="110"/>
          <w:sz w:val="12"/>
          <w:szCs w:val="12"/>
        </w:rPr>
        <w:t>u</w:t>
      </w:r>
      <w:r>
        <w:rPr>
          <w:rFonts w:ascii="Arial" w:hAnsi="Arial" w:cs="Arial" w:eastAsia="Arial"/>
          <w:color w:val="878282"/>
          <w:w w:val="110"/>
          <w:sz w:val="12"/>
          <w:szCs w:val="12"/>
        </w:rPr>
        <w:t>ite</w:t>
      </w:r>
      <w:r>
        <w:rPr>
          <w:rFonts w:ascii="Arial" w:hAnsi="Arial" w:cs="Arial" w:eastAsia="Arial"/>
          <w:color w:val="878282"/>
          <w:spacing w:val="11"/>
          <w:w w:val="110"/>
          <w:sz w:val="12"/>
          <w:szCs w:val="12"/>
        </w:rPr>
        <w:t>d</w:t>
      </w:r>
      <w:r>
        <w:rPr>
          <w:rFonts w:ascii="Times New Roman" w:hAnsi="Times New Roman" w:cs="Times New Roman" w:eastAsia="Times New Roman"/>
          <w:color w:val="74706E"/>
          <w:w w:val="110"/>
          <w:sz w:val="13"/>
          <w:szCs w:val="13"/>
        </w:rPr>
        <w:t>t</w:t>
      </w:r>
      <w:r>
        <w:rPr>
          <w:rFonts w:ascii="Times New Roman" w:hAnsi="Times New Roman" w:cs="Times New Roman" w:eastAsia="Times New Roman"/>
          <w:color w:val="74706E"/>
          <w:spacing w:val="6"/>
          <w:w w:val="110"/>
          <w:sz w:val="13"/>
          <w:szCs w:val="13"/>
        </w:rPr>
        <w:t>o</w:t>
      </w:r>
      <w:r>
        <w:rPr>
          <w:rFonts w:ascii="Arial" w:hAnsi="Arial" w:cs="Arial" w:eastAsia="Arial"/>
          <w:i/>
          <w:color w:val="878282"/>
          <w:w w:val="110"/>
          <w:sz w:val="10"/>
          <w:szCs w:val="10"/>
        </w:rPr>
        <w:t>tl!l)Oft</w:t>
      </w:r>
      <w:r>
        <w:rPr>
          <w:rFonts w:ascii="Arial" w:hAnsi="Arial" w:cs="Arial" w:eastAsia="Arial"/>
          <w:i/>
          <w:color w:val="878282"/>
          <w:spacing w:val="5"/>
          <w:w w:val="110"/>
          <w:sz w:val="10"/>
          <w:szCs w:val="10"/>
        </w:rPr>
        <w:t> </w:t>
      </w:r>
      <w:r>
        <w:rPr>
          <w:rFonts w:ascii="Times New Roman" w:hAnsi="Times New Roman" w:cs="Times New Roman" w:eastAsia="Times New Roman"/>
          <w:color w:val="878282"/>
          <w:w w:val="110"/>
          <w:sz w:val="13"/>
          <w:szCs w:val="13"/>
        </w:rPr>
        <w:t>that</w:t>
      </w:r>
      <w:r>
        <w:rPr>
          <w:rFonts w:ascii="Times New Roman" w:hAnsi="Times New Roman" w:cs="Times New Roman" w:eastAsia="Times New Roman"/>
          <w:color w:val="878282"/>
          <w:spacing w:val="1"/>
          <w:w w:val="110"/>
          <w:sz w:val="13"/>
          <w:szCs w:val="13"/>
        </w:rPr>
        <w:t> </w:t>
      </w:r>
      <w:r>
        <w:rPr>
          <w:rFonts w:ascii="Times New Roman" w:hAnsi="Times New Roman" w:cs="Times New Roman" w:eastAsia="Times New Roman"/>
          <w:color w:val="74706E"/>
          <w:w w:val="110"/>
          <w:sz w:val="13"/>
          <w:szCs w:val="13"/>
        </w:rPr>
        <w:t>fact.</w:t>
      </w:r>
      <w:r>
        <w:rPr>
          <w:rFonts w:ascii="Times New Roman" w:hAnsi="Times New Roman" w:cs="Times New Roman" w:eastAsia="Times New Roman"/>
          <w:color w:val="74706E"/>
          <w:spacing w:val="-17"/>
          <w:w w:val="110"/>
          <w:sz w:val="13"/>
          <w:szCs w:val="13"/>
        </w:rPr>
        <w:t> </w:t>
      </w:r>
      <w:r>
        <w:rPr>
          <w:rFonts w:ascii="Times New Roman" w:hAnsi="Times New Roman" w:cs="Times New Roman" w:eastAsia="Times New Roman"/>
          <w:color w:val="5D5B59"/>
          <w:sz w:val="13"/>
          <w:szCs w:val="13"/>
        </w:rPr>
        <w:t>I</w:t>
      </w:r>
      <w:r>
        <w:rPr>
          <w:rFonts w:ascii="Times New Roman" w:hAnsi="Times New Roman" w:cs="Times New Roman" w:eastAsia="Times New Roman"/>
          <w:color w:val="5D5B59"/>
          <w:spacing w:val="10"/>
          <w:sz w:val="13"/>
          <w:szCs w:val="13"/>
        </w:rPr>
        <w:t> </w:t>
      </w:r>
      <w:r>
        <w:rPr>
          <w:rFonts w:ascii="Times New Roman" w:hAnsi="Times New Roman" w:cs="Times New Roman" w:eastAsia="Times New Roman"/>
          <w:color w:val="878282"/>
          <w:w w:val="110"/>
          <w:sz w:val="13"/>
          <w:szCs w:val="13"/>
        </w:rPr>
        <w:t>htve</w:t>
      </w:r>
      <w:r>
        <w:rPr>
          <w:rFonts w:ascii="Times New Roman" w:hAnsi="Times New Roman" w:cs="Times New Roman" w:eastAsia="Times New Roman"/>
          <w:color w:val="878282"/>
          <w:spacing w:val="-3"/>
          <w:w w:val="110"/>
          <w:sz w:val="13"/>
          <w:szCs w:val="13"/>
        </w:rPr>
        <w:t> </w:t>
      </w:r>
      <w:r>
        <w:rPr>
          <w:rFonts w:ascii="Arial" w:hAnsi="Arial" w:cs="Arial" w:eastAsia="Arial"/>
          <w:color w:val="74706E"/>
          <w:sz w:val="17"/>
          <w:szCs w:val="17"/>
        </w:rPr>
        <w:t>l\OthiflC</w:t>
      </w:r>
      <w:r>
        <w:rPr>
          <w:rFonts w:ascii="Arial" w:hAnsi="Arial" w:cs="Arial" w:eastAsia="Arial"/>
          <w:color w:val="74706E"/>
          <w:spacing w:val="-15"/>
          <w:sz w:val="17"/>
          <w:szCs w:val="17"/>
        </w:rPr>
        <w:t> </w:t>
      </w:r>
      <w:r>
        <w:rPr>
          <w:rFonts w:ascii="Times New Roman" w:hAnsi="Times New Roman" w:cs="Times New Roman" w:eastAsia="Times New Roman"/>
          <w:color w:val="74706E"/>
          <w:w w:val="110"/>
          <w:sz w:val="13"/>
          <w:szCs w:val="13"/>
        </w:rPr>
        <w:t>to</w:t>
      </w:r>
      <w:r>
        <w:rPr>
          <w:rFonts w:ascii="Times New Roman" w:hAnsi="Times New Roman" w:cs="Times New Roman" w:eastAsia="Times New Roman"/>
          <w:color w:val="74706E"/>
          <w:spacing w:val="-9"/>
          <w:w w:val="110"/>
          <w:sz w:val="13"/>
          <w:szCs w:val="13"/>
        </w:rPr>
        <w:t> </w:t>
      </w:r>
      <w:r>
        <w:rPr>
          <w:rFonts w:ascii="Times New Roman" w:hAnsi="Times New Roman" w:cs="Times New Roman" w:eastAsia="Times New Roman"/>
          <w:color w:val="74706E"/>
          <w:w w:val="110"/>
          <w:sz w:val="13"/>
          <w:szCs w:val="13"/>
        </w:rPr>
        <w:t>ttpott </w:t>
      </w:r>
      <w:r>
        <w:rPr>
          <w:rFonts w:ascii="Arial" w:hAnsi="Arial" w:cs="Arial" w:eastAsia="Arial"/>
          <w:color w:val="878282"/>
          <w:w w:val="120"/>
          <w:sz w:val="12"/>
          <w:szCs w:val="12"/>
        </w:rPr>
        <w:t>li</w:t>
      </w:r>
      <w:r>
        <w:rPr>
          <w:rFonts w:ascii="Arial" w:hAnsi="Arial" w:cs="Arial" w:eastAsia="Arial"/>
          <w:color w:val="878282"/>
          <w:spacing w:val="-3"/>
          <w:w w:val="120"/>
          <w:sz w:val="12"/>
          <w:szCs w:val="12"/>
        </w:rPr>
        <w:t>n</w:t>
      </w:r>
      <w:r>
        <w:rPr>
          <w:rFonts w:ascii="Arial" w:hAnsi="Arial" w:cs="Arial" w:eastAsia="Arial"/>
          <w:color w:val="878282"/>
          <w:w w:val="120"/>
          <w:sz w:val="13"/>
          <w:szCs w:val="13"/>
        </w:rPr>
        <w:t>tN</w:t>
      </w:r>
      <w:r>
        <w:rPr>
          <w:rFonts w:ascii="Arial" w:hAnsi="Arial" w:cs="Arial" w:eastAsia="Arial"/>
          <w:color w:val="878282"/>
          <w:spacing w:val="10"/>
          <w:w w:val="120"/>
          <w:sz w:val="13"/>
          <w:szCs w:val="13"/>
        </w:rPr>
        <w:t>s</w:t>
      </w:r>
      <w:r>
        <w:rPr>
          <w:rFonts w:ascii="Arial" w:hAnsi="Arial" w:cs="Arial" w:eastAsia="Arial"/>
          <w:color w:val="74706E"/>
          <w:w w:val="120"/>
          <w:sz w:val="12"/>
          <w:szCs w:val="12"/>
        </w:rPr>
        <w:t>re</w:t>
      </w:r>
      <w:r>
        <w:rPr>
          <w:rFonts w:ascii="Arial" w:hAnsi="Arial" w:cs="Arial" w:eastAsia="Arial"/>
          <w:color w:val="74706E"/>
          <w:spacing w:val="-13"/>
          <w:w w:val="120"/>
          <w:sz w:val="12"/>
          <w:szCs w:val="12"/>
        </w:rPr>
        <w:t>p</w:t>
      </w:r>
      <w:r>
        <w:rPr>
          <w:rFonts w:ascii="Arial" w:hAnsi="Arial" w:cs="Arial" w:eastAsia="Arial"/>
          <w:color w:val="74706E"/>
          <w:w w:val="120"/>
          <w:sz w:val="12"/>
          <w:szCs w:val="12"/>
        </w:rPr>
        <w:t>r</w:t>
      </w:r>
      <w:r>
        <w:rPr>
          <w:rFonts w:ascii="Arial" w:hAnsi="Arial" w:cs="Arial" w:eastAsia="Arial"/>
          <w:color w:val="74706E"/>
          <w:spacing w:val="-20"/>
          <w:w w:val="120"/>
          <w:sz w:val="12"/>
          <w:szCs w:val="12"/>
        </w:rPr>
        <w:t>d</w:t>
      </w:r>
      <w:r>
        <w:rPr>
          <w:rFonts w:ascii="Arial" w:hAnsi="Arial" w:cs="Arial" w:eastAsia="Arial"/>
          <w:color w:val="F7AC9E"/>
          <w:w w:val="120"/>
          <w:sz w:val="12"/>
          <w:szCs w:val="12"/>
        </w:rPr>
        <w:t>.</w:t>
      </w:r>
      <w:r>
        <w:rPr>
          <w:rFonts w:ascii="Arial" w:hAnsi="Arial" w:cs="Arial" w:eastAsia="Arial"/>
          <w:sz w:val="12"/>
          <w:szCs w:val="12"/>
        </w:rPr>
      </w:r>
    </w:p>
    <w:p>
      <w:pPr>
        <w:spacing w:line="240" w:lineRule="auto" w:before="7"/>
        <w:rPr>
          <w:rFonts w:ascii="Arial" w:hAnsi="Arial" w:cs="Arial" w:eastAsia="Arial"/>
          <w:sz w:val="19"/>
          <w:szCs w:val="19"/>
        </w:rPr>
      </w:pPr>
    </w:p>
    <w:p>
      <w:pPr>
        <w:spacing w:line="131" w:lineRule="exact" w:before="0"/>
        <w:ind w:left="4840" w:right="0" w:firstLine="0"/>
        <w:jc w:val="left"/>
        <w:rPr>
          <w:rFonts w:ascii="Arial" w:hAnsi="Arial" w:cs="Arial" w:eastAsia="Arial"/>
          <w:sz w:val="12"/>
          <w:szCs w:val="12"/>
        </w:rPr>
      </w:pPr>
      <w:r>
        <w:rPr>
          <w:rFonts w:ascii="Arial"/>
          <w:color w:val="878282"/>
          <w:w w:val="110"/>
          <w:sz w:val="11"/>
        </w:rPr>
        <w:t>GP08oll</w:t>
      </w:r>
      <w:r>
        <w:rPr>
          <w:rFonts w:ascii="Arial"/>
          <w:color w:val="878282"/>
          <w:spacing w:val="-18"/>
          <w:w w:val="110"/>
          <w:sz w:val="11"/>
        </w:rPr>
        <w:t> </w:t>
      </w:r>
      <w:r>
        <w:rPr>
          <w:rFonts w:ascii="Arial"/>
          <w:color w:val="878282"/>
          <w:spacing w:val="-5"/>
          <w:w w:val="110"/>
          <w:sz w:val="11"/>
        </w:rPr>
        <w:t>101</w:t>
      </w:r>
      <w:r>
        <w:rPr>
          <w:rFonts w:ascii="Arial"/>
          <w:color w:val="878282"/>
          <w:spacing w:val="-4"/>
          <w:w w:val="110"/>
          <w:sz w:val="11"/>
        </w:rPr>
        <w:t>CNa:</w:t>
      </w:r>
      <w:r>
        <w:rPr>
          <w:rFonts w:ascii="Arial"/>
          <w:color w:val="878282"/>
          <w:spacing w:val="-6"/>
          <w:w w:val="110"/>
          <w:sz w:val="11"/>
        </w:rPr>
        <w:t>RRA</w:t>
      </w:r>
      <w:r>
        <w:rPr>
          <w:rFonts w:ascii="Arial"/>
          <w:color w:val="878282"/>
          <w:spacing w:val="-3"/>
          <w:w w:val="110"/>
          <w:sz w:val="11"/>
        </w:rPr>
        <w:t> </w:t>
      </w:r>
      <w:r>
        <w:rPr>
          <w:rFonts w:ascii="Arial"/>
          <w:color w:val="878282"/>
          <w:w w:val="110"/>
          <w:sz w:val="11"/>
        </w:rPr>
        <w:t>ACT</w:t>
      </w:r>
      <w:r>
        <w:rPr>
          <w:rFonts w:ascii="Arial"/>
          <w:color w:val="878282"/>
          <w:spacing w:val="2"/>
          <w:w w:val="110"/>
          <w:sz w:val="11"/>
        </w:rPr>
        <w:t> </w:t>
      </w:r>
      <w:r>
        <w:rPr>
          <w:rFonts w:ascii="Arial"/>
          <w:color w:val="878282"/>
          <w:w w:val="200"/>
          <w:sz w:val="12"/>
        </w:rPr>
        <w:t>*1</w:t>
      </w:r>
      <w:r>
        <w:rPr>
          <w:rFonts w:ascii="Arial"/>
          <w:sz w:val="12"/>
        </w:rPr>
      </w:r>
    </w:p>
    <w:p>
      <w:pPr>
        <w:spacing w:line="93" w:lineRule="exact" w:before="0"/>
        <w:ind w:left="4855" w:right="0" w:firstLine="0"/>
        <w:jc w:val="left"/>
        <w:rPr>
          <w:rFonts w:ascii="Times New Roman" w:hAnsi="Times New Roman" w:cs="Times New Roman" w:eastAsia="Times New Roman"/>
          <w:sz w:val="11"/>
          <w:szCs w:val="11"/>
        </w:rPr>
      </w:pPr>
      <w:r>
        <w:rPr>
          <w:rFonts w:ascii="Times New Roman"/>
          <w:color w:val="878282"/>
          <w:spacing w:val="-28"/>
          <w:w w:val="105"/>
          <w:sz w:val="11"/>
        </w:rPr>
        <w:t>1</w:t>
      </w:r>
      <w:r>
        <w:rPr>
          <w:rFonts w:ascii="Times New Roman"/>
          <w:color w:val="878282"/>
          <w:w w:val="105"/>
          <w:sz w:val="11"/>
        </w:rPr>
        <w:t>9HllloNICNIM&amp;lRTON</w:t>
      </w:r>
      <w:r>
        <w:rPr>
          <w:rFonts w:ascii="Times New Roman"/>
          <w:color w:val="878282"/>
          <w:spacing w:val="6"/>
          <w:w w:val="105"/>
          <w:sz w:val="11"/>
        </w:rPr>
        <w:t> </w:t>
      </w:r>
      <w:r>
        <w:rPr>
          <w:rFonts w:ascii="Times New Roman"/>
          <w:color w:val="74706E"/>
          <w:w w:val="105"/>
          <w:sz w:val="11"/>
        </w:rPr>
        <w:t>ACl</w:t>
      </w:r>
      <w:r>
        <w:rPr>
          <w:rFonts w:ascii="Times New Roman"/>
          <w:sz w:val="11"/>
        </w:rPr>
      </w:r>
    </w:p>
    <w:p>
      <w:pPr>
        <w:spacing w:line="134" w:lineRule="exact" w:before="0"/>
        <w:ind w:left="4840" w:right="0" w:firstLine="0"/>
        <w:jc w:val="left"/>
        <w:rPr>
          <w:rFonts w:ascii="Times New Roman" w:hAnsi="Times New Roman" w:cs="Times New Roman" w:eastAsia="Times New Roman"/>
          <w:sz w:val="12"/>
          <w:szCs w:val="12"/>
        </w:rPr>
      </w:pPr>
      <w:r>
        <w:rPr>
          <w:rFonts w:ascii="Times New Roman"/>
          <w:color w:val="74706E"/>
          <w:w w:val="110"/>
          <w:sz w:val="14"/>
        </w:rPr>
        <w:t>,.,,,,.,.l02J'</w:t>
      </w:r>
      <w:r>
        <w:rPr>
          <w:rFonts w:ascii="Times New Roman"/>
          <w:color w:val="74706E"/>
          <w:spacing w:val="6"/>
          <w:w w:val="110"/>
          <w:sz w:val="14"/>
        </w:rPr>
        <w:t>*</w:t>
      </w:r>
      <w:r>
        <w:rPr>
          <w:rFonts w:ascii="Times New Roman"/>
          <w:color w:val="74706E"/>
          <w:w w:val="110"/>
          <w:sz w:val="14"/>
        </w:rPr>
        <w:t>1'00 </w:t>
      </w:r>
      <w:r>
        <w:rPr>
          <w:rFonts w:ascii="Times New Roman"/>
          <w:color w:val="74706E"/>
          <w:spacing w:val="11"/>
          <w:w w:val="110"/>
          <w:sz w:val="14"/>
        </w:rPr>
        <w:t> </w:t>
      </w:r>
      <w:r>
        <w:rPr>
          <w:rFonts w:ascii="Times New Roman"/>
          <w:color w:val="5D5B59"/>
          <w:spacing w:val="-7"/>
          <w:w w:val="110"/>
          <w:sz w:val="12"/>
        </w:rPr>
        <w:t>F</w:t>
      </w:r>
      <w:r>
        <w:rPr>
          <w:rFonts w:ascii="Times New Roman"/>
          <w:color w:val="74706E"/>
          <w:w w:val="110"/>
          <w:sz w:val="12"/>
        </w:rPr>
        <w:t>.</w:t>
      </w:r>
      <w:r>
        <w:rPr>
          <w:rFonts w:ascii="Times New Roman"/>
          <w:color w:val="74706E"/>
          <w:spacing w:val="-12"/>
          <w:w w:val="110"/>
          <w:sz w:val="12"/>
        </w:rPr>
        <w:t>.</w:t>
      </w:r>
      <w:r>
        <w:rPr>
          <w:rFonts w:ascii="Times New Roman"/>
          <w:color w:val="878282"/>
          <w:w w:val="110"/>
          <w:sz w:val="12"/>
        </w:rPr>
        <w:t>(OaJ'20Sm7</w:t>
      </w:r>
      <w:r>
        <w:rPr>
          <w:rFonts w:ascii="Times New Roman"/>
          <w:sz w:val="12"/>
        </w:rPr>
      </w:r>
    </w:p>
    <w:p>
      <w:pPr>
        <w:spacing w:after="0" w:line="134" w:lineRule="exact"/>
        <w:jc w:val="left"/>
        <w:rPr>
          <w:rFonts w:ascii="Times New Roman" w:hAnsi="Times New Roman" w:cs="Times New Roman" w:eastAsia="Times New Roman"/>
          <w:sz w:val="12"/>
          <w:szCs w:val="12"/>
        </w:rPr>
        <w:sectPr>
          <w:type w:val="continuous"/>
          <w:pgSz w:w="9980" w:h="14180"/>
          <w:pgMar w:top="0" w:bottom="280" w:left="760" w:right="960"/>
        </w:sectPr>
      </w:pPr>
    </w:p>
    <w:p>
      <w:pPr>
        <w:spacing w:before="63"/>
        <w:ind w:left="0" w:right="153" w:firstLine="0"/>
        <w:jc w:val="right"/>
        <w:rPr>
          <w:rFonts w:ascii="Arial" w:hAnsi="Arial" w:cs="Arial" w:eastAsia="Arial"/>
          <w:sz w:val="16"/>
          <w:szCs w:val="16"/>
        </w:rPr>
      </w:pPr>
      <w:bookmarkStart w:name="STATEMENT OF COMPREHENSIVE INCOME" w:id="22"/>
      <w:bookmarkEnd w:id="22"/>
      <w:r>
        <w:rPr/>
      </w:r>
      <w:r>
        <w:rPr>
          <w:rFonts w:ascii="Arial"/>
          <w:color w:val="363434"/>
          <w:w w:val="85"/>
          <w:sz w:val="16"/>
        </w:rPr>
        <w:t>AN</w:t>
      </w:r>
      <w:r>
        <w:rPr>
          <w:rFonts w:ascii="Arial"/>
          <w:color w:val="363434"/>
          <w:spacing w:val="-6"/>
          <w:w w:val="85"/>
          <w:sz w:val="16"/>
        </w:rPr>
        <w:t>N</w:t>
      </w:r>
      <w:r>
        <w:rPr>
          <w:rFonts w:ascii="Arial"/>
          <w:color w:val="363434"/>
          <w:w w:val="85"/>
          <w:sz w:val="16"/>
        </w:rPr>
        <w:t>UA</w:t>
      </w:r>
      <w:r>
        <w:rPr>
          <w:rFonts w:ascii="Arial"/>
          <w:color w:val="363434"/>
          <w:spacing w:val="17"/>
          <w:w w:val="85"/>
          <w:sz w:val="16"/>
        </w:rPr>
        <w:t>L</w:t>
      </w:r>
      <w:r>
        <w:rPr>
          <w:rFonts w:ascii="Arial"/>
          <w:color w:val="363434"/>
          <w:w w:val="85"/>
          <w:sz w:val="16"/>
        </w:rPr>
        <w:t>REFQRT </w:t>
      </w:r>
      <w:r>
        <w:rPr>
          <w:rFonts w:ascii="Arial"/>
          <w:color w:val="363434"/>
          <w:spacing w:val="18"/>
          <w:w w:val="85"/>
          <w:sz w:val="16"/>
        </w:rPr>
        <w:t> </w:t>
      </w:r>
      <w:r>
        <w:rPr>
          <w:rFonts w:ascii="Arial"/>
          <w:color w:val="363434"/>
          <w:w w:val="85"/>
          <w:sz w:val="16"/>
        </w:rPr>
        <w:t>2018</w:t>
      </w:r>
      <w:r>
        <w:rPr>
          <w:rFonts w:ascii="Arial"/>
          <w:color w:val="363434"/>
          <w:spacing w:val="-14"/>
          <w:w w:val="85"/>
          <w:sz w:val="16"/>
        </w:rPr>
        <w:t>-</w:t>
      </w:r>
      <w:r>
        <w:rPr>
          <w:rFonts w:ascii="Arial"/>
          <w:color w:val="363434"/>
          <w:spacing w:val="-31"/>
          <w:w w:val="85"/>
          <w:sz w:val="16"/>
        </w:rPr>
        <w:t>1</w:t>
      </w:r>
      <w:r>
        <w:rPr>
          <w:rFonts w:ascii="Arial"/>
          <w:color w:val="363434"/>
          <w:w w:val="85"/>
          <w:sz w:val="16"/>
        </w:rPr>
        <w:t>9</w:t>
      </w:r>
      <w:r>
        <w:rPr>
          <w:rFonts w:ascii="Arial"/>
          <w:sz w:val="16"/>
        </w:rPr>
      </w:r>
    </w:p>
    <w:p>
      <w:pPr>
        <w:spacing w:line="240" w:lineRule="auto" w:before="0"/>
        <w:rPr>
          <w:rFonts w:ascii="Arial" w:hAnsi="Arial" w:cs="Arial" w:eastAsia="Arial"/>
          <w:sz w:val="16"/>
          <w:szCs w:val="16"/>
        </w:rPr>
      </w:pPr>
    </w:p>
    <w:p>
      <w:pPr>
        <w:spacing w:line="240" w:lineRule="auto" w:before="0"/>
        <w:rPr>
          <w:rFonts w:ascii="Arial" w:hAnsi="Arial" w:cs="Arial" w:eastAsia="Arial"/>
          <w:sz w:val="16"/>
          <w:szCs w:val="16"/>
        </w:rPr>
      </w:pPr>
    </w:p>
    <w:p>
      <w:pPr>
        <w:spacing w:line="240" w:lineRule="auto" w:before="0"/>
        <w:rPr>
          <w:rFonts w:ascii="Arial" w:hAnsi="Arial" w:cs="Arial" w:eastAsia="Arial"/>
          <w:sz w:val="16"/>
          <w:szCs w:val="16"/>
        </w:rPr>
      </w:pPr>
    </w:p>
    <w:p>
      <w:pPr>
        <w:spacing w:line="240" w:lineRule="auto" w:before="0"/>
        <w:rPr>
          <w:rFonts w:ascii="Arial" w:hAnsi="Arial" w:cs="Arial" w:eastAsia="Arial"/>
          <w:sz w:val="16"/>
          <w:szCs w:val="16"/>
        </w:rPr>
      </w:pPr>
    </w:p>
    <w:p>
      <w:pPr>
        <w:spacing w:line="240" w:lineRule="auto" w:before="0"/>
        <w:rPr>
          <w:rFonts w:ascii="Arial" w:hAnsi="Arial" w:cs="Arial" w:eastAsia="Arial"/>
          <w:sz w:val="16"/>
          <w:szCs w:val="16"/>
        </w:rPr>
      </w:pPr>
    </w:p>
    <w:p>
      <w:pPr>
        <w:spacing w:line="240" w:lineRule="auto" w:before="0"/>
        <w:rPr>
          <w:rFonts w:ascii="Arial" w:hAnsi="Arial" w:cs="Arial" w:eastAsia="Arial"/>
          <w:sz w:val="16"/>
          <w:szCs w:val="16"/>
        </w:rPr>
      </w:pPr>
    </w:p>
    <w:p>
      <w:pPr>
        <w:spacing w:line="240" w:lineRule="auto" w:before="0"/>
        <w:rPr>
          <w:rFonts w:ascii="Arial" w:hAnsi="Arial" w:cs="Arial" w:eastAsia="Arial"/>
          <w:sz w:val="16"/>
          <w:szCs w:val="16"/>
        </w:rPr>
      </w:pPr>
    </w:p>
    <w:p>
      <w:pPr>
        <w:spacing w:line="240" w:lineRule="auto" w:before="0"/>
        <w:rPr>
          <w:rFonts w:ascii="Arial" w:hAnsi="Arial" w:cs="Arial" w:eastAsia="Arial"/>
          <w:sz w:val="16"/>
          <w:szCs w:val="16"/>
        </w:rPr>
      </w:pPr>
    </w:p>
    <w:p>
      <w:pPr>
        <w:spacing w:line="240" w:lineRule="auto" w:before="0"/>
        <w:rPr>
          <w:rFonts w:ascii="Arial" w:hAnsi="Arial" w:cs="Arial" w:eastAsia="Arial"/>
          <w:sz w:val="16"/>
          <w:szCs w:val="16"/>
        </w:rPr>
      </w:pPr>
    </w:p>
    <w:p>
      <w:pPr>
        <w:spacing w:line="240" w:lineRule="auto" w:before="0"/>
        <w:rPr>
          <w:rFonts w:ascii="Arial" w:hAnsi="Arial" w:cs="Arial" w:eastAsia="Arial"/>
          <w:sz w:val="16"/>
          <w:szCs w:val="16"/>
        </w:rPr>
      </w:pPr>
    </w:p>
    <w:p>
      <w:pPr>
        <w:spacing w:line="240" w:lineRule="auto" w:before="4"/>
        <w:rPr>
          <w:rFonts w:ascii="Arial" w:hAnsi="Arial" w:cs="Arial" w:eastAsia="Arial"/>
          <w:sz w:val="16"/>
          <w:szCs w:val="16"/>
        </w:rPr>
      </w:pPr>
    </w:p>
    <w:p>
      <w:pPr>
        <w:spacing w:before="0"/>
        <w:ind w:left="1067" w:right="0" w:firstLine="0"/>
        <w:jc w:val="both"/>
        <w:rPr>
          <w:rFonts w:ascii="Times New Roman" w:hAnsi="Times New Roman" w:cs="Times New Roman" w:eastAsia="Times New Roman"/>
          <w:sz w:val="15"/>
          <w:szCs w:val="15"/>
        </w:rPr>
      </w:pPr>
      <w:r>
        <w:rPr/>
        <w:pict>
          <v:group style="position:absolute;margin-left:58.672714pt;margin-top:-27.532684pt;width:401pt;height:562.65pt;mso-position-horizontal-relative:page;mso-position-vertical-relative:paragraph;z-index:-181384" coordorigin="1173,-551" coordsize="8020,11253">
            <v:group style="position:absolute;left:9143;top:-522;width:2;height:11195" coordorigin="9143,-522" coordsize="2,11195">
              <v:shape style="position:absolute;left:9143;top:-522;width:2;height:11195" coordorigin="9143,-522" coordsize="0,11195" path="m9143,10673l9143,-522e" filled="false" stroked="true" strokeweight="2.879642pt" strokecolor="#bcbfc3">
                <v:path arrowok="t"/>
              </v:shape>
            </v:group>
            <v:group style="position:absolute;left:1195;top:10651;width:7977;height:2" coordorigin="1195,10651" coordsize="7977,2">
              <v:shape style="position:absolute;left:1195;top:10651;width:7977;height:2" coordorigin="1195,10651" coordsize="7977,0" path="m1195,10651l9172,10651e" filled="false" stroked="true" strokeweight="2.159732pt" strokecolor="#bfc3c3">
                <v:path arrowok="t"/>
              </v:shape>
            </v:group>
            <w10:wrap type="none"/>
          </v:group>
        </w:pict>
      </w:r>
      <w:r>
        <w:rPr>
          <w:rFonts w:ascii="Times New Roman" w:hAnsi="Times New Roman" w:cs="Times New Roman" w:eastAsia="Times New Roman"/>
          <w:color w:val="565454"/>
          <w:w w:val="110"/>
          <w:sz w:val="15"/>
          <w:szCs w:val="15"/>
        </w:rPr>
        <w:t>otrectors'</w:t>
      </w:r>
      <w:r>
        <w:rPr>
          <w:rFonts w:ascii="Times New Roman" w:hAnsi="Times New Roman" w:cs="Times New Roman" w:eastAsia="Times New Roman"/>
          <w:color w:val="565454"/>
          <w:spacing w:val="-14"/>
          <w:w w:val="110"/>
          <w:sz w:val="15"/>
          <w:szCs w:val="15"/>
        </w:rPr>
        <w:t> </w:t>
      </w:r>
      <w:r>
        <w:rPr>
          <w:rFonts w:ascii="Times New Roman" w:hAnsi="Times New Roman" w:cs="Times New Roman" w:eastAsia="Times New Roman"/>
          <w:color w:val="464444"/>
          <w:spacing w:val="-14"/>
          <w:w w:val="110"/>
          <w:sz w:val="15"/>
          <w:szCs w:val="15"/>
        </w:rPr>
        <w:t>r</w:t>
      </w:r>
      <w:r>
        <w:rPr>
          <w:rFonts w:ascii="Times New Roman" w:hAnsi="Times New Roman" w:cs="Times New Roman" w:eastAsia="Times New Roman"/>
          <w:color w:val="6E6B6B"/>
          <w:w w:val="110"/>
          <w:sz w:val="15"/>
          <w:szCs w:val="15"/>
        </w:rPr>
        <w:t>esponslbUlty</w:t>
      </w:r>
      <w:r>
        <w:rPr>
          <w:rFonts w:ascii="Times New Roman" w:hAnsi="Times New Roman" w:cs="Times New Roman" w:eastAsia="Times New Roman"/>
          <w:color w:val="6E6B6B"/>
          <w:spacing w:val="-11"/>
          <w:w w:val="110"/>
          <w:sz w:val="15"/>
          <w:szCs w:val="15"/>
        </w:rPr>
        <w:t> </w:t>
      </w:r>
      <w:r>
        <w:rPr>
          <w:rFonts w:ascii="Times New Roman" w:hAnsi="Times New Roman" w:cs="Times New Roman" w:eastAsia="Times New Roman"/>
          <w:color w:val="565454"/>
          <w:w w:val="110"/>
          <w:sz w:val="15"/>
          <w:szCs w:val="15"/>
        </w:rPr>
        <w:t>tor</w:t>
      </w:r>
      <w:r>
        <w:rPr>
          <w:rFonts w:ascii="Times New Roman" w:hAnsi="Times New Roman" w:cs="Times New Roman" w:eastAsia="Times New Roman"/>
          <w:color w:val="565454"/>
          <w:spacing w:val="-20"/>
          <w:w w:val="110"/>
          <w:sz w:val="15"/>
          <w:szCs w:val="15"/>
        </w:rPr>
        <w:t> </w:t>
      </w:r>
      <w:r>
        <w:rPr>
          <w:rFonts w:ascii="Times New Roman" w:hAnsi="Times New Roman" w:cs="Times New Roman" w:eastAsia="Times New Roman"/>
          <w:color w:val="565454"/>
          <w:w w:val="110"/>
          <w:sz w:val="14"/>
          <w:szCs w:val="14"/>
        </w:rPr>
        <w:t>the</w:t>
      </w:r>
      <w:r>
        <w:rPr>
          <w:rFonts w:ascii="Times New Roman" w:hAnsi="Times New Roman" w:cs="Times New Roman" w:eastAsia="Times New Roman"/>
          <w:color w:val="565454"/>
          <w:spacing w:val="-20"/>
          <w:w w:val="110"/>
          <w:sz w:val="14"/>
          <w:szCs w:val="14"/>
        </w:rPr>
        <w:t> </w:t>
      </w:r>
      <w:r>
        <w:rPr>
          <w:rFonts w:ascii="Times New Roman" w:hAnsi="Times New Roman" w:cs="Times New Roman" w:eastAsia="Times New Roman"/>
          <w:color w:val="565454"/>
          <w:w w:val="110"/>
          <w:sz w:val="15"/>
          <w:szCs w:val="15"/>
        </w:rPr>
        <w:t>ftnanclat</w:t>
      </w:r>
      <w:r>
        <w:rPr>
          <w:rFonts w:ascii="Times New Roman" w:hAnsi="Times New Roman" w:cs="Times New Roman" w:eastAsia="Times New Roman"/>
          <w:color w:val="565454"/>
          <w:spacing w:val="-4"/>
          <w:w w:val="110"/>
          <w:sz w:val="15"/>
          <w:szCs w:val="15"/>
        </w:rPr>
        <w:t> </w:t>
      </w:r>
      <w:r>
        <w:rPr>
          <w:rFonts w:ascii="Times New Roman" w:hAnsi="Times New Roman" w:cs="Times New Roman" w:eastAsia="Times New Roman"/>
          <w:color w:val="464444"/>
          <w:w w:val="110"/>
          <w:sz w:val="15"/>
          <w:szCs w:val="15"/>
        </w:rPr>
        <w:t>r</w:t>
      </w:r>
      <w:r>
        <w:rPr>
          <w:rFonts w:ascii="Times New Roman" w:hAnsi="Times New Roman" w:cs="Times New Roman" w:eastAsia="Times New Roman"/>
          <w:color w:val="6E6B6B"/>
          <w:spacing w:val="-17"/>
          <w:w w:val="110"/>
          <w:sz w:val="15"/>
          <w:szCs w:val="15"/>
        </w:rPr>
        <w:t>•</w:t>
      </w:r>
      <w:r>
        <w:rPr>
          <w:rFonts w:ascii="Times New Roman" w:hAnsi="Times New Roman" w:cs="Times New Roman" w:eastAsia="Times New Roman"/>
          <w:color w:val="6E6B6B"/>
          <w:w w:val="110"/>
          <w:sz w:val="15"/>
          <w:szCs w:val="15"/>
        </w:rPr>
        <w:t>port</w:t>
      </w:r>
      <w:r>
        <w:rPr>
          <w:rFonts w:ascii="Times New Roman" w:hAnsi="Times New Roman" w:cs="Times New Roman" w:eastAsia="Times New Roman"/>
          <w:sz w:val="15"/>
          <w:szCs w:val="15"/>
        </w:rPr>
      </w:r>
    </w:p>
    <w:p>
      <w:pPr>
        <w:spacing w:line="235" w:lineRule="auto" w:before="14"/>
        <w:ind w:left="1031" w:right="1154" w:firstLine="36"/>
        <w:jc w:val="both"/>
        <w:rPr>
          <w:rFonts w:ascii="Arial" w:hAnsi="Arial" w:cs="Arial" w:eastAsia="Arial"/>
          <w:sz w:val="13"/>
          <w:szCs w:val="13"/>
        </w:rPr>
      </w:pPr>
      <w:r>
        <w:rPr>
          <w:rFonts w:ascii="Times New Roman" w:hAnsi="Times New Roman"/>
          <w:color w:val="6E6B6B"/>
          <w:sz w:val="13"/>
        </w:rPr>
        <w:t>The</w:t>
      </w:r>
      <w:r>
        <w:rPr>
          <w:rFonts w:ascii="Times New Roman" w:hAnsi="Times New Roman"/>
          <w:color w:val="6E6B6B"/>
          <w:spacing w:val="3"/>
          <w:sz w:val="13"/>
        </w:rPr>
        <w:t> </w:t>
      </w:r>
      <w:r>
        <w:rPr>
          <w:rFonts w:ascii="Times New Roman" w:hAnsi="Times New Roman"/>
          <w:color w:val="6E6B6B"/>
          <w:sz w:val="13"/>
        </w:rPr>
        <w:t>dltectors</w:t>
      </w:r>
      <w:r>
        <w:rPr>
          <w:rFonts w:ascii="Times New Roman" w:hAnsi="Times New Roman"/>
          <w:color w:val="6E6B6B"/>
          <w:spacing w:val="9"/>
          <w:sz w:val="13"/>
        </w:rPr>
        <w:t> </w:t>
      </w:r>
      <w:r>
        <w:rPr>
          <w:rFonts w:ascii="Times New Roman" w:hAnsi="Times New Roman"/>
          <w:color w:val="6E6B6B"/>
          <w:sz w:val="13"/>
        </w:rPr>
        <w:t>of</w:t>
      </w:r>
      <w:r>
        <w:rPr>
          <w:rFonts w:ascii="Times New Roman" w:hAnsi="Times New Roman"/>
          <w:color w:val="6E6B6B"/>
          <w:spacing w:val="29"/>
          <w:sz w:val="13"/>
        </w:rPr>
        <w:t> </w:t>
      </w:r>
      <w:r>
        <w:rPr>
          <w:rFonts w:ascii="Times New Roman" w:hAnsi="Times New Roman"/>
          <w:color w:val="6E6B6B"/>
          <w:sz w:val="13"/>
        </w:rPr>
        <w:t>the</w:t>
      </w:r>
      <w:r>
        <w:rPr>
          <w:rFonts w:ascii="Times New Roman" w:hAnsi="Times New Roman"/>
          <w:color w:val="6E6B6B"/>
          <w:spacing w:val="7"/>
          <w:sz w:val="13"/>
        </w:rPr>
        <w:t> </w:t>
      </w:r>
      <w:r>
        <w:rPr>
          <w:rFonts w:ascii="Times New Roman" w:hAnsi="Times New Roman"/>
          <w:color w:val="6E6B6B"/>
          <w:sz w:val="13"/>
        </w:rPr>
        <w:t>Compa.ny</w:t>
      </w:r>
      <w:r>
        <w:rPr>
          <w:rFonts w:ascii="Times New Roman" w:hAnsi="Times New Roman"/>
          <w:color w:val="6E6B6B"/>
          <w:spacing w:val="22"/>
          <w:sz w:val="13"/>
        </w:rPr>
        <w:t> </w:t>
      </w:r>
      <w:r>
        <w:rPr>
          <w:rFonts w:ascii="Times New Roman" w:hAnsi="Times New Roman"/>
          <w:color w:val="7E7B79"/>
          <w:sz w:val="13"/>
        </w:rPr>
        <w:t>are te$pooslble</w:t>
      </w:r>
      <w:r>
        <w:rPr>
          <w:rFonts w:ascii="Times New Roman" w:hAnsi="Times New Roman"/>
          <w:color w:val="7E7B79"/>
          <w:spacing w:val="19"/>
          <w:sz w:val="13"/>
        </w:rPr>
        <w:t> </w:t>
      </w:r>
      <w:r>
        <w:rPr>
          <w:rFonts w:ascii="Times New Roman" w:hAnsi="Times New Roman"/>
          <w:color w:val="6E6B6B"/>
          <w:sz w:val="14"/>
        </w:rPr>
        <w:t>f0t</w:t>
      </w:r>
      <w:r>
        <w:rPr>
          <w:rFonts w:ascii="Times New Roman" w:hAnsi="Times New Roman"/>
          <w:color w:val="6E6B6B"/>
          <w:spacing w:val="4"/>
          <w:sz w:val="14"/>
        </w:rPr>
        <w:t> </w:t>
      </w:r>
      <w:r>
        <w:rPr>
          <w:rFonts w:ascii="Times New Roman" w:hAnsi="Times New Roman"/>
          <w:color w:val="6E6B6B"/>
          <w:sz w:val="13"/>
        </w:rPr>
        <w:t>the</w:t>
      </w:r>
      <w:r>
        <w:rPr>
          <w:rFonts w:ascii="Times New Roman" w:hAnsi="Times New Roman"/>
          <w:color w:val="6E6B6B"/>
          <w:spacing w:val="7"/>
          <w:sz w:val="13"/>
        </w:rPr>
        <w:t> </w:t>
      </w:r>
      <w:r>
        <w:rPr>
          <w:rFonts w:ascii="Times New Roman" w:hAnsi="Times New Roman"/>
          <w:color w:val="6E6B6B"/>
          <w:sz w:val="13"/>
        </w:rPr>
        <w:t>preparatloo</w:t>
      </w:r>
      <w:r>
        <w:rPr>
          <w:rFonts w:ascii="Times New Roman" w:hAnsi="Times New Roman"/>
          <w:color w:val="6E6B6B"/>
          <w:spacing w:val="26"/>
          <w:sz w:val="13"/>
        </w:rPr>
        <w:t> </w:t>
      </w:r>
      <w:r>
        <w:rPr>
          <w:rFonts w:ascii="Arial" w:hAnsi="Arial"/>
          <w:color w:val="7E7B79"/>
          <w:sz w:val="13"/>
        </w:rPr>
        <w:t>of</w:t>
      </w:r>
      <w:r>
        <w:rPr>
          <w:rFonts w:ascii="Arial" w:hAnsi="Arial"/>
          <w:color w:val="7E7B79"/>
          <w:spacing w:val="12"/>
          <w:sz w:val="13"/>
        </w:rPr>
        <w:t> </w:t>
      </w:r>
      <w:r>
        <w:rPr>
          <w:rFonts w:ascii="Times New Roman" w:hAnsi="Times New Roman"/>
          <w:color w:val="6E6B6B"/>
          <w:sz w:val="14"/>
        </w:rPr>
        <w:t>tt\t</w:t>
      </w:r>
      <w:r>
        <w:rPr>
          <w:rFonts w:ascii="Times New Roman" w:hAnsi="Times New Roman"/>
          <w:color w:val="6E6B6B"/>
          <w:spacing w:val="13"/>
          <w:sz w:val="14"/>
        </w:rPr>
        <w:t> </w:t>
      </w:r>
      <w:r>
        <w:rPr>
          <w:rFonts w:ascii="Arial" w:hAnsi="Arial"/>
          <w:color w:val="7E7B79"/>
          <w:spacing w:val="-1"/>
          <w:sz w:val="12"/>
        </w:rPr>
        <w:t>flnandal</w:t>
      </w:r>
      <w:r>
        <w:rPr>
          <w:rFonts w:ascii="Arial" w:hAnsi="Arial"/>
          <w:color w:val="7E7B79"/>
          <w:spacing w:val="15"/>
          <w:sz w:val="12"/>
        </w:rPr>
        <w:t> </w:t>
      </w:r>
      <w:r>
        <w:rPr>
          <w:rFonts w:ascii="Times New Roman" w:hAnsi="Times New Roman"/>
          <w:color w:val="918E8E"/>
          <w:sz w:val="13"/>
        </w:rPr>
        <w:t>r</w:t>
      </w:r>
      <w:r>
        <w:rPr>
          <w:rFonts w:ascii="Times New Roman" w:hAnsi="Times New Roman"/>
          <w:color w:val="6E6B6B"/>
          <w:sz w:val="13"/>
        </w:rPr>
        <w:t>eport</w:t>
      </w:r>
      <w:r>
        <w:rPr>
          <w:rFonts w:ascii="Times New Roman" w:hAnsi="Times New Roman"/>
          <w:color w:val="6E6B6B"/>
          <w:spacing w:val="14"/>
          <w:sz w:val="13"/>
        </w:rPr>
        <w:t> </w:t>
      </w:r>
      <w:r>
        <w:rPr>
          <w:rFonts w:ascii="Times New Roman" w:hAnsi="Times New Roman"/>
          <w:color w:val="6E6B6B"/>
          <w:sz w:val="13"/>
        </w:rPr>
        <w:t>that</w:t>
      </w:r>
      <w:r>
        <w:rPr>
          <w:rFonts w:ascii="Times New Roman" w:hAnsi="Times New Roman"/>
          <w:color w:val="6E6B6B"/>
          <w:spacing w:val="14"/>
          <w:sz w:val="13"/>
        </w:rPr>
        <w:t> </w:t>
      </w:r>
      <w:r>
        <w:rPr>
          <w:rFonts w:ascii="Times New Roman" w:hAnsi="Times New Roman"/>
          <w:color w:val="7E7B79"/>
          <w:sz w:val="20"/>
        </w:rPr>
        <w:t>atvts</w:t>
      </w:r>
      <w:r>
        <w:rPr>
          <w:rFonts w:ascii="Times New Roman" w:hAnsi="Times New Roman"/>
          <w:color w:val="7E7B79"/>
          <w:spacing w:val="-9"/>
          <w:sz w:val="20"/>
        </w:rPr>
        <w:t> </w:t>
      </w:r>
      <w:r>
        <w:rPr>
          <w:rFonts w:ascii="Times New Roman" w:hAnsi="Times New Roman"/>
          <w:color w:val="6E6B6B"/>
          <w:sz w:val="13"/>
        </w:rPr>
        <w:t>a</w:t>
      </w:r>
      <w:r>
        <w:rPr>
          <w:rFonts w:ascii="Times New Roman" w:hAnsi="Times New Roman"/>
          <w:color w:val="6E6B6B"/>
          <w:spacing w:val="27"/>
          <w:sz w:val="13"/>
        </w:rPr>
        <w:t> </w:t>
      </w:r>
      <w:r>
        <w:rPr>
          <w:rFonts w:ascii="Times New Roman" w:hAnsi="Times New Roman"/>
          <w:color w:val="6E6B6B"/>
          <w:sz w:val="13"/>
        </w:rPr>
        <w:t>true</w:t>
      </w:r>
      <w:r>
        <w:rPr>
          <w:rFonts w:ascii="Times New Roman" w:hAnsi="Times New Roman"/>
          <w:color w:val="6E6B6B"/>
          <w:spacing w:val="9"/>
          <w:sz w:val="13"/>
        </w:rPr>
        <w:t> </w:t>
      </w:r>
      <w:r>
        <w:rPr>
          <w:rFonts w:ascii="Times New Roman" w:hAnsi="Times New Roman"/>
          <w:color w:val="6E6B6B"/>
          <w:sz w:val="13"/>
        </w:rPr>
        <w:t>and</w:t>
      </w:r>
      <w:r>
        <w:rPr>
          <w:rFonts w:ascii="Times New Roman" w:hAnsi="Times New Roman"/>
          <w:color w:val="6E6B6B"/>
          <w:spacing w:val="23"/>
          <w:w w:val="115"/>
          <w:sz w:val="13"/>
        </w:rPr>
        <w:t> </w:t>
      </w:r>
      <w:r>
        <w:rPr>
          <w:rFonts w:ascii="Times New Roman" w:hAnsi="Times New Roman"/>
          <w:color w:val="6E6B6B"/>
          <w:sz w:val="14"/>
        </w:rPr>
        <w:t>fair</w:t>
      </w:r>
      <w:r>
        <w:rPr>
          <w:rFonts w:ascii="Times New Roman" w:hAnsi="Times New Roman"/>
          <w:color w:val="6E6B6B"/>
          <w:spacing w:val="27"/>
          <w:sz w:val="14"/>
        </w:rPr>
        <w:t> </w:t>
      </w:r>
      <w:r>
        <w:rPr>
          <w:rFonts w:ascii="Arial" w:hAnsi="Arial"/>
          <w:color w:val="7E7B79"/>
          <w:sz w:val="13"/>
        </w:rPr>
        <w:t>'liew</w:t>
      </w:r>
      <w:r>
        <w:rPr>
          <w:rFonts w:ascii="Arial" w:hAnsi="Arial"/>
          <w:color w:val="7E7B79"/>
          <w:spacing w:val="25"/>
          <w:sz w:val="13"/>
        </w:rPr>
        <w:t> </w:t>
      </w:r>
      <w:r>
        <w:rPr>
          <w:rFonts w:ascii="Times New Roman" w:hAnsi="Times New Roman"/>
          <w:color w:val="6E6B6B"/>
          <w:sz w:val="14"/>
        </w:rPr>
        <w:t>In</w:t>
      </w:r>
      <w:r>
        <w:rPr>
          <w:rFonts w:ascii="Times New Roman" w:hAnsi="Times New Roman"/>
          <w:color w:val="6E6B6B"/>
          <w:spacing w:val="9"/>
          <w:sz w:val="14"/>
        </w:rPr>
        <w:t> </w:t>
      </w:r>
      <w:r>
        <w:rPr>
          <w:rFonts w:ascii="Times New Roman" w:hAnsi="Times New Roman"/>
          <w:color w:val="7E7B79"/>
          <w:w w:val="145"/>
          <w:sz w:val="14"/>
        </w:rPr>
        <w:t>accord</w:t>
      </w:r>
      <w:r>
        <w:rPr>
          <w:rFonts w:ascii="Times New Roman" w:hAnsi="Times New Roman"/>
          <w:color w:val="7E7B79"/>
          <w:spacing w:val="30"/>
          <w:w w:val="145"/>
          <w:sz w:val="14"/>
        </w:rPr>
        <w:t> </w:t>
      </w:r>
      <w:r>
        <w:rPr>
          <w:rFonts w:ascii="Times New Roman" w:hAnsi="Times New Roman"/>
          <w:color w:val="6E6B6B"/>
          <w:sz w:val="14"/>
        </w:rPr>
        <w:t>with</w:t>
      </w:r>
      <w:r>
        <w:rPr>
          <w:rFonts w:ascii="Times New Roman" w:hAnsi="Times New Roman"/>
          <w:color w:val="6E6B6B"/>
          <w:spacing w:val="33"/>
          <w:sz w:val="14"/>
        </w:rPr>
        <w:t> </w:t>
      </w:r>
      <w:r>
        <w:rPr>
          <w:rFonts w:ascii="Times New Roman" w:hAnsi="Times New Roman"/>
          <w:color w:val="6E6B6B"/>
          <w:spacing w:val="-5"/>
          <w:sz w:val="14"/>
        </w:rPr>
        <w:t>Aus.</w:t>
      </w:r>
      <w:r>
        <w:rPr>
          <w:rFonts w:ascii="Times New Roman" w:hAnsi="Times New Roman"/>
          <w:color w:val="6E6B6B"/>
          <w:spacing w:val="-4"/>
          <w:sz w:val="14"/>
        </w:rPr>
        <w:t>tr1liln</w:t>
      </w:r>
      <w:r>
        <w:rPr>
          <w:rFonts w:ascii="Times New Roman" w:hAnsi="Times New Roman"/>
          <w:color w:val="6E6B6B"/>
          <w:spacing w:val="9"/>
          <w:sz w:val="14"/>
        </w:rPr>
        <w:t> </w:t>
      </w:r>
      <w:r>
        <w:rPr>
          <w:rFonts w:ascii="Times New Roman" w:hAnsi="Times New Roman"/>
          <w:color w:val="7E7B79"/>
          <w:spacing w:val="1"/>
          <w:sz w:val="14"/>
        </w:rPr>
        <w:t>Account</w:t>
      </w:r>
      <w:r>
        <w:rPr>
          <w:rFonts w:ascii="Times New Roman" w:hAnsi="Times New Roman"/>
          <w:color w:val="565454"/>
          <w:spacing w:val="1"/>
          <w:sz w:val="14"/>
        </w:rPr>
        <w:t>ing</w:t>
      </w:r>
      <w:r>
        <w:rPr>
          <w:rFonts w:ascii="Times New Roman" w:hAnsi="Times New Roman"/>
          <w:color w:val="565454"/>
          <w:spacing w:val="26"/>
          <w:sz w:val="14"/>
        </w:rPr>
        <w:t> </w:t>
      </w:r>
      <w:r>
        <w:rPr>
          <w:rFonts w:ascii="Times New Roman" w:hAnsi="Times New Roman"/>
          <w:color w:val="7E7B79"/>
          <w:spacing w:val="-1"/>
          <w:sz w:val="14"/>
        </w:rPr>
        <w:t>Stlnd1</w:t>
      </w:r>
      <w:r>
        <w:rPr>
          <w:rFonts w:ascii="Times New Roman" w:hAnsi="Times New Roman"/>
          <w:color w:val="7E7B79"/>
          <w:spacing w:val="-2"/>
          <w:sz w:val="14"/>
        </w:rPr>
        <w:t>rd$</w:t>
      </w:r>
      <w:r>
        <w:rPr>
          <w:rFonts w:ascii="Times New Roman" w:hAnsi="Times New Roman"/>
          <w:color w:val="7E7B79"/>
          <w:spacing w:val="25"/>
          <w:sz w:val="14"/>
        </w:rPr>
        <w:t> </w:t>
      </w:r>
      <w:r>
        <w:rPr>
          <w:rFonts w:ascii="Times New Roman" w:hAnsi="Times New Roman"/>
          <w:color w:val="6E6B6B"/>
          <w:w w:val="170"/>
          <w:sz w:val="14"/>
        </w:rPr>
        <w:t>-</w:t>
      </w:r>
      <w:r>
        <w:rPr>
          <w:rFonts w:ascii="Times New Roman" w:hAnsi="Times New Roman"/>
          <w:color w:val="6E6B6B"/>
          <w:spacing w:val="-3"/>
          <w:w w:val="170"/>
          <w:sz w:val="14"/>
        </w:rPr>
        <w:t> </w:t>
      </w:r>
      <w:r>
        <w:rPr>
          <w:rFonts w:ascii="Times New Roman" w:hAnsi="Times New Roman"/>
          <w:color w:val="7E7B79"/>
          <w:sz w:val="14"/>
        </w:rPr>
        <w:t>Reduced</w:t>
      </w:r>
      <w:r>
        <w:rPr>
          <w:rFonts w:ascii="Times New Roman" w:hAnsi="Times New Roman"/>
          <w:color w:val="7E7B79"/>
          <w:spacing w:val="22"/>
          <w:sz w:val="14"/>
        </w:rPr>
        <w:t> </w:t>
      </w:r>
      <w:r>
        <w:rPr>
          <w:rFonts w:ascii="Times New Roman" w:hAnsi="Times New Roman"/>
          <w:color w:val="6E6B6B"/>
          <w:sz w:val="14"/>
        </w:rPr>
        <w:t>Oisclowre</w:t>
      </w:r>
      <w:r>
        <w:rPr>
          <w:rFonts w:ascii="Times New Roman" w:hAnsi="Times New Roman"/>
          <w:color w:val="6E6B6B"/>
          <w:spacing w:val="33"/>
          <w:sz w:val="14"/>
        </w:rPr>
        <w:t> </w:t>
      </w:r>
      <w:r>
        <w:rPr>
          <w:rFonts w:ascii="Times New Roman" w:hAnsi="Times New Roman"/>
          <w:color w:val="6E6B6B"/>
          <w:spacing w:val="-1"/>
          <w:w w:val="125"/>
          <w:sz w:val="14"/>
        </w:rPr>
        <w:t>lltquirt</w:t>
      </w:r>
      <w:r>
        <w:rPr>
          <w:rFonts w:ascii="Times New Roman" w:hAnsi="Times New Roman"/>
          <w:color w:val="6E6B6B"/>
          <w:spacing w:val="-2"/>
          <w:w w:val="125"/>
          <w:sz w:val="14"/>
        </w:rPr>
        <w:t>nts,</w:t>
      </w:r>
      <w:r>
        <w:rPr>
          <w:rFonts w:ascii="Times New Roman" w:hAnsi="Times New Roman"/>
          <w:color w:val="6E6B6B"/>
          <w:spacing w:val="31"/>
          <w:w w:val="125"/>
          <w:sz w:val="14"/>
        </w:rPr>
        <w:t> </w:t>
      </w:r>
      <w:r>
        <w:rPr>
          <w:rFonts w:ascii="Times New Roman" w:hAnsi="Times New Roman"/>
          <w:color w:val="6E6B6B"/>
          <w:sz w:val="14"/>
        </w:rPr>
        <w:t>the</w:t>
      </w:r>
      <w:r>
        <w:rPr>
          <w:rFonts w:ascii="Times New Roman" w:hAnsi="Times New Roman"/>
          <w:color w:val="6E6B6B"/>
          <w:spacing w:val="39"/>
          <w:w w:val="110"/>
          <w:sz w:val="14"/>
        </w:rPr>
        <w:t> </w:t>
      </w:r>
      <w:r>
        <w:rPr>
          <w:rFonts w:ascii="Times New Roman" w:hAnsi="Times New Roman"/>
          <w:color w:val="7E7B79"/>
          <w:spacing w:val="-29"/>
          <w:sz w:val="15"/>
        </w:rPr>
        <w:t>C</w:t>
      </w:r>
      <w:r>
        <w:rPr>
          <w:rFonts w:ascii="Times New Roman" w:hAnsi="Times New Roman"/>
          <w:color w:val="7E7B79"/>
          <w:sz w:val="15"/>
        </w:rPr>
        <w:t>orporotlons</w:t>
      </w:r>
      <w:r>
        <w:rPr>
          <w:rFonts w:ascii="Times New Roman" w:hAnsi="Times New Roman"/>
          <w:color w:val="7E7B79"/>
          <w:spacing w:val="-19"/>
          <w:sz w:val="15"/>
        </w:rPr>
        <w:t> </w:t>
      </w:r>
      <w:r>
        <w:rPr>
          <w:rFonts w:ascii="Times New Roman" w:hAnsi="Times New Roman"/>
          <w:i/>
          <w:color w:val="6E6B6B"/>
          <w:sz w:val="13"/>
        </w:rPr>
        <w:t>Act</w:t>
      </w:r>
      <w:r>
        <w:rPr>
          <w:rFonts w:ascii="Times New Roman" w:hAnsi="Times New Roman"/>
          <w:i/>
          <w:color w:val="6E6B6B"/>
          <w:spacing w:val="-5"/>
          <w:sz w:val="13"/>
        </w:rPr>
        <w:t> </w:t>
      </w:r>
      <w:r>
        <w:rPr>
          <w:rFonts w:ascii="Arial" w:hAnsi="Arial"/>
          <w:i/>
          <w:color w:val="6E6B6B"/>
          <w:sz w:val="14"/>
        </w:rPr>
        <w:t>1001</w:t>
      </w:r>
      <w:r>
        <w:rPr>
          <w:rFonts w:ascii="Arial" w:hAnsi="Arial"/>
          <w:i/>
          <w:color w:val="6E6B6B"/>
          <w:spacing w:val="-26"/>
          <w:sz w:val="14"/>
        </w:rPr>
        <w:t> </w:t>
      </w:r>
      <w:r>
        <w:rPr>
          <w:rFonts w:ascii="Times New Roman" w:hAnsi="Times New Roman"/>
          <w:color w:val="7E7B79"/>
          <w:sz w:val="15"/>
        </w:rPr>
        <w:t>¥id</w:t>
      </w:r>
      <w:r>
        <w:rPr>
          <w:rFonts w:ascii="Times New Roman" w:hAnsi="Times New Roman"/>
          <w:color w:val="7E7B79"/>
          <w:spacing w:val="-14"/>
          <w:sz w:val="15"/>
        </w:rPr>
        <w:t> </w:t>
      </w:r>
      <w:r>
        <w:rPr>
          <w:rFonts w:ascii="Times New Roman" w:hAnsi="Times New Roman"/>
          <w:color w:val="6E6B6B"/>
          <w:sz w:val="14"/>
        </w:rPr>
        <w:t>tt\t</w:t>
      </w:r>
      <w:r>
        <w:rPr>
          <w:rFonts w:ascii="Times New Roman" w:hAnsi="Times New Roman"/>
          <w:color w:val="6E6B6B"/>
          <w:spacing w:val="-17"/>
          <w:sz w:val="14"/>
        </w:rPr>
        <w:t> </w:t>
      </w:r>
      <w:r>
        <w:rPr>
          <w:rFonts w:ascii="Arial" w:hAnsi="Arial"/>
          <w:i/>
          <w:color w:val="7E7B79"/>
          <w:spacing w:val="-4"/>
          <w:sz w:val="14"/>
        </w:rPr>
        <w:t>A</w:t>
      </w:r>
      <w:r>
        <w:rPr>
          <w:rFonts w:ascii="Arial" w:hAnsi="Arial"/>
          <w:i/>
          <w:color w:val="7E7B79"/>
          <w:sz w:val="14"/>
        </w:rPr>
        <w:t>1</w:t>
      </w:r>
      <w:r>
        <w:rPr>
          <w:rFonts w:ascii="Arial" w:hAnsi="Arial"/>
          <w:i/>
          <w:color w:val="7E7B79"/>
          <w:spacing w:val="-61"/>
          <w:sz w:val="14"/>
        </w:rPr>
        <w:t>1</w:t>
      </w:r>
      <w:r>
        <w:rPr>
          <w:rFonts w:ascii="Arial" w:hAnsi="Arial"/>
          <w:i/>
          <w:color w:val="7E7B79"/>
          <w:spacing w:val="-72"/>
          <w:sz w:val="14"/>
        </w:rPr>
        <w:t>n</w:t>
      </w:r>
      <w:r>
        <w:rPr>
          <w:rFonts w:ascii="Arial" w:hAnsi="Arial"/>
          <w:i/>
          <w:color w:val="7E7B79"/>
          <w:sz w:val="14"/>
        </w:rPr>
        <w:t>.</w:t>
      </w:r>
      <w:r>
        <w:rPr>
          <w:rFonts w:ascii="Arial" w:hAnsi="Arial"/>
          <w:i/>
          <w:color w:val="7E7B79"/>
          <w:spacing w:val="-23"/>
          <w:sz w:val="14"/>
        </w:rPr>
        <w:t> </w:t>
      </w:r>
      <w:r>
        <w:rPr>
          <w:rFonts w:ascii="Arial" w:hAnsi="Arial"/>
          <w:i/>
          <w:color w:val="7E7B79"/>
          <w:sz w:val="14"/>
        </w:rPr>
        <w:t>rQNQn</w:t>
      </w:r>
      <w:r>
        <w:rPr>
          <w:rFonts w:ascii="Arial" w:hAnsi="Arial"/>
          <w:i/>
          <w:color w:val="7E7B79"/>
          <w:spacing w:val="-16"/>
          <w:sz w:val="14"/>
        </w:rPr>
        <w:t> </w:t>
      </w:r>
      <w:r>
        <w:rPr>
          <w:rFonts w:ascii="Times New Roman" w:hAnsi="Times New Roman"/>
          <w:i/>
          <w:color w:val="7E7B79"/>
          <w:sz w:val="15"/>
        </w:rPr>
        <w:t>ChorJtln</w:t>
      </w:r>
      <w:r>
        <w:rPr>
          <w:rFonts w:ascii="Times New Roman" w:hAnsi="Times New Roman"/>
          <w:i/>
          <w:color w:val="7E7B79"/>
          <w:spacing w:val="-22"/>
          <w:sz w:val="15"/>
        </w:rPr>
        <w:t> </w:t>
      </w:r>
      <w:r>
        <w:rPr>
          <w:rFonts w:ascii="Arial" w:hAnsi="Arial"/>
          <w:i/>
          <w:color w:val="6E6B6B"/>
          <w:sz w:val="13"/>
        </w:rPr>
        <w:t>ond</w:t>
      </w:r>
      <w:r>
        <w:rPr>
          <w:rFonts w:ascii="Arial" w:hAnsi="Arial"/>
          <w:i/>
          <w:color w:val="6E6B6B"/>
          <w:spacing w:val="-19"/>
          <w:sz w:val="13"/>
        </w:rPr>
        <w:t> </w:t>
      </w:r>
      <w:r>
        <w:rPr>
          <w:rFonts w:ascii="Times New Roman" w:hAnsi="Times New Roman"/>
          <w:color w:val="6E6B6B"/>
          <w:sz w:val="15"/>
        </w:rPr>
        <w:t>Not-fo</w:t>
      </w:r>
      <w:r>
        <w:rPr>
          <w:rFonts w:ascii="Times New Roman" w:hAnsi="Times New Roman"/>
          <w:color w:val="6E6B6B"/>
          <w:spacing w:val="-16"/>
          <w:sz w:val="15"/>
        </w:rPr>
        <w:t>r</w:t>
      </w:r>
      <w:r>
        <w:rPr>
          <w:rFonts w:ascii="Times New Roman" w:hAnsi="Times New Roman"/>
          <w:color w:val="918E8E"/>
          <w:spacing w:val="-48"/>
          <w:sz w:val="15"/>
        </w:rPr>
        <w:t>·</w:t>
      </w:r>
      <w:r>
        <w:rPr>
          <w:rFonts w:ascii="Times New Roman" w:hAnsi="Times New Roman"/>
          <w:color w:val="6E6B6B"/>
          <w:sz w:val="15"/>
        </w:rPr>
        <w:t>pro/fu</w:t>
      </w:r>
      <w:r>
        <w:rPr>
          <w:rFonts w:ascii="Times New Roman" w:hAnsi="Times New Roman"/>
          <w:color w:val="6E6B6B"/>
          <w:spacing w:val="-17"/>
          <w:sz w:val="15"/>
        </w:rPr>
        <w:t> </w:t>
      </w:r>
      <w:r>
        <w:rPr>
          <w:rFonts w:ascii="Arial" w:hAnsi="Arial"/>
          <w:i/>
          <w:color w:val="7E7B79"/>
          <w:sz w:val="14"/>
        </w:rPr>
        <w:t>Commls.slon</w:t>
      </w:r>
      <w:r>
        <w:rPr>
          <w:rFonts w:ascii="Arial" w:hAnsi="Arial"/>
          <w:i/>
          <w:color w:val="7E7B79"/>
          <w:spacing w:val="-23"/>
          <w:sz w:val="14"/>
        </w:rPr>
        <w:t> </w:t>
      </w:r>
      <w:r>
        <w:rPr>
          <w:rFonts w:ascii="Arial" w:hAnsi="Arial"/>
          <w:i/>
          <w:color w:val="6E6B6B"/>
          <w:sz w:val="14"/>
        </w:rPr>
        <w:t>Aa</w:t>
      </w:r>
      <w:r>
        <w:rPr>
          <w:rFonts w:ascii="Arial" w:hAnsi="Arial"/>
          <w:i/>
          <w:color w:val="6E6B6B"/>
          <w:spacing w:val="-21"/>
          <w:sz w:val="14"/>
        </w:rPr>
        <w:t> </w:t>
      </w:r>
      <w:r>
        <w:rPr>
          <w:rFonts w:ascii="Arial" w:hAnsi="Arial"/>
          <w:i/>
          <w:color w:val="7E7B79"/>
          <w:sz w:val="14"/>
        </w:rPr>
        <w:t>10J2</w:t>
      </w:r>
      <w:r>
        <w:rPr>
          <w:rFonts w:ascii="Arial" w:hAnsi="Arial"/>
          <w:i/>
          <w:color w:val="7E7B79"/>
          <w:spacing w:val="-27"/>
          <w:sz w:val="14"/>
        </w:rPr>
        <w:t> </w:t>
      </w:r>
      <w:r>
        <w:rPr>
          <w:rFonts w:ascii="Times New Roman" w:hAnsi="Times New Roman"/>
          <w:color w:val="7E7B79"/>
          <w:sz w:val="15"/>
        </w:rPr>
        <w:t>and</w:t>
      </w:r>
      <w:r>
        <w:rPr>
          <w:rFonts w:ascii="Times New Roman" w:hAnsi="Times New Roman"/>
          <w:color w:val="7E7B79"/>
          <w:spacing w:val="-21"/>
          <w:sz w:val="15"/>
        </w:rPr>
        <w:t> </w:t>
      </w:r>
      <w:r>
        <w:rPr>
          <w:rFonts w:ascii="Times New Roman" w:hAnsi="Times New Roman"/>
          <w:color w:val="7E7B79"/>
          <w:sz w:val="15"/>
        </w:rPr>
        <w:t>for</w:t>
      </w:r>
      <w:r>
        <w:rPr>
          <w:rFonts w:ascii="Times New Roman" w:hAnsi="Times New Roman"/>
          <w:color w:val="7E7B79"/>
          <w:spacing w:val="-21"/>
          <w:sz w:val="15"/>
        </w:rPr>
        <w:t> </w:t>
      </w:r>
      <w:r>
        <w:rPr>
          <w:rFonts w:ascii="Times New Roman" w:hAnsi="Times New Roman"/>
          <w:color w:val="7E7B79"/>
          <w:sz w:val="15"/>
        </w:rPr>
        <w:t>slldl</w:t>
      </w:r>
      <w:r>
        <w:rPr>
          <w:rFonts w:ascii="Times New Roman" w:hAnsi="Times New Roman"/>
          <w:color w:val="7E7B79"/>
          <w:w w:val="102"/>
          <w:sz w:val="15"/>
        </w:rPr>
        <w:t> </w:t>
      </w:r>
      <w:r>
        <w:rPr>
          <w:rFonts w:ascii="Arial" w:hAnsi="Arial"/>
          <w:color w:val="7E7B79"/>
          <w:spacing w:val="-73"/>
          <w:sz w:val="13"/>
        </w:rPr>
        <w:t>i</w:t>
      </w:r>
      <w:r>
        <w:rPr>
          <w:rFonts w:ascii="Arial" w:hAnsi="Arial"/>
          <w:color w:val="7E7B79"/>
          <w:sz w:val="13"/>
        </w:rPr>
        <w:t>ntttl\ll</w:t>
      </w:r>
      <w:r>
        <w:rPr>
          <w:rFonts w:ascii="Arial" w:hAnsi="Arial"/>
          <w:color w:val="7E7B79"/>
          <w:spacing w:val="-1"/>
          <w:sz w:val="13"/>
        </w:rPr>
        <w:t>l</w:t>
      </w:r>
      <w:r>
        <w:rPr>
          <w:rFonts w:ascii="Arial" w:hAnsi="Arial"/>
          <w:color w:val="7E7B79"/>
          <w:sz w:val="13"/>
        </w:rPr>
        <w:t>conttOl</w:t>
      </w:r>
      <w:r>
        <w:rPr>
          <w:rFonts w:ascii="Arial" w:hAnsi="Arial"/>
          <w:color w:val="7E7B79"/>
          <w:spacing w:val="-8"/>
          <w:sz w:val="13"/>
        </w:rPr>
        <w:t> </w:t>
      </w:r>
      <w:r>
        <w:rPr>
          <w:rFonts w:ascii="Arial" w:hAnsi="Arial"/>
          <w:color w:val="7E7B79"/>
          <w:sz w:val="13"/>
        </w:rPr>
        <w:t>rtle</w:t>
      </w:r>
      <w:r>
        <w:rPr>
          <w:rFonts w:ascii="Arial" w:hAnsi="Arial"/>
          <w:color w:val="7E7B79"/>
          <w:spacing w:val="-12"/>
          <w:sz w:val="13"/>
        </w:rPr>
        <w:t> </w:t>
      </w:r>
      <w:r>
        <w:rPr>
          <w:rFonts w:ascii="Arial" w:hAnsi="Arial"/>
          <w:color w:val="6E6B6B"/>
          <w:w w:val="125"/>
          <w:sz w:val="13"/>
        </w:rPr>
        <w:t>d</w:t>
      </w:r>
      <w:r>
        <w:rPr>
          <w:rFonts w:ascii="Arial" w:hAnsi="Arial"/>
          <w:color w:val="6E6B6B"/>
          <w:spacing w:val="-16"/>
          <w:w w:val="125"/>
          <w:sz w:val="13"/>
        </w:rPr>
        <w:t>l</w:t>
      </w:r>
      <w:r>
        <w:rPr>
          <w:rFonts w:ascii="Arial" w:hAnsi="Arial"/>
          <w:color w:val="6E6B6B"/>
          <w:w w:val="125"/>
          <w:sz w:val="13"/>
        </w:rPr>
        <w:t>ttttors</w:t>
      </w:r>
      <w:r>
        <w:rPr>
          <w:rFonts w:ascii="Arial" w:hAnsi="Arial"/>
          <w:color w:val="6E6B6B"/>
          <w:spacing w:val="-7"/>
          <w:w w:val="125"/>
          <w:sz w:val="13"/>
        </w:rPr>
        <w:t> </w:t>
      </w:r>
      <w:r>
        <w:rPr>
          <w:rFonts w:ascii="Arial" w:hAnsi="Arial"/>
          <w:color w:val="7E7B79"/>
          <w:sz w:val="13"/>
        </w:rPr>
        <w:t>dettrmi    </w:t>
      </w:r>
      <w:r>
        <w:rPr>
          <w:rFonts w:ascii="Arial" w:hAnsi="Arial"/>
          <w:color w:val="7E7B79"/>
          <w:spacing w:val="31"/>
          <w:sz w:val="13"/>
        </w:rPr>
        <w:t> </w:t>
      </w:r>
      <w:r>
        <w:rPr>
          <w:rFonts w:ascii="Arial" w:hAnsi="Arial"/>
          <w:color w:val="7E7B79"/>
          <w:w w:val="145"/>
          <w:sz w:val="13"/>
        </w:rPr>
        <w:t>i</w:t>
      </w:r>
      <w:r>
        <w:rPr>
          <w:rFonts w:ascii="Arial" w:hAnsi="Arial"/>
          <w:color w:val="7E7B79"/>
          <w:spacing w:val="-2"/>
          <w:w w:val="145"/>
          <w:sz w:val="13"/>
        </w:rPr>
        <w:t>s</w:t>
      </w:r>
      <w:r>
        <w:rPr>
          <w:rFonts w:ascii="Arial" w:hAnsi="Arial"/>
          <w:color w:val="6E6B6B"/>
          <w:spacing w:val="-13"/>
          <w:w w:val="145"/>
          <w:sz w:val="13"/>
        </w:rPr>
        <w:t>n</w:t>
      </w:r>
      <w:r>
        <w:rPr>
          <w:rFonts w:ascii="Arial" w:hAnsi="Arial"/>
          <w:color w:val="6E6B6B"/>
          <w:spacing w:val="-29"/>
          <w:w w:val="145"/>
          <w:sz w:val="13"/>
        </w:rPr>
        <w:t>s</w:t>
      </w:r>
      <w:r>
        <w:rPr>
          <w:rFonts w:ascii="Arial" w:hAnsi="Arial"/>
          <w:color w:val="6E6B6B"/>
          <w:w w:val="145"/>
          <w:sz w:val="13"/>
        </w:rPr>
        <w:t>sary</w:t>
      </w:r>
      <w:r>
        <w:rPr>
          <w:rFonts w:ascii="Arial" w:hAnsi="Arial"/>
          <w:color w:val="6E6B6B"/>
          <w:spacing w:val="-12"/>
          <w:w w:val="145"/>
          <w:sz w:val="13"/>
        </w:rPr>
        <w:t> </w:t>
      </w:r>
      <w:r>
        <w:rPr>
          <w:rFonts w:ascii="Arial" w:hAnsi="Arial"/>
          <w:color w:val="7E7B79"/>
          <w:sz w:val="13"/>
        </w:rPr>
        <w:t>toenablt</w:t>
      </w:r>
      <w:r>
        <w:rPr>
          <w:rFonts w:ascii="Arial" w:hAnsi="Arial"/>
          <w:color w:val="7E7B79"/>
          <w:spacing w:val="11"/>
          <w:sz w:val="13"/>
        </w:rPr>
        <w:t> </w:t>
      </w:r>
      <w:r>
        <w:rPr>
          <w:rFonts w:ascii="Arial" w:hAnsi="Arial"/>
          <w:color w:val="6E6B6B"/>
          <w:sz w:val="13"/>
        </w:rPr>
        <w:t>the</w:t>
      </w:r>
      <w:r>
        <w:rPr>
          <w:rFonts w:ascii="Arial" w:hAnsi="Arial"/>
          <w:color w:val="6E6B6B"/>
          <w:spacing w:val="-2"/>
          <w:sz w:val="13"/>
        </w:rPr>
        <w:t> </w:t>
      </w:r>
      <w:r>
        <w:rPr>
          <w:rFonts w:ascii="Arial" w:hAnsi="Arial"/>
          <w:color w:val="7E7B79"/>
          <w:sz w:val="13"/>
        </w:rPr>
        <w:t>pre-paratlor\of</w:t>
      </w:r>
      <w:r>
        <w:rPr>
          <w:rFonts w:ascii="Arial" w:hAnsi="Arial"/>
          <w:color w:val="7E7B79"/>
          <w:spacing w:val="16"/>
          <w:sz w:val="13"/>
        </w:rPr>
        <w:t> </w:t>
      </w:r>
      <w:r>
        <w:rPr>
          <w:rFonts w:ascii="Arial" w:hAnsi="Arial"/>
          <w:color w:val="7E7B79"/>
          <w:sz w:val="13"/>
        </w:rPr>
        <w:t>die</w:t>
      </w:r>
      <w:r>
        <w:rPr>
          <w:rFonts w:ascii="Arial" w:hAnsi="Arial"/>
          <w:color w:val="7E7B79"/>
          <w:spacing w:val="-6"/>
          <w:sz w:val="13"/>
        </w:rPr>
        <w:t> </w:t>
      </w:r>
      <w:r>
        <w:rPr>
          <w:rFonts w:ascii="Arial" w:hAnsi="Arial"/>
          <w:color w:val="7E7B79"/>
          <w:sz w:val="13"/>
        </w:rPr>
        <w:t>fltlllt</w:t>
      </w:r>
      <w:r>
        <w:rPr>
          <w:rFonts w:ascii="Arial" w:hAnsi="Arial"/>
          <w:color w:val="7E7B79"/>
          <w:spacing w:val="-21"/>
          <w:sz w:val="13"/>
        </w:rPr>
        <w:t>1</w:t>
      </w:r>
      <w:r>
        <w:rPr>
          <w:rFonts w:ascii="Arial" w:hAnsi="Arial"/>
          <w:color w:val="7E7B79"/>
          <w:sz w:val="13"/>
        </w:rPr>
        <w:t>dal</w:t>
      </w:r>
      <w:r>
        <w:rPr>
          <w:rFonts w:ascii="Arial" w:hAnsi="Arial"/>
          <w:color w:val="7E7B79"/>
          <w:spacing w:val="-13"/>
          <w:sz w:val="13"/>
        </w:rPr>
        <w:t> </w:t>
      </w:r>
      <w:r>
        <w:rPr>
          <w:rFonts w:ascii="Arial" w:hAnsi="Arial"/>
          <w:color w:val="6E6B6B"/>
          <w:sz w:val="13"/>
        </w:rPr>
        <w:t>report</w:t>
      </w:r>
      <w:r>
        <w:rPr>
          <w:rFonts w:ascii="Arial" w:hAnsi="Arial"/>
          <w:color w:val="6E6B6B"/>
          <w:spacing w:val="-2"/>
          <w:sz w:val="13"/>
        </w:rPr>
        <w:t> </w:t>
      </w:r>
      <w:r>
        <w:rPr>
          <w:rFonts w:ascii="Arial" w:hAnsi="Arial"/>
          <w:color w:val="6E6B6B"/>
          <w:sz w:val="13"/>
        </w:rPr>
        <w:t>tha</w:t>
      </w:r>
      <w:r>
        <w:rPr>
          <w:rFonts w:ascii="Arial" w:hAnsi="Arial"/>
          <w:color w:val="6E6B6B"/>
          <w:spacing w:val="14"/>
          <w:sz w:val="13"/>
        </w:rPr>
        <w:t>t</w:t>
      </w:r>
      <w:r>
        <w:rPr>
          <w:rFonts w:ascii="Arial" w:hAnsi="Arial"/>
          <w:color w:val="6E6B6B"/>
          <w:sz w:val="13"/>
        </w:rPr>
        <w:t>gi</w:t>
      </w:r>
      <w:r>
        <w:rPr>
          <w:rFonts w:ascii="Arial" w:hAnsi="Arial"/>
          <w:sz w:val="13"/>
        </w:rPr>
      </w:r>
    </w:p>
    <w:p>
      <w:pPr>
        <w:spacing w:before="5"/>
        <w:ind w:left="1067" w:right="0" w:firstLine="0"/>
        <w:jc w:val="both"/>
        <w:rPr>
          <w:rFonts w:ascii="Arial" w:hAnsi="Arial" w:cs="Arial" w:eastAsia="Arial"/>
          <w:sz w:val="13"/>
          <w:szCs w:val="13"/>
        </w:rPr>
      </w:pPr>
      <w:r>
        <w:rPr>
          <w:rFonts w:ascii="Arial"/>
          <w:color w:val="6E6B6B"/>
          <w:w w:val="105"/>
          <w:sz w:val="13"/>
        </w:rPr>
        <w:t>a</w:t>
      </w:r>
      <w:r>
        <w:rPr>
          <w:rFonts w:ascii="Arial"/>
          <w:color w:val="6E6B6B"/>
          <w:spacing w:val="-23"/>
          <w:w w:val="105"/>
          <w:sz w:val="13"/>
        </w:rPr>
        <w:t> </w:t>
      </w:r>
      <w:r>
        <w:rPr>
          <w:rFonts w:ascii="Times New Roman"/>
          <w:color w:val="7E7B79"/>
          <w:w w:val="105"/>
          <w:sz w:val="15"/>
        </w:rPr>
        <w:t>tn.-e</w:t>
      </w:r>
      <w:r>
        <w:rPr>
          <w:rFonts w:ascii="Times New Roman"/>
          <w:color w:val="7E7B79"/>
          <w:spacing w:val="-19"/>
          <w:w w:val="105"/>
          <w:sz w:val="15"/>
        </w:rPr>
        <w:t> </w:t>
      </w:r>
      <w:r>
        <w:rPr>
          <w:rFonts w:ascii="Arial"/>
          <w:color w:val="7E7B79"/>
          <w:sz w:val="14"/>
        </w:rPr>
        <w:t>;iond</w:t>
      </w:r>
      <w:r>
        <w:rPr>
          <w:rFonts w:ascii="Arial"/>
          <w:color w:val="7E7B79"/>
          <w:spacing w:val="-26"/>
          <w:sz w:val="14"/>
        </w:rPr>
        <w:t> </w:t>
      </w:r>
      <w:r>
        <w:rPr>
          <w:rFonts w:ascii="Arial"/>
          <w:color w:val="6E6B6B"/>
          <w:w w:val="105"/>
          <w:sz w:val="13"/>
        </w:rPr>
        <w:t>fa</w:t>
      </w:r>
      <w:r>
        <w:rPr>
          <w:rFonts w:ascii="Arial"/>
          <w:color w:val="6E6B6B"/>
          <w:spacing w:val="-9"/>
          <w:w w:val="105"/>
          <w:sz w:val="13"/>
        </w:rPr>
        <w:t>i</w:t>
      </w:r>
      <w:r>
        <w:rPr>
          <w:rFonts w:ascii="Arial"/>
          <w:color w:val="6E6B6B"/>
          <w:spacing w:val="2"/>
          <w:w w:val="105"/>
          <w:sz w:val="13"/>
        </w:rPr>
        <w:t>r</w:t>
      </w:r>
      <w:r>
        <w:rPr>
          <w:rFonts w:ascii="Times New Roman"/>
          <w:color w:val="7E7B79"/>
          <w:w w:val="105"/>
          <w:sz w:val="14"/>
        </w:rPr>
        <w:t>view    </w:t>
      </w:r>
      <w:r>
        <w:rPr>
          <w:rFonts w:ascii="Times New Roman"/>
          <w:color w:val="7E7B79"/>
          <w:spacing w:val="12"/>
          <w:w w:val="105"/>
          <w:sz w:val="14"/>
        </w:rPr>
        <w:t> </w:t>
      </w:r>
      <w:r>
        <w:rPr>
          <w:rFonts w:ascii="Arial"/>
          <w:i/>
          <w:color w:val="918E8E"/>
          <w:w w:val="105"/>
          <w:sz w:val="14"/>
        </w:rPr>
        <w:t>iJ</w:t>
      </w:r>
      <w:r>
        <w:rPr>
          <w:rFonts w:ascii="Arial"/>
          <w:i/>
          <w:color w:val="918E8E"/>
          <w:spacing w:val="-29"/>
          <w:w w:val="105"/>
          <w:sz w:val="14"/>
        </w:rPr>
        <w:t> </w:t>
      </w:r>
      <w:r>
        <w:rPr>
          <w:rFonts w:ascii="Times New Roman"/>
          <w:color w:val="7E7B79"/>
          <w:w w:val="105"/>
          <w:sz w:val="14"/>
        </w:rPr>
        <w:t>free</w:t>
      </w:r>
      <w:r>
        <w:rPr>
          <w:rFonts w:ascii="Times New Roman"/>
          <w:color w:val="7E7B79"/>
          <w:spacing w:val="-20"/>
          <w:w w:val="105"/>
          <w:sz w:val="14"/>
        </w:rPr>
        <w:t> </w:t>
      </w:r>
      <w:r>
        <w:rPr>
          <w:rFonts w:ascii="Arial"/>
          <w:color w:val="565454"/>
          <w:w w:val="105"/>
          <w:sz w:val="13"/>
        </w:rPr>
        <w:t>f</w:t>
      </w:r>
      <w:r>
        <w:rPr>
          <w:rFonts w:ascii="Arial"/>
          <w:color w:val="565454"/>
          <w:spacing w:val="2"/>
          <w:w w:val="105"/>
          <w:sz w:val="13"/>
        </w:rPr>
        <w:t>r</w:t>
      </w:r>
      <w:r>
        <w:rPr>
          <w:rFonts w:ascii="Arial"/>
          <w:color w:val="7E7B79"/>
          <w:w w:val="105"/>
          <w:sz w:val="13"/>
        </w:rPr>
        <w:t>om</w:t>
      </w:r>
      <w:r>
        <w:rPr>
          <w:rFonts w:ascii="Arial"/>
          <w:color w:val="7E7B79"/>
          <w:spacing w:val="-24"/>
          <w:w w:val="105"/>
          <w:sz w:val="13"/>
        </w:rPr>
        <w:t> </w:t>
      </w:r>
      <w:r>
        <w:rPr>
          <w:rFonts w:ascii="Arial"/>
          <w:color w:val="6E6B6B"/>
          <w:w w:val="105"/>
          <w:sz w:val="13"/>
        </w:rPr>
        <w:t>m;</w:t>
      </w:r>
      <w:r>
        <w:rPr>
          <w:rFonts w:ascii="Arial"/>
          <w:color w:val="6E6B6B"/>
          <w:spacing w:val="-31"/>
          <w:w w:val="105"/>
          <w:sz w:val="13"/>
        </w:rPr>
        <w:t>1</w:t>
      </w:r>
      <w:r>
        <w:rPr>
          <w:rFonts w:ascii="Arial"/>
          <w:color w:val="6E6B6B"/>
          <w:w w:val="105"/>
          <w:sz w:val="13"/>
        </w:rPr>
        <w:t>ter</w:t>
      </w:r>
      <w:r>
        <w:rPr>
          <w:rFonts w:ascii="Arial"/>
          <w:color w:val="6E6B6B"/>
          <w:spacing w:val="-22"/>
          <w:w w:val="105"/>
          <w:sz w:val="13"/>
        </w:rPr>
        <w:t>i</w:t>
      </w:r>
      <w:r>
        <w:rPr>
          <w:rFonts w:ascii="Arial"/>
          <w:color w:val="6E6B6B"/>
          <w:w w:val="105"/>
          <w:sz w:val="13"/>
        </w:rPr>
        <w:t>al</w:t>
      </w:r>
      <w:r>
        <w:rPr>
          <w:rFonts w:ascii="Arial"/>
          <w:color w:val="6E6B6B"/>
          <w:spacing w:val="-26"/>
          <w:w w:val="105"/>
          <w:sz w:val="13"/>
        </w:rPr>
        <w:t> </w:t>
      </w:r>
      <w:r>
        <w:rPr>
          <w:rFonts w:ascii="Times New Roman"/>
          <w:color w:val="6E6B6B"/>
          <w:w w:val="105"/>
          <w:sz w:val="14"/>
        </w:rPr>
        <w:t>m</w:t>
      </w:r>
      <w:r>
        <w:rPr>
          <w:rFonts w:ascii="Times New Roman"/>
          <w:color w:val="918E8E"/>
          <w:w w:val="105"/>
          <w:sz w:val="14"/>
        </w:rPr>
        <w:t>imMement,</w:t>
      </w:r>
      <w:r>
        <w:rPr>
          <w:rFonts w:ascii="Times New Roman"/>
          <w:color w:val="918E8E"/>
          <w:spacing w:val="-24"/>
          <w:w w:val="105"/>
          <w:sz w:val="14"/>
        </w:rPr>
        <w:t> </w:t>
      </w:r>
      <w:r>
        <w:rPr>
          <w:rFonts w:ascii="Arial"/>
          <w:color w:val="7E7B79"/>
          <w:w w:val="105"/>
          <w:sz w:val="13"/>
        </w:rPr>
        <w:t>wfletht"</w:t>
      </w:r>
      <w:r>
        <w:rPr>
          <w:rFonts w:ascii="Arial"/>
          <w:color w:val="7E7B79"/>
          <w:spacing w:val="-15"/>
          <w:w w:val="105"/>
          <w:sz w:val="13"/>
        </w:rPr>
        <w:t> </w:t>
      </w:r>
      <w:r>
        <w:rPr>
          <w:rFonts w:ascii="Arial"/>
          <w:color w:val="7E7B79"/>
          <w:w w:val="285"/>
          <w:sz w:val="13"/>
        </w:rPr>
        <w:t>d</w:t>
      </w:r>
      <w:r>
        <w:rPr>
          <w:rFonts w:ascii="Arial"/>
          <w:color w:val="7E7B79"/>
          <w:spacing w:val="-91"/>
          <w:w w:val="285"/>
          <w:sz w:val="13"/>
        </w:rPr>
        <w:t> </w:t>
      </w:r>
      <w:r>
        <w:rPr>
          <w:rFonts w:ascii="Arial"/>
          <w:color w:val="6E6B6B"/>
          <w:w w:val="105"/>
          <w:sz w:val="13"/>
        </w:rPr>
        <w:t>to</w:t>
      </w:r>
      <w:r>
        <w:rPr>
          <w:rFonts w:ascii="Arial"/>
          <w:color w:val="6E6B6B"/>
          <w:spacing w:val="-22"/>
          <w:w w:val="105"/>
          <w:sz w:val="13"/>
        </w:rPr>
        <w:t> </w:t>
      </w:r>
      <w:r>
        <w:rPr>
          <w:rFonts w:ascii="Arial"/>
          <w:color w:val="6E6B6B"/>
          <w:w w:val="105"/>
          <w:sz w:val="13"/>
        </w:rPr>
        <w:t>fraud</w:t>
      </w:r>
      <w:r>
        <w:rPr>
          <w:rFonts w:ascii="Arial"/>
          <w:color w:val="6E6B6B"/>
          <w:spacing w:val="-20"/>
          <w:w w:val="105"/>
          <w:sz w:val="13"/>
        </w:rPr>
        <w:t> </w:t>
      </w:r>
      <w:r>
        <w:rPr>
          <w:rFonts w:ascii="Times New Roman"/>
          <w:i/>
          <w:color w:val="6E6B6B"/>
          <w:w w:val="105"/>
          <w:sz w:val="9"/>
        </w:rPr>
        <w:t>Qt'</w:t>
      </w:r>
      <w:r>
        <w:rPr>
          <w:rFonts w:ascii="Times New Roman"/>
          <w:i/>
          <w:color w:val="6E6B6B"/>
          <w:spacing w:val="-12"/>
          <w:w w:val="105"/>
          <w:sz w:val="9"/>
        </w:rPr>
        <w:t> </w:t>
      </w:r>
      <w:r>
        <w:rPr>
          <w:rFonts w:ascii="Arial"/>
          <w:color w:val="7E7B79"/>
          <w:w w:val="105"/>
          <w:sz w:val="13"/>
        </w:rPr>
        <w:t>errot.</w:t>
      </w:r>
      <w:r>
        <w:rPr>
          <w:rFonts w:ascii="Arial"/>
          <w:sz w:val="13"/>
        </w:rPr>
      </w:r>
    </w:p>
    <w:p>
      <w:pPr>
        <w:spacing w:line="140" w:lineRule="exact" w:before="90"/>
        <w:ind w:left="1067" w:right="0" w:firstLine="0"/>
        <w:jc w:val="both"/>
        <w:rPr>
          <w:rFonts w:ascii="Times New Roman" w:hAnsi="Times New Roman" w:cs="Times New Roman" w:eastAsia="Times New Roman"/>
          <w:sz w:val="13"/>
          <w:szCs w:val="13"/>
        </w:rPr>
      </w:pPr>
      <w:r>
        <w:rPr>
          <w:rFonts w:ascii="Times New Roman"/>
          <w:color w:val="565454"/>
          <w:sz w:val="13"/>
        </w:rPr>
        <w:t>In </w:t>
      </w:r>
      <w:r>
        <w:rPr>
          <w:rFonts w:ascii="Times New Roman"/>
          <w:color w:val="565454"/>
          <w:spacing w:val="3"/>
          <w:sz w:val="13"/>
        </w:rPr>
        <w:t> </w:t>
      </w:r>
      <w:r>
        <w:rPr>
          <w:rFonts w:ascii="Times New Roman"/>
          <w:color w:val="7E7B79"/>
          <w:w w:val="140"/>
          <w:sz w:val="13"/>
        </w:rPr>
        <w:t>prr</w:t>
      </w:r>
      <w:r>
        <w:rPr>
          <w:rFonts w:ascii="Times New Roman"/>
          <w:color w:val="565454"/>
          <w:w w:val="140"/>
          <w:sz w:val="13"/>
        </w:rPr>
        <w:t>ing</w:t>
      </w:r>
      <w:r>
        <w:rPr>
          <w:rFonts w:ascii="Times New Roman"/>
          <w:color w:val="565454"/>
          <w:spacing w:val="22"/>
          <w:w w:val="140"/>
          <w:sz w:val="13"/>
        </w:rPr>
        <w:t> </w:t>
      </w:r>
      <w:r>
        <w:rPr>
          <w:rFonts w:ascii="Times New Roman"/>
          <w:color w:val="565454"/>
          <w:spacing w:val="-2"/>
          <w:w w:val="125"/>
          <w:sz w:val="13"/>
        </w:rPr>
        <w:t>t</w:t>
      </w:r>
      <w:r>
        <w:rPr>
          <w:rFonts w:ascii="Times New Roman"/>
          <w:color w:val="7E7B79"/>
          <w:spacing w:val="-2"/>
          <w:w w:val="125"/>
          <w:sz w:val="13"/>
        </w:rPr>
        <w:t>he</w:t>
      </w:r>
      <w:r>
        <w:rPr>
          <w:rFonts w:ascii="Times New Roman"/>
          <w:color w:val="7E7B79"/>
          <w:spacing w:val="8"/>
          <w:w w:val="125"/>
          <w:sz w:val="13"/>
        </w:rPr>
        <w:t> </w:t>
      </w:r>
      <w:r>
        <w:rPr>
          <w:rFonts w:ascii="Times New Roman"/>
          <w:color w:val="7E7B79"/>
          <w:spacing w:val="-3"/>
          <w:sz w:val="13"/>
        </w:rPr>
        <w:t>finand;t</w:t>
      </w:r>
      <w:r>
        <w:rPr>
          <w:rFonts w:ascii="Times New Roman"/>
          <w:color w:val="565454"/>
          <w:spacing w:val="-4"/>
          <w:sz w:val="13"/>
        </w:rPr>
        <w:t>l</w:t>
      </w:r>
      <w:r>
        <w:rPr>
          <w:rFonts w:ascii="Times New Roman"/>
          <w:color w:val="565454"/>
          <w:spacing w:val="13"/>
          <w:sz w:val="13"/>
        </w:rPr>
        <w:t> </w:t>
      </w:r>
      <w:r>
        <w:rPr>
          <w:rFonts w:ascii="Arial"/>
          <w:i/>
          <w:color w:val="7E7B79"/>
          <w:w w:val="125"/>
          <w:sz w:val="11"/>
        </w:rPr>
        <w:t>ttport.</w:t>
      </w:r>
      <w:r>
        <w:rPr>
          <w:rFonts w:ascii="Arial"/>
          <w:i/>
          <w:color w:val="7E7B79"/>
          <w:spacing w:val="-7"/>
          <w:w w:val="125"/>
          <w:sz w:val="11"/>
        </w:rPr>
        <w:t> </w:t>
      </w:r>
      <w:r>
        <w:rPr>
          <w:rFonts w:ascii="Times New Roman"/>
          <w:color w:val="6E6B6B"/>
          <w:sz w:val="13"/>
        </w:rPr>
        <w:t>ttie</w:t>
      </w:r>
      <w:r>
        <w:rPr>
          <w:rFonts w:ascii="Times New Roman"/>
          <w:color w:val="6E6B6B"/>
          <w:spacing w:val="19"/>
          <w:sz w:val="13"/>
        </w:rPr>
        <w:t> </w:t>
      </w:r>
      <w:r>
        <w:rPr>
          <w:rFonts w:ascii="Times New Roman"/>
          <w:color w:val="7E7B79"/>
          <w:sz w:val="13"/>
        </w:rPr>
        <w:t>d'irectOrS</w:t>
      </w:r>
      <w:r>
        <w:rPr>
          <w:rFonts w:ascii="Times New Roman"/>
          <w:color w:val="7E7B79"/>
          <w:spacing w:val="23"/>
          <w:sz w:val="13"/>
        </w:rPr>
        <w:t> </w:t>
      </w:r>
      <w:r>
        <w:rPr>
          <w:rFonts w:ascii="Times New Roman"/>
          <w:color w:val="7E7B79"/>
          <w:w w:val="125"/>
          <w:sz w:val="13"/>
        </w:rPr>
        <w:t>art</w:t>
      </w:r>
      <w:r>
        <w:rPr>
          <w:rFonts w:ascii="Times New Roman"/>
          <w:color w:val="7E7B79"/>
          <w:spacing w:val="9"/>
          <w:w w:val="125"/>
          <w:sz w:val="13"/>
        </w:rPr>
        <w:t> </w:t>
      </w:r>
      <w:r>
        <w:rPr>
          <w:rFonts w:ascii="Times New Roman"/>
          <w:color w:val="918E8E"/>
          <w:spacing w:val="-1"/>
          <w:sz w:val="13"/>
        </w:rPr>
        <w:t>te$</w:t>
      </w:r>
      <w:r>
        <w:rPr>
          <w:rFonts w:ascii="Times New Roman"/>
          <w:color w:val="6E6B6B"/>
          <w:spacing w:val="-1"/>
          <w:sz w:val="13"/>
        </w:rPr>
        <w:t>ponsiblt</w:t>
      </w:r>
      <w:r>
        <w:rPr>
          <w:rFonts w:ascii="Times New Roman"/>
          <w:color w:val="6E6B6B"/>
          <w:sz w:val="13"/>
        </w:rPr>
        <w:t> </w:t>
      </w:r>
      <w:r>
        <w:rPr>
          <w:rFonts w:ascii="Times New Roman"/>
          <w:color w:val="6E6B6B"/>
          <w:spacing w:val="1"/>
          <w:sz w:val="13"/>
        </w:rPr>
        <w:t> </w:t>
      </w:r>
      <w:r>
        <w:rPr>
          <w:rFonts w:ascii="Arial"/>
          <w:color w:val="7E7B79"/>
          <w:sz w:val="12"/>
        </w:rPr>
        <w:t>for</w:t>
      </w:r>
      <w:r>
        <w:rPr>
          <w:rFonts w:ascii="Arial"/>
          <w:color w:val="7E7B79"/>
          <w:spacing w:val="24"/>
          <w:sz w:val="12"/>
        </w:rPr>
        <w:t> </w:t>
      </w:r>
      <w:r>
        <w:rPr>
          <w:rFonts w:ascii="Times New Roman"/>
          <w:color w:val="7E7B79"/>
          <w:sz w:val="13"/>
        </w:rPr>
        <w:t>asses.sing</w:t>
      </w:r>
      <w:r>
        <w:rPr>
          <w:rFonts w:ascii="Times New Roman"/>
          <w:color w:val="7E7B79"/>
          <w:spacing w:val="24"/>
          <w:sz w:val="13"/>
        </w:rPr>
        <w:t> </w:t>
      </w:r>
      <w:r>
        <w:rPr>
          <w:rFonts w:ascii="Times New Roman"/>
          <w:color w:val="6E6B6B"/>
          <w:w w:val="125"/>
          <w:sz w:val="13"/>
        </w:rPr>
        <w:t>the</w:t>
      </w:r>
      <w:r>
        <w:rPr>
          <w:rFonts w:ascii="Times New Roman"/>
          <w:color w:val="6E6B6B"/>
          <w:spacing w:val="8"/>
          <w:w w:val="125"/>
          <w:sz w:val="13"/>
        </w:rPr>
        <w:t> </w:t>
      </w:r>
      <w:r>
        <w:rPr>
          <w:rFonts w:ascii="Times New Roman"/>
          <w:color w:val="7E7B79"/>
          <w:sz w:val="13"/>
        </w:rPr>
        <w:t>ability</w:t>
      </w:r>
      <w:r>
        <w:rPr>
          <w:rFonts w:ascii="Times New Roman"/>
          <w:color w:val="7E7B79"/>
          <w:spacing w:val="22"/>
          <w:sz w:val="13"/>
        </w:rPr>
        <w:t> </w:t>
      </w:r>
      <w:r>
        <w:rPr>
          <w:rFonts w:ascii="Times New Roman"/>
          <w:color w:val="6E6B6B"/>
          <w:sz w:val="13"/>
        </w:rPr>
        <w:t>of </w:t>
      </w:r>
      <w:r>
        <w:rPr>
          <w:rFonts w:ascii="Times New Roman"/>
          <w:color w:val="6E6B6B"/>
          <w:spacing w:val="2"/>
          <w:sz w:val="13"/>
        </w:rPr>
        <w:t> </w:t>
      </w:r>
      <w:r>
        <w:rPr>
          <w:rFonts w:ascii="Arial"/>
          <w:i/>
          <w:color w:val="6E6B6B"/>
          <w:sz w:val="13"/>
        </w:rPr>
        <w:t>the</w:t>
      </w:r>
      <w:r>
        <w:rPr>
          <w:rFonts w:ascii="Arial"/>
          <w:i/>
          <w:color w:val="6E6B6B"/>
          <w:spacing w:val="8"/>
          <w:sz w:val="13"/>
        </w:rPr>
        <w:t> </w:t>
      </w:r>
      <w:r>
        <w:rPr>
          <w:rFonts w:ascii="Times New Roman"/>
          <w:color w:val="6E6B6B"/>
          <w:sz w:val="13"/>
        </w:rPr>
        <w:t>Compal'fV</w:t>
      </w:r>
      <w:r>
        <w:rPr>
          <w:rFonts w:ascii="Times New Roman"/>
          <w:color w:val="6E6B6B"/>
          <w:spacing w:val="25"/>
          <w:sz w:val="13"/>
        </w:rPr>
        <w:t> </w:t>
      </w:r>
      <w:r>
        <w:rPr>
          <w:rFonts w:ascii="Times New Roman"/>
          <w:color w:val="6E6B6B"/>
          <w:w w:val="125"/>
          <w:sz w:val="13"/>
        </w:rPr>
        <w:t>to</w:t>
      </w:r>
      <w:r>
        <w:rPr>
          <w:rFonts w:ascii="Times New Roman"/>
          <w:sz w:val="13"/>
        </w:rPr>
      </w:r>
    </w:p>
    <w:p>
      <w:pPr>
        <w:spacing w:line="244" w:lineRule="auto" w:before="0"/>
        <w:ind w:left="1053" w:right="1131" w:firstLine="417"/>
        <w:jc w:val="both"/>
        <w:rPr>
          <w:rFonts w:ascii="Times New Roman" w:hAnsi="Times New Roman" w:cs="Times New Roman" w:eastAsia="Times New Roman"/>
          <w:sz w:val="14"/>
          <w:szCs w:val="14"/>
        </w:rPr>
      </w:pPr>
      <w:r>
        <w:rPr>
          <w:rFonts w:ascii="Times New Roman"/>
          <w:color w:val="7E7B79"/>
          <w:sz w:val="16"/>
        </w:rPr>
        <w:t>-e</w:t>
      </w:r>
      <w:r>
        <w:rPr>
          <w:rFonts w:ascii="Times New Roman"/>
          <w:color w:val="7E7B79"/>
          <w:spacing w:val="-8"/>
          <w:sz w:val="16"/>
        </w:rPr>
        <w:t> </w:t>
      </w:r>
      <w:r>
        <w:rPr>
          <w:rFonts w:ascii="Times New Roman"/>
          <w:color w:val="7E7B79"/>
          <w:w w:val="115"/>
          <w:sz w:val="13"/>
        </w:rPr>
        <w:t>as</w:t>
      </w:r>
      <w:r>
        <w:rPr>
          <w:rFonts w:ascii="Times New Roman"/>
          <w:color w:val="7E7B79"/>
          <w:spacing w:val="-22"/>
          <w:w w:val="115"/>
          <w:sz w:val="13"/>
        </w:rPr>
        <w:t> </w:t>
      </w:r>
      <w:r>
        <w:rPr>
          <w:rFonts w:ascii="Times New Roman"/>
          <w:color w:val="7E7B79"/>
          <w:w w:val="115"/>
          <w:sz w:val="13"/>
        </w:rPr>
        <w:t>a</w:t>
      </w:r>
      <w:r>
        <w:rPr>
          <w:rFonts w:ascii="Times New Roman"/>
          <w:color w:val="7E7B79"/>
          <w:spacing w:val="-6"/>
          <w:w w:val="115"/>
          <w:sz w:val="13"/>
        </w:rPr>
        <w:t> </w:t>
      </w:r>
      <w:r>
        <w:rPr>
          <w:rFonts w:ascii="Arial"/>
          <w:color w:val="7E7B79"/>
          <w:spacing w:val="-24"/>
          <w:sz w:val="14"/>
        </w:rPr>
        <w:t>a</w:t>
      </w:r>
      <w:r>
        <w:rPr>
          <w:rFonts w:ascii="Arial"/>
          <w:color w:val="7E7B79"/>
          <w:sz w:val="14"/>
        </w:rPr>
        <w:t>olt</w:t>
      </w:r>
      <w:r>
        <w:rPr>
          <w:rFonts w:ascii="Arial"/>
          <w:color w:val="7E7B79"/>
          <w:spacing w:val="-28"/>
          <w:sz w:val="14"/>
        </w:rPr>
        <w:t>1</w:t>
      </w:r>
      <w:r>
        <w:rPr>
          <w:rFonts w:ascii="Arial"/>
          <w:color w:val="7E7B79"/>
          <w:sz w:val="14"/>
        </w:rPr>
        <w:t>g</w:t>
      </w:r>
      <w:r>
        <w:rPr>
          <w:rFonts w:ascii="Arial"/>
          <w:color w:val="7E7B79"/>
          <w:spacing w:val="-27"/>
          <w:sz w:val="14"/>
        </w:rPr>
        <w:t> </w:t>
      </w:r>
      <w:r>
        <w:rPr>
          <w:rFonts w:ascii="Times New Roman"/>
          <w:color w:val="7E7B79"/>
          <w:w w:val="115"/>
          <w:sz w:val="13"/>
        </w:rPr>
        <w:t>cono</w:t>
      </w:r>
      <w:r>
        <w:rPr>
          <w:rFonts w:ascii="Times New Roman"/>
          <w:color w:val="7E7B79"/>
          <w:spacing w:val="-5"/>
          <w:w w:val="115"/>
          <w:sz w:val="13"/>
        </w:rPr>
        <w:t>c</w:t>
      </w:r>
      <w:r>
        <w:rPr>
          <w:rFonts w:ascii="Times New Roman"/>
          <w:color w:val="565454"/>
          <w:w w:val="115"/>
          <w:sz w:val="13"/>
        </w:rPr>
        <w:t>m</w:t>
      </w:r>
      <w:r>
        <w:rPr>
          <w:rFonts w:ascii="Times New Roman"/>
          <w:color w:val="7E7B79"/>
          <w:w w:val="115"/>
          <w:sz w:val="13"/>
        </w:rPr>
        <w:t>,</w:t>
      </w:r>
      <w:r>
        <w:rPr>
          <w:rFonts w:ascii="Times New Roman"/>
          <w:color w:val="7E7B79"/>
          <w:spacing w:val="-19"/>
          <w:w w:val="115"/>
          <w:sz w:val="13"/>
        </w:rPr>
        <w:t> </w:t>
      </w:r>
      <w:r>
        <w:rPr>
          <w:rFonts w:ascii="Times New Roman"/>
          <w:color w:val="6E6B6B"/>
          <w:w w:val="115"/>
          <w:sz w:val="13"/>
        </w:rPr>
        <w:t>di:scl</w:t>
      </w:r>
      <w:r>
        <w:rPr>
          <w:rFonts w:ascii="Times New Roman"/>
          <w:color w:val="6E6B6B"/>
          <w:spacing w:val="-3"/>
          <w:w w:val="115"/>
          <w:sz w:val="13"/>
        </w:rPr>
        <w:t>o</w:t>
      </w:r>
      <w:r>
        <w:rPr>
          <w:rFonts w:ascii="Times New Roman"/>
          <w:color w:val="918E8E"/>
          <w:spacing w:val="-8"/>
          <w:w w:val="115"/>
          <w:sz w:val="13"/>
        </w:rPr>
        <w:t>P</w:t>
      </w:r>
      <w:r>
        <w:rPr>
          <w:rFonts w:ascii="Times New Roman"/>
          <w:color w:val="6E6B6B"/>
          <w:w w:val="115"/>
          <w:sz w:val="13"/>
        </w:rPr>
        <w:t>ns.</w:t>
      </w:r>
      <w:r>
        <w:rPr>
          <w:rFonts w:ascii="Times New Roman"/>
          <w:color w:val="6E6B6B"/>
          <w:spacing w:val="-9"/>
          <w:w w:val="115"/>
          <w:sz w:val="13"/>
        </w:rPr>
        <w:t> </w:t>
      </w:r>
      <w:r>
        <w:rPr>
          <w:rFonts w:ascii="Times New Roman"/>
          <w:color w:val="7E7B79"/>
          <w:w w:val="115"/>
          <w:sz w:val="13"/>
        </w:rPr>
        <w:t>as</w:t>
      </w:r>
      <w:r>
        <w:rPr>
          <w:rFonts w:ascii="Times New Roman"/>
          <w:color w:val="7E7B79"/>
          <w:spacing w:val="-8"/>
          <w:w w:val="115"/>
          <w:sz w:val="13"/>
        </w:rPr>
        <w:t> </w:t>
      </w:r>
      <w:r>
        <w:rPr>
          <w:rFonts w:ascii="Times New Roman"/>
          <w:color w:val="7E7B79"/>
          <w:w w:val="165"/>
          <w:sz w:val="13"/>
        </w:rPr>
        <w:t>appli</w:t>
      </w:r>
      <w:r>
        <w:rPr>
          <w:rFonts w:ascii="Times New Roman"/>
          <w:color w:val="7E7B79"/>
          <w:spacing w:val="-2"/>
          <w:w w:val="165"/>
          <w:sz w:val="13"/>
        </w:rPr>
        <w:t>(</w:t>
      </w:r>
      <w:r>
        <w:rPr>
          <w:rFonts w:ascii="Times New Roman"/>
          <w:color w:val="7E7B79"/>
          <w:spacing w:val="-8"/>
          <w:w w:val="165"/>
          <w:sz w:val="13"/>
        </w:rPr>
        <w:t>.</w:t>
      </w:r>
      <w:r>
        <w:rPr>
          <w:rFonts w:ascii="Times New Roman"/>
          <w:color w:val="6E6B6B"/>
          <w:spacing w:val="-2"/>
          <w:w w:val="165"/>
          <w:sz w:val="13"/>
        </w:rPr>
        <w:t>m</w:t>
      </w:r>
      <w:r>
        <w:rPr>
          <w:rFonts w:ascii="Times New Roman"/>
          <w:color w:val="6E6B6B"/>
          <w:w w:val="165"/>
          <w:sz w:val="13"/>
        </w:rPr>
        <w:t>efl</w:t>
      </w:r>
      <w:r>
        <w:rPr>
          <w:rFonts w:ascii="Times New Roman"/>
          <w:color w:val="6E6B6B"/>
          <w:spacing w:val="34"/>
          <w:w w:val="165"/>
          <w:sz w:val="13"/>
        </w:rPr>
        <w:t> </w:t>
      </w:r>
      <w:r>
        <w:rPr>
          <w:rFonts w:ascii="Arial"/>
          <w:color w:val="7E7B79"/>
          <w:sz w:val="14"/>
        </w:rPr>
        <w:t>Cid</w:t>
      </w:r>
      <w:r>
        <w:rPr>
          <w:rFonts w:ascii="Arial"/>
          <w:color w:val="7E7B79"/>
          <w:spacing w:val="-11"/>
          <w:sz w:val="14"/>
        </w:rPr>
        <w:t> </w:t>
      </w:r>
      <w:r>
        <w:rPr>
          <w:rFonts w:ascii="Times New Roman"/>
          <w:color w:val="7E7B79"/>
          <w:w w:val="115"/>
          <w:sz w:val="15"/>
        </w:rPr>
        <w:t>to</w:t>
      </w:r>
      <w:r>
        <w:rPr>
          <w:rFonts w:ascii="Times New Roman"/>
          <w:color w:val="7E7B79"/>
          <w:spacing w:val="-23"/>
          <w:w w:val="115"/>
          <w:sz w:val="15"/>
        </w:rPr>
        <w:t> </w:t>
      </w:r>
      <w:r>
        <w:rPr>
          <w:rFonts w:ascii="Times New Roman"/>
          <w:color w:val="7E7B79"/>
          <w:w w:val="115"/>
          <w:sz w:val="13"/>
        </w:rPr>
        <w:t>g</w:t>
      </w:r>
      <w:r>
        <w:rPr>
          <w:rFonts w:ascii="Times New Roman"/>
          <w:color w:val="7E7B79"/>
          <w:spacing w:val="-7"/>
          <w:w w:val="115"/>
          <w:sz w:val="13"/>
        </w:rPr>
        <w:t>o</w:t>
      </w:r>
      <w:r>
        <w:rPr>
          <w:rFonts w:ascii="Times New Roman"/>
          <w:color w:val="565454"/>
          <w:w w:val="115"/>
          <w:sz w:val="13"/>
        </w:rPr>
        <w:t>ina</w:t>
      </w:r>
      <w:r>
        <w:rPr>
          <w:rFonts w:ascii="Times New Roman"/>
          <w:color w:val="565454"/>
          <w:spacing w:val="-15"/>
          <w:w w:val="115"/>
          <w:sz w:val="13"/>
        </w:rPr>
        <w:t> </w:t>
      </w:r>
      <w:r>
        <w:rPr>
          <w:rFonts w:ascii="Times New Roman"/>
          <w:color w:val="7E7B79"/>
          <w:spacing w:val="-21"/>
          <w:w w:val="115"/>
          <w:sz w:val="13"/>
        </w:rPr>
        <w:t>c</w:t>
      </w:r>
      <w:r>
        <w:rPr>
          <w:rFonts w:ascii="Times New Roman"/>
          <w:color w:val="7E7B79"/>
          <w:w w:val="115"/>
          <w:sz w:val="13"/>
        </w:rPr>
        <w:t>onctm</w:t>
      </w:r>
      <w:r>
        <w:rPr>
          <w:rFonts w:ascii="Times New Roman"/>
          <w:color w:val="7E7B79"/>
          <w:spacing w:val="-3"/>
          <w:w w:val="115"/>
          <w:sz w:val="13"/>
        </w:rPr>
        <w:t> </w:t>
      </w:r>
      <w:r>
        <w:rPr>
          <w:rFonts w:ascii="Times New Roman"/>
          <w:color w:val="6E6B6B"/>
          <w:w w:val="115"/>
          <w:sz w:val="13"/>
        </w:rPr>
        <w:t>and</w:t>
      </w:r>
      <w:r>
        <w:rPr>
          <w:rFonts w:ascii="Times New Roman"/>
          <w:color w:val="6E6B6B"/>
          <w:spacing w:val="-2"/>
          <w:w w:val="115"/>
          <w:sz w:val="13"/>
        </w:rPr>
        <w:t> </w:t>
      </w:r>
      <w:r>
        <w:rPr>
          <w:rFonts w:ascii="Times New Roman"/>
          <w:color w:val="6E6B6B"/>
          <w:sz w:val="13"/>
        </w:rPr>
        <w:t>usin&amp;</w:t>
      </w:r>
      <w:r>
        <w:rPr>
          <w:rFonts w:ascii="Times New Roman"/>
          <w:color w:val="6E6B6B"/>
          <w:spacing w:val="-5"/>
          <w:sz w:val="13"/>
        </w:rPr>
        <w:t> </w:t>
      </w:r>
      <w:r>
        <w:rPr>
          <w:rFonts w:ascii="Times New Roman"/>
          <w:color w:val="6E6B6B"/>
          <w:w w:val="115"/>
          <w:sz w:val="13"/>
        </w:rPr>
        <w:t>the</w:t>
      </w:r>
      <w:r>
        <w:rPr>
          <w:rFonts w:ascii="Times New Roman"/>
          <w:color w:val="6E6B6B"/>
          <w:spacing w:val="-4"/>
          <w:w w:val="115"/>
          <w:sz w:val="13"/>
        </w:rPr>
        <w:t> </w:t>
      </w:r>
      <w:r>
        <w:rPr>
          <w:rFonts w:ascii="Times New Roman"/>
          <w:color w:val="6E6B6B"/>
          <w:w w:val="115"/>
          <w:sz w:val="13"/>
        </w:rPr>
        <w:t>going</w:t>
      </w:r>
      <w:r>
        <w:rPr>
          <w:rFonts w:ascii="Times New Roman"/>
          <w:color w:val="6E6B6B"/>
          <w:w w:val="101"/>
          <w:sz w:val="13"/>
        </w:rPr>
        <w:t> </w:t>
      </w:r>
      <w:r>
        <w:rPr>
          <w:rFonts w:ascii="Times New Roman"/>
          <w:color w:val="7E7B79"/>
          <w:sz w:val="14"/>
        </w:rPr>
        <w:t>eorncern</w:t>
      </w:r>
      <w:r>
        <w:rPr>
          <w:rFonts w:ascii="Times New Roman"/>
          <w:color w:val="7E7B79"/>
          <w:spacing w:val="-20"/>
          <w:sz w:val="14"/>
        </w:rPr>
        <w:t> </w:t>
      </w:r>
      <w:r>
        <w:rPr>
          <w:rFonts w:ascii="Times New Roman"/>
          <w:color w:val="7E7B79"/>
          <w:sz w:val="14"/>
        </w:rPr>
        <w:t>basis</w:t>
      </w:r>
      <w:r>
        <w:rPr>
          <w:rFonts w:ascii="Times New Roman"/>
          <w:color w:val="7E7B79"/>
          <w:spacing w:val="-20"/>
          <w:sz w:val="14"/>
        </w:rPr>
        <w:t> </w:t>
      </w:r>
      <w:r>
        <w:rPr>
          <w:rFonts w:ascii="Arial"/>
          <w:color w:val="6E6B6B"/>
          <w:spacing w:val="-1"/>
          <w:w w:val="110"/>
          <w:sz w:val="13"/>
        </w:rPr>
        <w:t>ol</w:t>
      </w:r>
      <w:r>
        <w:rPr>
          <w:rFonts w:ascii="Times New Roman"/>
          <w:color w:val="7E7B79"/>
          <w:spacing w:val="-2"/>
          <w:w w:val="110"/>
          <w:sz w:val="14"/>
        </w:rPr>
        <w:t>a&lt;counting</w:t>
      </w:r>
      <w:r>
        <w:rPr>
          <w:rFonts w:ascii="Times New Roman"/>
          <w:color w:val="7E7B79"/>
          <w:spacing w:val="-23"/>
          <w:w w:val="110"/>
          <w:sz w:val="14"/>
        </w:rPr>
        <w:t> </w:t>
      </w:r>
      <w:r>
        <w:rPr>
          <w:rFonts w:ascii="Times New Roman"/>
          <w:color w:val="7E7B79"/>
          <w:sz w:val="12"/>
        </w:rPr>
        <w:t>Uf'llotSS</w:t>
      </w:r>
      <w:r>
        <w:rPr>
          <w:rFonts w:ascii="Times New Roman"/>
          <w:color w:val="7E7B79"/>
          <w:spacing w:val="-16"/>
          <w:sz w:val="12"/>
        </w:rPr>
        <w:t> </w:t>
      </w:r>
      <w:r>
        <w:rPr>
          <w:rFonts w:ascii="Arial"/>
          <w:color w:val="7E7B79"/>
          <w:w w:val="110"/>
          <w:sz w:val="13"/>
        </w:rPr>
        <w:t>th</w:t>
      </w:r>
      <w:r>
        <w:rPr>
          <w:rFonts w:ascii="Arial"/>
          <w:color w:val="7E7B79"/>
          <w:spacing w:val="10"/>
          <w:w w:val="110"/>
          <w:sz w:val="13"/>
        </w:rPr>
        <w:t>t</w:t>
      </w:r>
      <w:r>
        <w:rPr>
          <w:rFonts w:ascii="Times New Roman"/>
          <w:color w:val="6E6B6B"/>
          <w:spacing w:val="-4"/>
          <w:w w:val="110"/>
          <w:sz w:val="12"/>
        </w:rPr>
        <w:t>d</w:t>
      </w:r>
      <w:r>
        <w:rPr>
          <w:rFonts w:ascii="Times New Roman"/>
          <w:color w:val="918E8E"/>
          <w:spacing w:val="-18"/>
          <w:w w:val="110"/>
          <w:sz w:val="12"/>
        </w:rPr>
        <w:t>i</w:t>
      </w:r>
      <w:r>
        <w:rPr>
          <w:rFonts w:ascii="Times New Roman"/>
          <w:color w:val="918E8E"/>
          <w:w w:val="110"/>
          <w:sz w:val="12"/>
        </w:rPr>
        <w:t>ttaOt</w:t>
      </w:r>
      <w:r>
        <w:rPr>
          <w:rFonts w:ascii="Times New Roman"/>
          <w:color w:val="918E8E"/>
          <w:spacing w:val="8"/>
          <w:w w:val="110"/>
          <w:sz w:val="12"/>
        </w:rPr>
        <w:t>S</w:t>
      </w:r>
      <w:r>
        <w:rPr>
          <w:rFonts w:ascii="Times New Roman"/>
          <w:color w:val="7E7B79"/>
          <w:w w:val="110"/>
          <w:sz w:val="14"/>
        </w:rPr>
        <w:t>eithtt</w:t>
      </w:r>
      <w:r>
        <w:rPr>
          <w:rFonts w:ascii="Times New Roman"/>
          <w:color w:val="7E7B79"/>
          <w:spacing w:val="-25"/>
          <w:w w:val="110"/>
          <w:sz w:val="14"/>
        </w:rPr>
        <w:t> </w:t>
      </w:r>
      <w:r>
        <w:rPr>
          <w:rFonts w:ascii="Times New Roman"/>
          <w:color w:val="918E8E"/>
          <w:spacing w:val="3"/>
          <w:w w:val="110"/>
          <w:sz w:val="14"/>
        </w:rPr>
        <w:t>I</w:t>
      </w:r>
      <w:r>
        <w:rPr>
          <w:rFonts w:ascii="Times New Roman"/>
          <w:color w:val="6E6B6B"/>
          <w:spacing w:val="2"/>
          <w:w w:val="110"/>
          <w:sz w:val="14"/>
        </w:rPr>
        <w:t>nt</w:t>
      </w:r>
      <w:r>
        <w:rPr>
          <w:rFonts w:ascii="Times New Roman"/>
          <w:color w:val="7E7B79"/>
          <w:spacing w:val="2"/>
          <w:w w:val="110"/>
          <w:sz w:val="14"/>
        </w:rPr>
        <w:t>Md</w:t>
      </w:r>
      <w:r>
        <w:rPr>
          <w:rFonts w:ascii="Times New Roman"/>
          <w:color w:val="6E6B6B"/>
          <w:spacing w:val="1"/>
          <w:w w:val="110"/>
          <w:sz w:val="14"/>
        </w:rPr>
        <w:t>to</w:t>
      </w:r>
      <w:r>
        <w:rPr>
          <w:rFonts w:ascii="Times New Roman"/>
          <w:color w:val="6E6B6B"/>
          <w:spacing w:val="-28"/>
          <w:w w:val="110"/>
          <w:sz w:val="14"/>
        </w:rPr>
        <w:t> </w:t>
      </w:r>
      <w:r>
        <w:rPr>
          <w:rFonts w:ascii="Times New Roman"/>
          <w:color w:val="6E6B6B"/>
          <w:w w:val="110"/>
          <w:sz w:val="14"/>
        </w:rPr>
        <w:t>llqul&amp;te</w:t>
      </w:r>
      <w:r>
        <w:rPr>
          <w:rFonts w:ascii="Times New Roman"/>
          <w:color w:val="6E6B6B"/>
          <w:spacing w:val="-25"/>
          <w:w w:val="110"/>
          <w:sz w:val="14"/>
        </w:rPr>
        <w:t> </w:t>
      </w:r>
      <w:r>
        <w:rPr>
          <w:rFonts w:ascii="Times New Roman"/>
          <w:color w:val="6E6B6B"/>
          <w:sz w:val="14"/>
        </w:rPr>
        <w:t>the</w:t>
      </w:r>
      <w:r>
        <w:rPr>
          <w:rFonts w:ascii="Times New Roman"/>
          <w:color w:val="7E7B79"/>
          <w:spacing w:val="1"/>
          <w:sz w:val="14"/>
        </w:rPr>
        <w:t>COMpanv</w:t>
      </w:r>
      <w:r>
        <w:rPr>
          <w:rFonts w:ascii="Times New Roman"/>
          <w:color w:val="7E7B79"/>
          <w:spacing w:val="-26"/>
          <w:sz w:val="14"/>
        </w:rPr>
        <w:t> </w:t>
      </w:r>
      <w:r>
        <w:rPr>
          <w:rFonts w:ascii="Times New Roman"/>
          <w:i/>
          <w:color w:val="7E7B79"/>
          <w:w w:val="110"/>
          <w:sz w:val="11"/>
        </w:rPr>
        <w:t>0t</w:t>
      </w:r>
      <w:r>
        <w:rPr>
          <w:rFonts w:ascii="Times New Roman"/>
          <w:i/>
          <w:color w:val="7E7B79"/>
          <w:spacing w:val="-19"/>
          <w:w w:val="110"/>
          <w:sz w:val="11"/>
        </w:rPr>
        <w:t> </w:t>
      </w:r>
      <w:r>
        <w:rPr>
          <w:rFonts w:ascii="Times New Roman"/>
          <w:color w:val="6E6B6B"/>
          <w:w w:val="110"/>
          <w:sz w:val="14"/>
        </w:rPr>
        <w:t>to</w:t>
      </w:r>
      <w:r>
        <w:rPr>
          <w:rFonts w:ascii="Times New Roman"/>
          <w:color w:val="6E6B6B"/>
          <w:spacing w:val="-28"/>
          <w:w w:val="110"/>
          <w:sz w:val="14"/>
        </w:rPr>
        <w:t> </w:t>
      </w:r>
      <w:r>
        <w:rPr>
          <w:rFonts w:ascii="Times New Roman"/>
          <w:color w:val="7E7B79"/>
          <w:w w:val="110"/>
          <w:sz w:val="14"/>
        </w:rPr>
        <w:t>ttase</w:t>
      </w:r>
      <w:r>
        <w:rPr>
          <w:rFonts w:ascii="Times New Roman"/>
          <w:color w:val="7E7B79"/>
          <w:spacing w:val="-32"/>
          <w:w w:val="110"/>
          <w:sz w:val="14"/>
        </w:rPr>
        <w:t> </w:t>
      </w:r>
      <w:r>
        <w:rPr>
          <w:rFonts w:ascii="Times New Roman"/>
          <w:color w:val="7E7B79"/>
          <w:spacing w:val="-2"/>
          <w:sz w:val="14"/>
        </w:rPr>
        <w:t>OS)et&amp;tioM</w:t>
      </w:r>
      <w:r>
        <w:rPr>
          <w:rFonts w:ascii="Times New Roman"/>
          <w:color w:val="7E7B79"/>
          <w:spacing w:val="-1"/>
          <w:sz w:val="14"/>
        </w:rPr>
        <w:t>,</w:t>
      </w:r>
      <w:r>
        <w:rPr>
          <w:rFonts w:ascii="Times New Roman"/>
          <w:color w:val="7E7B79"/>
          <w:spacing w:val="21"/>
          <w:w w:val="209"/>
          <w:sz w:val="14"/>
        </w:rPr>
        <w:t> </w:t>
      </w:r>
      <w:r>
        <w:rPr>
          <w:rFonts w:ascii="Times New Roman"/>
          <w:color w:val="6E6B6B"/>
          <w:w w:val="110"/>
          <w:sz w:val="14"/>
        </w:rPr>
        <w:t>or</w:t>
      </w:r>
      <w:r>
        <w:rPr>
          <w:rFonts w:ascii="Times New Roman"/>
          <w:color w:val="6E6B6B"/>
          <w:spacing w:val="-26"/>
          <w:w w:val="110"/>
          <w:sz w:val="14"/>
        </w:rPr>
        <w:t> </w:t>
      </w:r>
      <w:r>
        <w:rPr>
          <w:rFonts w:ascii="Times New Roman"/>
          <w:color w:val="7E7B79"/>
          <w:w w:val="110"/>
          <w:sz w:val="14"/>
        </w:rPr>
        <w:t>hive</w:t>
      </w:r>
      <w:r>
        <w:rPr>
          <w:rFonts w:ascii="Times New Roman"/>
          <w:color w:val="7E7B79"/>
          <w:spacing w:val="-25"/>
          <w:w w:val="110"/>
          <w:sz w:val="14"/>
        </w:rPr>
        <w:t> </w:t>
      </w:r>
      <w:r>
        <w:rPr>
          <w:rFonts w:ascii="Times New Roman"/>
          <w:color w:val="6E6B6B"/>
          <w:w w:val="110"/>
          <w:sz w:val="14"/>
        </w:rPr>
        <w:t>norealistic</w:t>
      </w:r>
      <w:r>
        <w:rPr>
          <w:rFonts w:ascii="Times New Roman"/>
          <w:color w:val="6E6B6B"/>
          <w:spacing w:val="-23"/>
          <w:w w:val="110"/>
          <w:sz w:val="14"/>
        </w:rPr>
        <w:t> </w:t>
      </w:r>
      <w:r>
        <w:rPr>
          <w:rFonts w:ascii="Times New Roman"/>
          <w:color w:val="7E7B79"/>
          <w:spacing w:val="-2"/>
          <w:w w:val="110"/>
          <w:sz w:val="14"/>
        </w:rPr>
        <w:t>a</w:t>
      </w:r>
      <w:r>
        <w:rPr>
          <w:rFonts w:ascii="Times New Roman"/>
          <w:color w:val="565454"/>
          <w:spacing w:val="-1"/>
          <w:w w:val="110"/>
          <w:sz w:val="14"/>
        </w:rPr>
        <w:t>ltt</w:t>
      </w:r>
      <w:r>
        <w:rPr>
          <w:rFonts w:ascii="Times New Roman"/>
          <w:color w:val="7E7B79"/>
          <w:spacing w:val="-2"/>
          <w:w w:val="110"/>
          <w:sz w:val="14"/>
        </w:rPr>
        <w:t>matlve</w:t>
      </w:r>
      <w:r>
        <w:rPr>
          <w:rFonts w:ascii="Times New Roman"/>
          <w:color w:val="7E7B79"/>
          <w:spacing w:val="-24"/>
          <w:w w:val="110"/>
          <w:sz w:val="14"/>
        </w:rPr>
        <w:t> </w:t>
      </w:r>
      <w:r>
        <w:rPr>
          <w:rFonts w:ascii="Times New Roman"/>
          <w:color w:val="6E6B6B"/>
          <w:w w:val="110"/>
          <w:sz w:val="14"/>
        </w:rPr>
        <w:t>but</w:t>
      </w:r>
      <w:r>
        <w:rPr>
          <w:rFonts w:ascii="Times New Roman"/>
          <w:color w:val="6E6B6B"/>
          <w:spacing w:val="-23"/>
          <w:w w:val="110"/>
          <w:sz w:val="14"/>
        </w:rPr>
        <w:t> </w:t>
      </w:r>
      <w:r>
        <w:rPr>
          <w:rFonts w:ascii="Times New Roman"/>
          <w:color w:val="6E6B6B"/>
          <w:w w:val="110"/>
          <w:sz w:val="14"/>
        </w:rPr>
        <w:t>to</w:t>
      </w:r>
      <w:r>
        <w:rPr>
          <w:rFonts w:ascii="Times New Roman"/>
          <w:color w:val="6E6B6B"/>
          <w:spacing w:val="-26"/>
          <w:w w:val="110"/>
          <w:sz w:val="14"/>
        </w:rPr>
        <w:t> </w:t>
      </w:r>
      <w:r>
        <w:rPr>
          <w:rFonts w:ascii="Times New Roman"/>
          <w:color w:val="7E7B79"/>
          <w:w w:val="110"/>
          <w:sz w:val="14"/>
        </w:rPr>
        <w:t>do</w:t>
      </w:r>
      <w:r>
        <w:rPr>
          <w:rFonts w:ascii="Times New Roman"/>
          <w:color w:val="7E7B79"/>
          <w:spacing w:val="-28"/>
          <w:w w:val="110"/>
          <w:sz w:val="14"/>
        </w:rPr>
        <w:t> </w:t>
      </w:r>
      <w:r>
        <w:rPr>
          <w:rFonts w:ascii="Times New Roman"/>
          <w:color w:val="7E7B79"/>
          <w:w w:val="110"/>
          <w:sz w:val="14"/>
        </w:rPr>
        <w:t>so.</w:t>
      </w:r>
      <w:r>
        <w:rPr>
          <w:rFonts w:ascii="Times New Roman"/>
          <w:sz w:val="14"/>
        </w:rPr>
      </w:r>
    </w:p>
    <w:p>
      <w:pPr>
        <w:spacing w:before="24"/>
        <w:ind w:left="1067" w:right="0" w:firstLine="0"/>
        <w:jc w:val="both"/>
        <w:rPr>
          <w:rFonts w:ascii="Times New Roman" w:hAnsi="Times New Roman" w:cs="Times New Roman" w:eastAsia="Times New Roman"/>
          <w:sz w:val="15"/>
          <w:szCs w:val="15"/>
        </w:rPr>
      </w:pPr>
      <w:r>
        <w:rPr>
          <w:rFonts w:ascii="Arial"/>
          <w:color w:val="464444"/>
          <w:w w:val="110"/>
          <w:sz w:val="13"/>
        </w:rPr>
        <w:t>Au</w:t>
      </w:r>
      <w:r>
        <w:rPr>
          <w:rFonts w:ascii="Arial"/>
          <w:color w:val="464444"/>
          <w:spacing w:val="-7"/>
          <w:w w:val="110"/>
          <w:sz w:val="13"/>
        </w:rPr>
        <w:t>d</w:t>
      </w:r>
      <w:r>
        <w:rPr>
          <w:rFonts w:ascii="Arial"/>
          <w:color w:val="464444"/>
          <w:w w:val="110"/>
          <w:sz w:val="13"/>
        </w:rPr>
        <w:t>itor's</w:t>
      </w:r>
      <w:r>
        <w:rPr>
          <w:rFonts w:ascii="Arial"/>
          <w:color w:val="464444"/>
          <w:spacing w:val="-22"/>
          <w:w w:val="110"/>
          <w:sz w:val="13"/>
        </w:rPr>
        <w:t> </w:t>
      </w:r>
      <w:r>
        <w:rPr>
          <w:rFonts w:ascii="Arial"/>
          <w:color w:val="464444"/>
          <w:w w:val="110"/>
          <w:sz w:val="13"/>
        </w:rPr>
        <w:t>respo</w:t>
      </w:r>
      <w:r>
        <w:rPr>
          <w:rFonts w:ascii="Arial"/>
          <w:color w:val="464444"/>
          <w:spacing w:val="-11"/>
          <w:w w:val="110"/>
          <w:sz w:val="13"/>
        </w:rPr>
        <w:t>n</w:t>
      </w:r>
      <w:r>
        <w:rPr>
          <w:rFonts w:ascii="Arial"/>
          <w:color w:val="6E6B6B"/>
          <w:w w:val="110"/>
          <w:sz w:val="13"/>
        </w:rPr>
        <w:t>s</w:t>
      </w:r>
      <w:r>
        <w:rPr>
          <w:rFonts w:ascii="Arial"/>
          <w:color w:val="6E6B6B"/>
          <w:spacing w:val="-15"/>
          <w:w w:val="110"/>
          <w:sz w:val="13"/>
        </w:rPr>
        <w:t>l</w:t>
      </w:r>
      <w:r>
        <w:rPr>
          <w:rFonts w:ascii="Arial"/>
          <w:color w:val="464444"/>
          <w:w w:val="110"/>
          <w:sz w:val="13"/>
        </w:rPr>
        <w:t>b</w:t>
      </w:r>
      <w:r>
        <w:rPr>
          <w:rFonts w:ascii="Arial"/>
          <w:color w:val="464444"/>
          <w:spacing w:val="-16"/>
          <w:w w:val="110"/>
          <w:sz w:val="13"/>
        </w:rPr>
        <w:t>l</w:t>
      </w:r>
      <w:r>
        <w:rPr>
          <w:rFonts w:ascii="Arial"/>
          <w:color w:val="464444"/>
          <w:spacing w:val="-80"/>
          <w:w w:val="110"/>
          <w:sz w:val="13"/>
        </w:rPr>
        <w:t>l</w:t>
      </w:r>
      <w:r>
        <w:rPr>
          <w:rFonts w:ascii="Arial"/>
          <w:color w:val="464444"/>
          <w:spacing w:val="4"/>
          <w:w w:val="110"/>
          <w:sz w:val="13"/>
        </w:rPr>
        <w:t>l</w:t>
      </w:r>
      <w:r>
        <w:rPr>
          <w:rFonts w:ascii="Arial"/>
          <w:color w:val="464444"/>
          <w:w w:val="110"/>
          <w:sz w:val="13"/>
        </w:rPr>
        <w:t>Ues</w:t>
      </w:r>
      <w:r>
        <w:rPr>
          <w:rFonts w:ascii="Arial"/>
          <w:color w:val="464444"/>
          <w:spacing w:val="-21"/>
          <w:w w:val="110"/>
          <w:sz w:val="13"/>
        </w:rPr>
        <w:t> </w:t>
      </w:r>
      <w:r>
        <w:rPr>
          <w:rFonts w:ascii="Arial"/>
          <w:color w:val="565454"/>
          <w:w w:val="110"/>
          <w:sz w:val="13"/>
        </w:rPr>
        <w:t>ror</w:t>
      </w:r>
      <w:r>
        <w:rPr>
          <w:rFonts w:ascii="Arial"/>
          <w:color w:val="565454"/>
          <w:spacing w:val="-13"/>
          <w:w w:val="110"/>
          <w:sz w:val="13"/>
        </w:rPr>
        <w:t> </w:t>
      </w:r>
      <w:r>
        <w:rPr>
          <w:rFonts w:ascii="Arial"/>
          <w:color w:val="565454"/>
          <w:w w:val="110"/>
          <w:sz w:val="14"/>
        </w:rPr>
        <w:t>the </w:t>
      </w:r>
      <w:r>
        <w:rPr>
          <w:rFonts w:ascii="Arial"/>
          <w:color w:val="565454"/>
          <w:w w:val="110"/>
          <w:sz w:val="13"/>
        </w:rPr>
        <w:t>audit</w:t>
      </w:r>
      <w:r>
        <w:rPr>
          <w:rFonts w:ascii="Arial"/>
          <w:color w:val="565454"/>
          <w:spacing w:val="-9"/>
          <w:w w:val="110"/>
          <w:sz w:val="13"/>
        </w:rPr>
        <w:t> </w:t>
      </w:r>
      <w:r>
        <w:rPr>
          <w:rFonts w:ascii="Arial"/>
          <w:color w:val="464444"/>
          <w:w w:val="110"/>
          <w:sz w:val="20"/>
        </w:rPr>
        <w:t>or</w:t>
      </w:r>
      <w:r>
        <w:rPr>
          <w:rFonts w:ascii="Arial"/>
          <w:color w:val="464444"/>
          <w:spacing w:val="-28"/>
          <w:w w:val="110"/>
          <w:sz w:val="20"/>
        </w:rPr>
        <w:t> </w:t>
      </w:r>
      <w:r>
        <w:rPr>
          <w:rFonts w:ascii="Arial"/>
          <w:color w:val="565454"/>
          <w:w w:val="110"/>
          <w:sz w:val="14"/>
        </w:rPr>
        <w:t>tht</w:t>
      </w:r>
      <w:r>
        <w:rPr>
          <w:rFonts w:ascii="Arial"/>
          <w:color w:val="565454"/>
          <w:spacing w:val="-13"/>
          <w:w w:val="110"/>
          <w:sz w:val="14"/>
        </w:rPr>
        <w:t> </w:t>
      </w:r>
      <w:r>
        <w:rPr>
          <w:rFonts w:ascii="Arial"/>
          <w:color w:val="565454"/>
          <w:w w:val="110"/>
          <w:sz w:val="13"/>
        </w:rPr>
        <w:t>ftnanc:lae</w:t>
      </w:r>
      <w:r>
        <w:rPr>
          <w:rFonts w:ascii="Arial"/>
          <w:color w:val="565454"/>
          <w:spacing w:val="16"/>
          <w:w w:val="110"/>
          <w:sz w:val="13"/>
        </w:rPr>
        <w:t> </w:t>
      </w:r>
      <w:r>
        <w:rPr>
          <w:rFonts w:ascii="Times New Roman"/>
          <w:color w:val="565454"/>
          <w:w w:val="110"/>
          <w:sz w:val="15"/>
        </w:rPr>
        <w:t>report</w:t>
      </w:r>
      <w:r>
        <w:rPr>
          <w:rFonts w:ascii="Times New Roman"/>
          <w:sz w:val="15"/>
        </w:rPr>
      </w:r>
    </w:p>
    <w:p>
      <w:pPr>
        <w:spacing w:line="227" w:lineRule="auto" w:before="55"/>
        <w:ind w:left="1053" w:right="1154" w:firstLine="14"/>
        <w:jc w:val="both"/>
        <w:rPr>
          <w:rFonts w:ascii="Arial" w:hAnsi="Arial" w:cs="Arial" w:eastAsia="Arial"/>
          <w:sz w:val="14"/>
          <w:szCs w:val="14"/>
        </w:rPr>
      </w:pPr>
      <w:r>
        <w:rPr>
          <w:rFonts w:ascii="Arial" w:hAnsi="Arial" w:cs="Arial" w:eastAsia="Arial"/>
          <w:color w:val="6E6B6B"/>
          <w:sz w:val="12"/>
          <w:szCs w:val="12"/>
        </w:rPr>
        <w:t>My</w:t>
      </w:r>
      <w:r>
        <w:rPr>
          <w:rFonts w:ascii="Arial" w:hAnsi="Arial" w:cs="Arial" w:eastAsia="Arial"/>
          <w:color w:val="6E6B6B"/>
          <w:spacing w:val="-18"/>
          <w:sz w:val="12"/>
          <w:szCs w:val="12"/>
        </w:rPr>
        <w:t> </w:t>
      </w:r>
      <w:r>
        <w:rPr>
          <w:rFonts w:ascii="Times New Roman" w:hAnsi="Times New Roman" w:cs="Times New Roman" w:eastAsia="Times New Roman"/>
          <w:color w:val="6E6B6B"/>
          <w:sz w:val="15"/>
          <w:szCs w:val="15"/>
        </w:rPr>
        <w:t>obJ«tive</w:t>
      </w:r>
      <w:r>
        <w:rPr>
          <w:rFonts w:ascii="Times New Roman" w:hAnsi="Times New Roman" w:cs="Times New Roman" w:eastAsia="Times New Roman"/>
          <w:color w:val="6E6B6B"/>
          <w:spacing w:val="-17"/>
          <w:sz w:val="15"/>
          <w:szCs w:val="15"/>
        </w:rPr>
        <w:t> </w:t>
      </w:r>
      <w:r>
        <w:rPr>
          <w:rFonts w:ascii="Times New Roman" w:hAnsi="Times New Roman" w:cs="Times New Roman" w:eastAsia="Times New Roman"/>
          <w:color w:val="7E7B79"/>
          <w:sz w:val="15"/>
          <w:szCs w:val="15"/>
        </w:rPr>
        <w:t>Is</w:t>
      </w:r>
      <w:r>
        <w:rPr>
          <w:rFonts w:ascii="Times New Roman" w:hAnsi="Times New Roman" w:cs="Times New Roman" w:eastAsia="Times New Roman"/>
          <w:color w:val="7E7B79"/>
          <w:spacing w:val="-13"/>
          <w:sz w:val="15"/>
          <w:szCs w:val="15"/>
        </w:rPr>
        <w:t> </w:t>
      </w:r>
      <w:r>
        <w:rPr>
          <w:rFonts w:ascii="Times New Roman" w:hAnsi="Times New Roman" w:cs="Times New Roman" w:eastAsia="Times New Roman"/>
          <w:color w:val="7E7B79"/>
          <w:sz w:val="15"/>
          <w:szCs w:val="15"/>
        </w:rPr>
        <w:t>to</w:t>
      </w:r>
      <w:r>
        <w:rPr>
          <w:rFonts w:ascii="Times New Roman" w:hAnsi="Times New Roman" w:cs="Times New Roman" w:eastAsia="Times New Roman"/>
          <w:color w:val="7E7B79"/>
          <w:spacing w:val="-27"/>
          <w:sz w:val="15"/>
          <w:szCs w:val="15"/>
        </w:rPr>
        <w:t> </w:t>
      </w:r>
      <w:r>
        <w:rPr>
          <w:rFonts w:ascii="Times New Roman" w:hAnsi="Times New Roman" w:cs="Times New Roman" w:eastAsia="Times New Roman"/>
          <w:color w:val="7E7B79"/>
          <w:sz w:val="15"/>
          <w:szCs w:val="15"/>
        </w:rPr>
        <w:t>obtain</w:t>
      </w:r>
      <w:r>
        <w:rPr>
          <w:rFonts w:ascii="Times New Roman" w:hAnsi="Times New Roman" w:cs="Times New Roman" w:eastAsia="Times New Roman"/>
          <w:color w:val="7E7B79"/>
          <w:spacing w:val="-11"/>
          <w:sz w:val="15"/>
          <w:szCs w:val="15"/>
        </w:rPr>
        <w:t> </w:t>
      </w:r>
      <w:r>
        <w:rPr>
          <w:rFonts w:ascii="Times New Roman" w:hAnsi="Times New Roman" w:cs="Times New Roman" w:eastAsia="Times New Roman"/>
          <w:color w:val="6E6B6B"/>
          <w:spacing w:val="-1"/>
          <w:sz w:val="15"/>
          <w:szCs w:val="15"/>
        </w:rPr>
        <w:t>re.</w:t>
      </w:r>
      <w:r>
        <w:rPr>
          <w:rFonts w:ascii="Times New Roman" w:hAnsi="Times New Roman" w:cs="Times New Roman" w:eastAsia="Times New Roman"/>
          <w:color w:val="6E6B6B"/>
          <w:spacing w:val="-2"/>
          <w:sz w:val="15"/>
          <w:szCs w:val="15"/>
        </w:rPr>
        <w:t>$0f'la</w:t>
      </w:r>
      <w:r>
        <w:rPr>
          <w:rFonts w:ascii="Times New Roman" w:hAnsi="Times New Roman" w:cs="Times New Roman" w:eastAsia="Times New Roman"/>
          <w:color w:val="918E8E"/>
          <w:spacing w:val="-2"/>
          <w:sz w:val="15"/>
          <w:szCs w:val="15"/>
        </w:rPr>
        <w:t>bSt</w:t>
      </w:r>
      <w:r>
        <w:rPr>
          <w:rFonts w:ascii="Times New Roman" w:hAnsi="Times New Roman" w:cs="Times New Roman" w:eastAsia="Times New Roman"/>
          <w:color w:val="918E8E"/>
          <w:spacing w:val="-22"/>
          <w:sz w:val="15"/>
          <w:szCs w:val="15"/>
        </w:rPr>
        <w:t> </w:t>
      </w:r>
      <w:r>
        <w:rPr>
          <w:rFonts w:ascii="Times New Roman" w:hAnsi="Times New Roman" w:cs="Times New Roman" w:eastAsia="Times New Roman"/>
          <w:color w:val="7E7B79"/>
          <w:sz w:val="15"/>
          <w:szCs w:val="15"/>
        </w:rPr>
        <w:t>&lt;&gt;S.P.Kance</w:t>
      </w:r>
      <w:r>
        <w:rPr>
          <w:rFonts w:ascii="Times New Roman" w:hAnsi="Times New Roman" w:cs="Times New Roman" w:eastAsia="Times New Roman"/>
          <w:color w:val="7E7B79"/>
          <w:spacing w:val="-10"/>
          <w:sz w:val="15"/>
          <w:szCs w:val="15"/>
        </w:rPr>
        <w:t> </w:t>
      </w:r>
      <w:r>
        <w:rPr>
          <w:rFonts w:ascii="Arial" w:hAnsi="Arial" w:cs="Arial" w:eastAsia="Arial"/>
          <w:color w:val="6E6B6B"/>
          <w:sz w:val="14"/>
          <w:szCs w:val="14"/>
        </w:rPr>
        <w:t>;:ibout</w:t>
      </w:r>
      <w:r>
        <w:rPr>
          <w:rFonts w:ascii="Arial" w:hAnsi="Arial" w:cs="Arial" w:eastAsia="Arial"/>
          <w:color w:val="6E6B6B"/>
          <w:spacing w:val="-21"/>
          <w:sz w:val="14"/>
          <w:szCs w:val="14"/>
        </w:rPr>
        <w:t> </w:t>
      </w:r>
      <w:r>
        <w:rPr>
          <w:rFonts w:ascii="Arial" w:hAnsi="Arial" w:cs="Arial" w:eastAsia="Arial"/>
          <w:color w:val="6E6B6B"/>
          <w:sz w:val="12"/>
          <w:szCs w:val="12"/>
        </w:rPr>
        <w:t>whett.er</w:t>
      </w:r>
      <w:r>
        <w:rPr>
          <w:rFonts w:ascii="Arial" w:hAnsi="Arial" w:cs="Arial" w:eastAsia="Arial"/>
          <w:color w:val="6E6B6B"/>
          <w:spacing w:val="-8"/>
          <w:sz w:val="12"/>
          <w:szCs w:val="12"/>
        </w:rPr>
        <w:t> </w:t>
      </w:r>
      <w:r>
        <w:rPr>
          <w:rFonts w:ascii="Times New Roman" w:hAnsi="Times New Roman" w:cs="Times New Roman" w:eastAsia="Times New Roman"/>
          <w:color w:val="6E6B6B"/>
          <w:sz w:val="15"/>
          <w:szCs w:val="15"/>
        </w:rPr>
        <w:t>thct</w:t>
      </w:r>
      <w:r>
        <w:rPr>
          <w:rFonts w:ascii="Times New Roman" w:hAnsi="Times New Roman" w:cs="Times New Roman" w:eastAsia="Times New Roman"/>
          <w:color w:val="6E6B6B"/>
          <w:spacing w:val="-17"/>
          <w:sz w:val="15"/>
          <w:szCs w:val="15"/>
        </w:rPr>
        <w:t> </w:t>
      </w:r>
      <w:r>
        <w:rPr>
          <w:rFonts w:ascii="Times New Roman" w:hAnsi="Times New Roman" w:cs="Times New Roman" w:eastAsia="Times New Roman"/>
          <w:color w:val="6E6B6B"/>
          <w:sz w:val="15"/>
          <w:szCs w:val="15"/>
        </w:rPr>
        <w:t>financial</w:t>
      </w:r>
      <w:r>
        <w:rPr>
          <w:rFonts w:ascii="Times New Roman" w:hAnsi="Times New Roman" w:cs="Times New Roman" w:eastAsia="Times New Roman"/>
          <w:color w:val="6E6B6B"/>
          <w:spacing w:val="1"/>
          <w:sz w:val="15"/>
          <w:szCs w:val="15"/>
        </w:rPr>
        <w:t> </w:t>
      </w:r>
      <w:r>
        <w:rPr>
          <w:rFonts w:ascii="Arial" w:hAnsi="Arial" w:cs="Arial" w:eastAsia="Arial"/>
          <w:color w:val="6E6B6B"/>
          <w:sz w:val="12"/>
          <w:szCs w:val="12"/>
        </w:rPr>
        <w:t>port</w:t>
      </w:r>
      <w:r>
        <w:rPr>
          <w:rFonts w:ascii="Arial" w:hAnsi="Arial" w:cs="Arial" w:eastAsia="Arial"/>
          <w:color w:val="6E6B6B"/>
          <w:spacing w:val="-15"/>
          <w:sz w:val="12"/>
          <w:szCs w:val="12"/>
        </w:rPr>
        <w:t> </w:t>
      </w:r>
      <w:r>
        <w:rPr>
          <w:rFonts w:ascii="Times New Roman" w:hAnsi="Times New Roman" w:cs="Times New Roman" w:eastAsia="Times New Roman"/>
          <w:color w:val="7E7B79"/>
          <w:sz w:val="15"/>
          <w:szCs w:val="15"/>
        </w:rPr>
        <w:t>as</w:t>
      </w:r>
      <w:r>
        <w:rPr>
          <w:rFonts w:ascii="Times New Roman" w:hAnsi="Times New Roman" w:cs="Times New Roman" w:eastAsia="Times New Roman"/>
          <w:color w:val="7E7B79"/>
          <w:spacing w:val="-22"/>
          <w:sz w:val="15"/>
          <w:szCs w:val="15"/>
        </w:rPr>
        <w:t> </w:t>
      </w:r>
      <w:r>
        <w:rPr>
          <w:rFonts w:ascii="Times New Roman" w:hAnsi="Times New Roman" w:cs="Times New Roman" w:eastAsia="Times New Roman"/>
          <w:color w:val="6E6B6B"/>
          <w:sz w:val="15"/>
          <w:szCs w:val="15"/>
        </w:rPr>
        <w:t>.,</w:t>
      </w:r>
      <w:r>
        <w:rPr>
          <w:rFonts w:ascii="Times New Roman" w:hAnsi="Times New Roman" w:cs="Times New Roman" w:eastAsia="Times New Roman"/>
          <w:color w:val="6E6B6B"/>
          <w:spacing w:val="-28"/>
          <w:sz w:val="15"/>
          <w:szCs w:val="15"/>
        </w:rPr>
        <w:t> </w:t>
      </w:r>
      <w:r>
        <w:rPr>
          <w:rFonts w:ascii="Times New Roman" w:hAnsi="Times New Roman" w:cs="Times New Roman" w:eastAsia="Times New Roman"/>
          <w:color w:val="7E7B79"/>
          <w:spacing w:val="-7"/>
          <w:sz w:val="15"/>
          <w:szCs w:val="15"/>
        </w:rPr>
        <w:t>wflo</w:t>
      </w:r>
      <w:r>
        <w:rPr>
          <w:rFonts w:ascii="Times New Roman" w:hAnsi="Times New Roman" w:cs="Times New Roman" w:eastAsia="Times New Roman"/>
          <w:color w:val="565454"/>
          <w:spacing w:val="-5"/>
          <w:sz w:val="15"/>
          <w:szCs w:val="15"/>
        </w:rPr>
        <w:t>l</w:t>
      </w:r>
      <w:r>
        <w:rPr>
          <w:rFonts w:ascii="Times New Roman" w:hAnsi="Times New Roman" w:cs="Times New Roman" w:eastAsia="Times New Roman"/>
          <w:color w:val="7E7B79"/>
          <w:spacing w:val="-5"/>
          <w:sz w:val="15"/>
          <w:szCs w:val="15"/>
        </w:rPr>
        <w:t>e</w:t>
      </w:r>
      <w:r>
        <w:rPr>
          <w:rFonts w:ascii="Times New Roman" w:hAnsi="Times New Roman" w:cs="Times New Roman" w:eastAsia="Times New Roman"/>
          <w:color w:val="7E7B79"/>
          <w:spacing w:val="-23"/>
          <w:sz w:val="15"/>
          <w:szCs w:val="15"/>
        </w:rPr>
        <w:t> </w:t>
      </w:r>
      <w:r>
        <w:rPr>
          <w:rFonts w:ascii="Times New Roman" w:hAnsi="Times New Roman" w:cs="Times New Roman" w:eastAsia="Times New Roman"/>
          <w:color w:val="7E7B79"/>
          <w:sz w:val="15"/>
          <w:szCs w:val="15"/>
        </w:rPr>
        <w:t>b</w:t>
      </w:r>
      <w:r>
        <w:rPr>
          <w:rFonts w:ascii="Times New Roman" w:hAnsi="Times New Roman" w:cs="Times New Roman" w:eastAsia="Times New Roman"/>
          <w:color w:val="7E7B79"/>
          <w:spacing w:val="-13"/>
          <w:sz w:val="15"/>
          <w:szCs w:val="15"/>
        </w:rPr>
        <w:t> </w:t>
      </w:r>
      <w:r>
        <w:rPr>
          <w:rFonts w:ascii="Times New Roman" w:hAnsi="Times New Roman" w:cs="Times New Roman" w:eastAsia="Times New Roman"/>
          <w:color w:val="6E6B6B"/>
          <w:sz w:val="15"/>
          <w:szCs w:val="15"/>
        </w:rPr>
        <w:t>free</w:t>
      </w:r>
      <w:r>
        <w:rPr>
          <w:rFonts w:ascii="Times New Roman" w:hAnsi="Times New Roman" w:cs="Times New Roman" w:eastAsia="Times New Roman"/>
          <w:color w:val="6E6B6B"/>
          <w:spacing w:val="-20"/>
          <w:sz w:val="15"/>
          <w:szCs w:val="15"/>
        </w:rPr>
        <w:t> </w:t>
      </w:r>
      <w:r>
        <w:rPr>
          <w:rFonts w:ascii="Times New Roman" w:hAnsi="Times New Roman" w:cs="Times New Roman" w:eastAsia="Times New Roman"/>
          <w:color w:val="7E7B79"/>
          <w:sz w:val="15"/>
          <w:szCs w:val="15"/>
        </w:rPr>
        <w:t>from</w:t>
      </w:r>
      <w:r>
        <w:rPr>
          <w:rFonts w:ascii="Times New Roman" w:hAnsi="Times New Roman" w:cs="Times New Roman" w:eastAsia="Times New Roman"/>
          <w:color w:val="7E7B79"/>
          <w:spacing w:val="27"/>
          <w:w w:val="93"/>
          <w:sz w:val="15"/>
          <w:szCs w:val="15"/>
        </w:rPr>
        <w:t> </w:t>
      </w:r>
      <w:r>
        <w:rPr>
          <w:rFonts w:ascii="Times New Roman" w:hAnsi="Times New Roman" w:cs="Times New Roman" w:eastAsia="Times New Roman"/>
          <w:color w:val="6E6B6B"/>
          <w:sz w:val="14"/>
          <w:szCs w:val="14"/>
        </w:rPr>
        <w:t>matefta</w:t>
      </w:r>
      <w:r>
        <w:rPr>
          <w:rFonts w:ascii="Times New Roman" w:hAnsi="Times New Roman" w:cs="Times New Roman" w:eastAsia="Times New Roman"/>
          <w:color w:val="918E8E"/>
          <w:sz w:val="14"/>
          <w:szCs w:val="14"/>
        </w:rPr>
        <w:t>l</w:t>
      </w:r>
      <w:r>
        <w:rPr>
          <w:rFonts w:ascii="Times New Roman" w:hAnsi="Times New Roman" w:cs="Times New Roman" w:eastAsia="Times New Roman"/>
          <w:color w:val="7E7B79"/>
          <w:sz w:val="14"/>
          <w:szCs w:val="14"/>
        </w:rPr>
        <w:t>nVsstatement.</w:t>
      </w:r>
      <w:r>
        <w:rPr>
          <w:rFonts w:ascii="Times New Roman" w:hAnsi="Times New Roman" w:cs="Times New Roman" w:eastAsia="Times New Roman"/>
          <w:color w:val="7E7B79"/>
          <w:spacing w:val="19"/>
          <w:sz w:val="14"/>
          <w:szCs w:val="14"/>
        </w:rPr>
        <w:t> </w:t>
      </w:r>
      <w:r>
        <w:rPr>
          <w:rFonts w:ascii="Arial" w:hAnsi="Arial" w:cs="Arial" w:eastAsia="Arial"/>
          <w:color w:val="6E6B6B"/>
          <w:w w:val="115"/>
          <w:sz w:val="13"/>
          <w:szCs w:val="13"/>
        </w:rPr>
        <w:t>wtllwf</w:t>
      </w:r>
      <w:r>
        <w:rPr>
          <w:rFonts w:ascii="Arial" w:hAnsi="Arial" w:cs="Arial" w:eastAsia="Arial"/>
          <w:color w:val="6E6B6B"/>
          <w:spacing w:val="-21"/>
          <w:w w:val="115"/>
          <w:sz w:val="13"/>
          <w:szCs w:val="13"/>
        </w:rPr>
        <w:t> </w:t>
      </w:r>
      <w:r>
        <w:rPr>
          <w:rFonts w:ascii="Times New Roman" w:hAnsi="Times New Roman" w:cs="Times New Roman" w:eastAsia="Times New Roman"/>
          <w:color w:val="6E6B6B"/>
          <w:sz w:val="14"/>
          <w:szCs w:val="14"/>
        </w:rPr>
        <w:t>OJe</w:t>
      </w:r>
      <w:r>
        <w:rPr>
          <w:rFonts w:ascii="Times New Roman" w:hAnsi="Times New Roman" w:cs="Times New Roman" w:eastAsia="Times New Roman"/>
          <w:color w:val="6E6B6B"/>
          <w:spacing w:val="7"/>
          <w:sz w:val="14"/>
          <w:szCs w:val="14"/>
        </w:rPr>
        <w:t> </w:t>
      </w:r>
      <w:r>
        <w:rPr>
          <w:rFonts w:ascii="Times New Roman" w:hAnsi="Times New Roman" w:cs="Times New Roman" w:eastAsia="Times New Roman"/>
          <w:color w:val="6E6B6B"/>
          <w:sz w:val="14"/>
          <w:szCs w:val="14"/>
        </w:rPr>
        <w:t>to</w:t>
      </w:r>
      <w:r>
        <w:rPr>
          <w:rFonts w:ascii="Times New Roman" w:hAnsi="Times New Roman" w:cs="Times New Roman" w:eastAsia="Times New Roman"/>
          <w:color w:val="6E6B6B"/>
          <w:spacing w:val="6"/>
          <w:sz w:val="14"/>
          <w:szCs w:val="14"/>
        </w:rPr>
        <w:t> </w:t>
      </w:r>
      <w:r>
        <w:rPr>
          <w:rFonts w:ascii="Times New Roman" w:hAnsi="Times New Roman" w:cs="Times New Roman" w:eastAsia="Times New Roman"/>
          <w:color w:val="6E6B6B"/>
          <w:sz w:val="14"/>
          <w:szCs w:val="14"/>
        </w:rPr>
        <w:t>fraud</w:t>
      </w:r>
      <w:r>
        <w:rPr>
          <w:rFonts w:ascii="Times New Roman" w:hAnsi="Times New Roman" w:cs="Times New Roman" w:eastAsia="Times New Roman"/>
          <w:color w:val="6E6B6B"/>
          <w:spacing w:val="15"/>
          <w:sz w:val="14"/>
          <w:szCs w:val="14"/>
        </w:rPr>
        <w:t> </w:t>
      </w:r>
      <w:r>
        <w:rPr>
          <w:rFonts w:ascii="Times New Roman" w:hAnsi="Times New Roman" w:cs="Times New Roman" w:eastAsia="Times New Roman"/>
          <w:color w:val="6E6B6B"/>
          <w:sz w:val="14"/>
          <w:szCs w:val="14"/>
        </w:rPr>
        <w:t>°</w:t>
      </w:r>
      <w:r>
        <w:rPr>
          <w:rFonts w:ascii="Times New Roman" w:hAnsi="Times New Roman" w:cs="Times New Roman" w:eastAsia="Times New Roman"/>
          <w:color w:val="6E6B6B"/>
          <w:spacing w:val="5"/>
          <w:sz w:val="14"/>
          <w:szCs w:val="14"/>
        </w:rPr>
        <w:t>'</w:t>
      </w:r>
      <w:r>
        <w:rPr>
          <w:rFonts w:ascii="Times New Roman" w:hAnsi="Times New Roman" w:cs="Times New Roman" w:eastAsia="Times New Roman"/>
          <w:color w:val="6E6B6B"/>
          <w:sz w:val="14"/>
          <w:szCs w:val="14"/>
        </w:rPr>
        <w:t>error</w:t>
      </w:r>
      <w:r>
        <w:rPr>
          <w:rFonts w:ascii="Times New Roman" w:hAnsi="Times New Roman" w:cs="Times New Roman" w:eastAsia="Times New Roman"/>
          <w:color w:val="6E6B6B"/>
          <w:spacing w:val="1"/>
          <w:sz w:val="14"/>
          <w:szCs w:val="14"/>
        </w:rPr>
        <w:t>.</w:t>
      </w:r>
      <w:r>
        <w:rPr>
          <w:rFonts w:ascii="Times New Roman" w:hAnsi="Times New Roman" w:cs="Times New Roman" w:eastAsia="Times New Roman"/>
          <w:color w:val="7E7B79"/>
          <w:sz w:val="14"/>
          <w:szCs w:val="14"/>
        </w:rPr>
        <w:t>an</w:t>
      </w:r>
      <w:r>
        <w:rPr>
          <w:rFonts w:ascii="Times New Roman" w:hAnsi="Times New Roman" w:cs="Times New Roman" w:eastAsia="Times New Roman"/>
          <w:color w:val="7E7B79"/>
          <w:spacing w:val="13"/>
          <w:sz w:val="14"/>
          <w:szCs w:val="14"/>
        </w:rPr>
        <w:t>d</w:t>
      </w:r>
      <w:r>
        <w:rPr>
          <w:rFonts w:ascii="Times New Roman" w:hAnsi="Times New Roman" w:cs="Times New Roman" w:eastAsia="Times New Roman"/>
          <w:color w:val="6E6B6B"/>
          <w:sz w:val="14"/>
          <w:szCs w:val="14"/>
        </w:rPr>
        <w:t>t</w:t>
      </w:r>
      <w:r>
        <w:rPr>
          <w:rFonts w:ascii="Times New Roman" w:hAnsi="Times New Roman" w:cs="Times New Roman" w:eastAsia="Times New Roman"/>
          <w:color w:val="6E6B6B"/>
          <w:spacing w:val="7"/>
          <w:sz w:val="14"/>
          <w:szCs w:val="14"/>
        </w:rPr>
        <w:t>o</w:t>
      </w:r>
      <w:r>
        <w:rPr>
          <w:rFonts w:ascii="Times New Roman" w:hAnsi="Times New Roman" w:cs="Times New Roman" w:eastAsia="Times New Roman"/>
          <w:color w:val="918E8E"/>
          <w:spacing w:val="-19"/>
          <w:sz w:val="14"/>
          <w:szCs w:val="14"/>
        </w:rPr>
        <w:t>l</w:t>
      </w:r>
      <w:r>
        <w:rPr>
          <w:rFonts w:ascii="Times New Roman" w:hAnsi="Times New Roman" w:cs="Times New Roman" w:eastAsia="Times New Roman"/>
          <w:color w:val="6E6B6B"/>
          <w:sz w:val="14"/>
          <w:szCs w:val="14"/>
        </w:rPr>
        <w:t>sst1</w:t>
      </w:r>
      <w:r>
        <w:rPr>
          <w:rFonts w:ascii="Times New Roman" w:hAnsi="Times New Roman" w:cs="Times New Roman" w:eastAsia="Times New Roman"/>
          <w:color w:val="6E6B6B"/>
          <w:spacing w:val="10"/>
          <w:sz w:val="14"/>
          <w:szCs w:val="14"/>
        </w:rPr>
        <w:t>t</w:t>
      </w:r>
      <w:r>
        <w:rPr>
          <w:rFonts w:ascii="Times New Roman" w:hAnsi="Times New Roman" w:cs="Times New Roman" w:eastAsia="Times New Roman"/>
          <w:color w:val="6E6B6B"/>
          <w:sz w:val="14"/>
          <w:szCs w:val="14"/>
        </w:rPr>
        <w:t>an</w:t>
      </w:r>
      <w:r>
        <w:rPr>
          <w:rFonts w:ascii="Times New Roman" w:hAnsi="Times New Roman" w:cs="Times New Roman" w:eastAsia="Times New Roman"/>
          <w:color w:val="6E6B6B"/>
          <w:spacing w:val="8"/>
          <w:sz w:val="14"/>
          <w:szCs w:val="14"/>
        </w:rPr>
        <w:t> </w:t>
      </w:r>
      <w:r>
        <w:rPr>
          <w:rFonts w:ascii="Times New Roman" w:hAnsi="Times New Roman" w:cs="Times New Roman" w:eastAsia="Times New Roman"/>
          <w:color w:val="7E7B79"/>
          <w:sz w:val="14"/>
          <w:szCs w:val="14"/>
        </w:rPr>
        <w:t>wdttOl's</w:t>
      </w:r>
      <w:r>
        <w:rPr>
          <w:rFonts w:ascii="Times New Roman" w:hAnsi="Times New Roman" w:cs="Times New Roman" w:eastAsia="Times New Roman"/>
          <w:color w:val="7E7B79"/>
          <w:spacing w:val="17"/>
          <w:sz w:val="14"/>
          <w:szCs w:val="14"/>
        </w:rPr>
        <w:t> </w:t>
      </w:r>
      <w:r>
        <w:rPr>
          <w:rFonts w:ascii="Times New Roman" w:hAnsi="Times New Roman" w:cs="Times New Roman" w:eastAsia="Times New Roman"/>
          <w:color w:val="7E7B79"/>
          <w:sz w:val="14"/>
          <w:szCs w:val="14"/>
        </w:rPr>
        <w:t>re-port</w:t>
      </w:r>
      <w:r>
        <w:rPr>
          <w:rFonts w:ascii="Times New Roman" w:hAnsi="Times New Roman" w:cs="Times New Roman" w:eastAsia="Times New Roman"/>
          <w:color w:val="7E7B79"/>
          <w:spacing w:val="24"/>
          <w:sz w:val="14"/>
          <w:szCs w:val="14"/>
        </w:rPr>
        <w:t> </w:t>
      </w:r>
      <w:r>
        <w:rPr>
          <w:rFonts w:ascii="Times New Roman" w:hAnsi="Times New Roman" w:cs="Times New Roman" w:eastAsia="Times New Roman"/>
          <w:color w:val="7E7B79"/>
          <w:sz w:val="14"/>
          <w:szCs w:val="14"/>
        </w:rPr>
        <w:t>that</w:t>
      </w:r>
      <w:r>
        <w:rPr>
          <w:rFonts w:ascii="Times New Roman" w:hAnsi="Times New Roman" w:cs="Times New Roman" w:eastAsia="Times New Roman"/>
          <w:color w:val="7E7B79"/>
          <w:spacing w:val="-4"/>
          <w:sz w:val="14"/>
          <w:szCs w:val="14"/>
        </w:rPr>
        <w:t> </w:t>
      </w:r>
      <w:r>
        <w:rPr>
          <w:rFonts w:ascii="Times New Roman" w:hAnsi="Times New Roman" w:cs="Times New Roman" w:eastAsia="Times New Roman"/>
          <w:color w:val="7E7B79"/>
          <w:spacing w:val="1"/>
          <w:sz w:val="14"/>
          <w:szCs w:val="14"/>
        </w:rPr>
        <w:t>lnc</w:t>
      </w:r>
      <w:r>
        <w:rPr>
          <w:rFonts w:ascii="Times New Roman" w:hAnsi="Times New Roman" w:cs="Times New Roman" w:eastAsia="Times New Roman"/>
          <w:color w:val="565454"/>
          <w:spacing w:val="1"/>
          <w:sz w:val="14"/>
          <w:szCs w:val="14"/>
        </w:rPr>
        <w:t>lud</w:t>
      </w:r>
      <w:r>
        <w:rPr>
          <w:rFonts w:ascii="Times New Roman" w:hAnsi="Times New Roman" w:cs="Times New Roman" w:eastAsia="Times New Roman"/>
          <w:color w:val="7E7B79"/>
          <w:sz w:val="14"/>
          <w:szCs w:val="14"/>
        </w:rPr>
        <w:t>n</w:t>
      </w:r>
      <w:r>
        <w:rPr>
          <w:rFonts w:ascii="Times New Roman" w:hAnsi="Times New Roman" w:cs="Times New Roman" w:eastAsia="Times New Roman"/>
          <w:color w:val="7E7B79"/>
          <w:spacing w:val="1"/>
          <w:sz w:val="14"/>
          <w:szCs w:val="14"/>
        </w:rPr>
        <w:t>myopinion.</w:t>
      </w:r>
      <w:r>
        <w:rPr>
          <w:rFonts w:ascii="Times New Roman" w:hAnsi="Times New Roman" w:cs="Times New Roman" w:eastAsia="Times New Roman"/>
          <w:color w:val="7E7B79"/>
          <w:spacing w:val="76"/>
          <w:sz w:val="14"/>
          <w:szCs w:val="14"/>
        </w:rPr>
        <w:t> </w:t>
      </w:r>
      <w:r>
        <w:rPr>
          <w:rFonts w:ascii="Times New Roman" w:hAnsi="Times New Roman" w:cs="Times New Roman" w:eastAsia="Times New Roman"/>
          <w:color w:val="6E6B6B"/>
          <w:w w:val="90"/>
          <w:sz w:val="18"/>
          <w:szCs w:val="18"/>
        </w:rPr>
        <w:t>Rtasonal:jt</w:t>
      </w:r>
      <w:r>
        <w:rPr>
          <w:rFonts w:ascii="Times New Roman" w:hAnsi="Times New Roman" w:cs="Times New Roman" w:eastAsia="Times New Roman"/>
          <w:color w:val="6E6B6B"/>
          <w:spacing w:val="-30"/>
          <w:w w:val="90"/>
          <w:sz w:val="18"/>
          <w:szCs w:val="18"/>
        </w:rPr>
        <w:t> </w:t>
      </w:r>
      <w:r>
        <w:rPr>
          <w:rFonts w:ascii="Times New Roman" w:hAnsi="Times New Roman" w:cs="Times New Roman" w:eastAsia="Times New Roman"/>
          <w:color w:val="7E7B79"/>
          <w:w w:val="90"/>
          <w:sz w:val="18"/>
          <w:szCs w:val="18"/>
        </w:rPr>
        <w:t>assuninc</w:t>
      </w:r>
      <w:r>
        <w:rPr>
          <w:rFonts w:ascii="Times New Roman" w:hAnsi="Times New Roman" w:cs="Times New Roman" w:eastAsia="Times New Roman"/>
          <w:color w:val="7E7B79"/>
          <w:spacing w:val="-26"/>
          <w:w w:val="90"/>
          <w:sz w:val="18"/>
          <w:szCs w:val="18"/>
        </w:rPr>
        <w:t>:</w:t>
      </w:r>
      <w:r>
        <w:rPr>
          <w:rFonts w:ascii="Times New Roman" w:hAnsi="Times New Roman" w:cs="Times New Roman" w:eastAsia="Times New Roman"/>
          <w:color w:val="7E7B79"/>
          <w:spacing w:val="6"/>
          <w:w w:val="90"/>
          <w:sz w:val="18"/>
          <w:szCs w:val="18"/>
        </w:rPr>
        <w:t>t</w:t>
      </w:r>
      <w:r>
        <w:rPr>
          <w:rFonts w:ascii="Arial" w:hAnsi="Arial" w:cs="Arial" w:eastAsia="Arial"/>
          <w:color w:val="7E7B79"/>
          <w:w w:val="90"/>
          <w:sz w:val="15"/>
          <w:szCs w:val="15"/>
        </w:rPr>
        <w:t>is</w:t>
      </w:r>
      <w:r>
        <w:rPr>
          <w:rFonts w:ascii="Arial" w:hAnsi="Arial" w:cs="Arial" w:eastAsia="Arial"/>
          <w:color w:val="7E7B79"/>
          <w:spacing w:val="-31"/>
          <w:w w:val="90"/>
          <w:sz w:val="15"/>
          <w:szCs w:val="15"/>
        </w:rPr>
        <w:t> </w:t>
      </w:r>
      <w:r>
        <w:rPr>
          <w:rFonts w:ascii="Times New Roman" w:hAnsi="Times New Roman" w:cs="Times New Roman" w:eastAsia="Times New Roman"/>
          <w:color w:val="6E6B6B"/>
          <w:w w:val="90"/>
          <w:sz w:val="18"/>
          <w:szCs w:val="18"/>
        </w:rPr>
        <w:t>a</w:t>
      </w:r>
      <w:r>
        <w:rPr>
          <w:rFonts w:ascii="Times New Roman" w:hAnsi="Times New Roman" w:cs="Times New Roman" w:eastAsia="Times New Roman"/>
          <w:color w:val="6E6B6B"/>
          <w:spacing w:val="-30"/>
          <w:w w:val="90"/>
          <w:sz w:val="18"/>
          <w:szCs w:val="18"/>
        </w:rPr>
        <w:t> </w:t>
      </w:r>
      <w:r>
        <w:rPr>
          <w:rFonts w:ascii="Times New Roman" w:hAnsi="Times New Roman" w:cs="Times New Roman" w:eastAsia="Times New Roman"/>
          <w:color w:val="7E7B79"/>
          <w:w w:val="90"/>
          <w:sz w:val="18"/>
          <w:szCs w:val="18"/>
        </w:rPr>
        <w:t>hleh</w:t>
      </w:r>
      <w:r>
        <w:rPr>
          <w:rFonts w:ascii="Times New Roman" w:hAnsi="Times New Roman" w:cs="Times New Roman" w:eastAsia="Times New Roman"/>
          <w:color w:val="7E7B79"/>
          <w:spacing w:val="-26"/>
          <w:w w:val="90"/>
          <w:sz w:val="18"/>
          <w:szCs w:val="18"/>
        </w:rPr>
        <w:t> </w:t>
      </w:r>
      <w:r>
        <w:rPr>
          <w:rFonts w:ascii="Times New Roman" w:hAnsi="Times New Roman" w:cs="Times New Roman" w:eastAsia="Times New Roman"/>
          <w:color w:val="565454"/>
          <w:w w:val="90"/>
          <w:sz w:val="18"/>
          <w:szCs w:val="18"/>
        </w:rPr>
        <w:t>lt</w:t>
      </w:r>
      <w:r>
        <w:rPr>
          <w:rFonts w:ascii="Times New Roman" w:hAnsi="Times New Roman" w:cs="Times New Roman" w:eastAsia="Times New Roman"/>
          <w:color w:val="565454"/>
          <w:spacing w:val="-2"/>
          <w:w w:val="90"/>
          <w:sz w:val="18"/>
          <w:szCs w:val="18"/>
        </w:rPr>
        <w:t>u</w:t>
      </w:r>
      <w:r>
        <w:rPr>
          <w:rFonts w:ascii="Times New Roman" w:hAnsi="Times New Roman" w:cs="Times New Roman" w:eastAsia="Times New Roman"/>
          <w:color w:val="7E7B79"/>
          <w:w w:val="90"/>
          <w:sz w:val="18"/>
          <w:szCs w:val="18"/>
        </w:rPr>
        <w:t>tl</w:t>
      </w:r>
      <w:r>
        <w:rPr>
          <w:rFonts w:ascii="Times New Roman" w:hAnsi="Times New Roman" w:cs="Times New Roman" w:eastAsia="Times New Roman"/>
          <w:color w:val="7E7B79"/>
          <w:spacing w:val="-29"/>
          <w:w w:val="90"/>
          <w:sz w:val="18"/>
          <w:szCs w:val="18"/>
        </w:rPr>
        <w:t> </w:t>
      </w:r>
      <w:r>
        <w:rPr>
          <w:rFonts w:ascii="Arial" w:hAnsi="Arial" w:cs="Arial" w:eastAsia="Arial"/>
          <w:color w:val="6E6B6B"/>
          <w:w w:val="90"/>
          <w:sz w:val="15"/>
          <w:szCs w:val="15"/>
        </w:rPr>
        <w:t>o</w:t>
      </w:r>
      <w:r>
        <w:rPr>
          <w:rFonts w:ascii="Arial" w:hAnsi="Arial" w:cs="Arial" w:eastAsia="Arial"/>
          <w:color w:val="6E6B6B"/>
          <w:spacing w:val="17"/>
          <w:w w:val="90"/>
          <w:sz w:val="15"/>
          <w:szCs w:val="15"/>
        </w:rPr>
        <w:t>f</w:t>
      </w:r>
      <w:r>
        <w:rPr>
          <w:rFonts w:ascii="Times New Roman" w:hAnsi="Times New Roman" w:cs="Times New Roman" w:eastAsia="Times New Roman"/>
          <w:color w:val="7E7B79"/>
          <w:w w:val="90"/>
          <w:sz w:val="18"/>
          <w:szCs w:val="18"/>
        </w:rPr>
        <w:t>anuninc</w:t>
      </w:r>
      <w:r>
        <w:rPr>
          <w:rFonts w:ascii="Times New Roman" w:hAnsi="Times New Roman" w:cs="Times New Roman" w:eastAsia="Times New Roman"/>
          <w:color w:val="7E7B79"/>
          <w:spacing w:val="-12"/>
          <w:w w:val="90"/>
          <w:sz w:val="18"/>
          <w:szCs w:val="18"/>
        </w:rPr>
        <w:t>t.</w:t>
      </w:r>
      <w:r>
        <w:rPr>
          <w:rFonts w:ascii="Times New Roman" w:hAnsi="Times New Roman" w:cs="Times New Roman" w:eastAsia="Times New Roman"/>
          <w:color w:val="6E6B6B"/>
          <w:w w:val="90"/>
          <w:sz w:val="16"/>
          <w:szCs w:val="16"/>
        </w:rPr>
        <w:t>but</w:t>
      </w:r>
      <w:r>
        <w:rPr>
          <w:rFonts w:ascii="Times New Roman" w:hAnsi="Times New Roman" w:cs="Times New Roman" w:eastAsia="Times New Roman"/>
          <w:color w:val="6E6B6B"/>
          <w:spacing w:val="-28"/>
          <w:w w:val="90"/>
          <w:sz w:val="16"/>
          <w:szCs w:val="16"/>
        </w:rPr>
        <w:t> </w:t>
      </w:r>
      <w:r>
        <w:rPr>
          <w:rFonts w:ascii="Arial" w:hAnsi="Arial" w:cs="Arial" w:eastAsia="Arial"/>
          <w:color w:val="7E7B79"/>
          <w:w w:val="90"/>
          <w:sz w:val="15"/>
          <w:szCs w:val="15"/>
        </w:rPr>
        <w:t>i</w:t>
      </w:r>
      <w:r>
        <w:rPr>
          <w:rFonts w:ascii="Arial" w:hAnsi="Arial" w:cs="Arial" w:eastAsia="Arial"/>
          <w:color w:val="7E7B79"/>
          <w:spacing w:val="-1"/>
          <w:w w:val="90"/>
          <w:sz w:val="15"/>
          <w:szCs w:val="15"/>
        </w:rPr>
        <w:t>s</w:t>
      </w:r>
      <w:r>
        <w:rPr>
          <w:rFonts w:ascii="Times New Roman" w:hAnsi="Times New Roman" w:cs="Times New Roman" w:eastAsia="Times New Roman"/>
          <w:color w:val="7E7B79"/>
          <w:w w:val="90"/>
          <w:sz w:val="16"/>
          <w:szCs w:val="16"/>
        </w:rPr>
        <w:t>no</w:t>
      </w:r>
      <w:r>
        <w:rPr>
          <w:rFonts w:ascii="Times New Roman" w:hAnsi="Times New Roman" w:cs="Times New Roman" w:eastAsia="Times New Roman"/>
          <w:color w:val="7E7B79"/>
          <w:spacing w:val="15"/>
          <w:w w:val="90"/>
          <w:sz w:val="16"/>
          <w:szCs w:val="16"/>
        </w:rPr>
        <w:t>t</w:t>
      </w:r>
      <w:r>
        <w:rPr>
          <w:rFonts w:ascii="Times New Roman" w:hAnsi="Times New Roman" w:cs="Times New Roman" w:eastAsia="Times New Roman"/>
          <w:color w:val="6E6B6B"/>
          <w:w w:val="90"/>
          <w:sz w:val="18"/>
          <w:szCs w:val="18"/>
        </w:rPr>
        <w:t>a</w:t>
      </w:r>
      <w:r>
        <w:rPr>
          <w:rFonts w:ascii="Times New Roman" w:hAnsi="Times New Roman" w:cs="Times New Roman" w:eastAsia="Times New Roman"/>
          <w:color w:val="6E6B6B"/>
          <w:spacing w:val="-30"/>
          <w:w w:val="90"/>
          <w:sz w:val="18"/>
          <w:szCs w:val="18"/>
        </w:rPr>
        <w:t> </w:t>
      </w:r>
      <w:r>
        <w:rPr>
          <w:rFonts w:ascii="Times New Roman" w:hAnsi="Times New Roman" w:cs="Times New Roman" w:eastAsia="Times New Roman"/>
          <w:color w:val="7E7B79"/>
          <w:w w:val="90"/>
          <w:sz w:val="16"/>
          <w:szCs w:val="16"/>
        </w:rPr>
        <w:t>auaranttt</w:t>
      </w:r>
      <w:r>
        <w:rPr>
          <w:rFonts w:ascii="Times New Roman" w:hAnsi="Times New Roman" w:cs="Times New Roman" w:eastAsia="Times New Roman"/>
          <w:color w:val="7E7B79"/>
          <w:spacing w:val="-19"/>
          <w:w w:val="90"/>
          <w:sz w:val="16"/>
          <w:szCs w:val="16"/>
        </w:rPr>
        <w:t> </w:t>
      </w:r>
      <w:r>
        <w:rPr>
          <w:rFonts w:ascii="Times New Roman" w:hAnsi="Times New Roman" w:cs="Times New Roman" w:eastAsia="Times New Roman"/>
          <w:color w:val="6E6B6B"/>
          <w:w w:val="90"/>
          <w:sz w:val="16"/>
          <w:szCs w:val="16"/>
        </w:rPr>
        <w:t>tllat</w:t>
      </w:r>
      <w:r>
        <w:rPr>
          <w:rFonts w:ascii="Times New Roman" w:hAnsi="Times New Roman" w:cs="Times New Roman" w:eastAsia="Times New Roman"/>
          <w:color w:val="6E6B6B"/>
          <w:spacing w:val="-28"/>
          <w:w w:val="90"/>
          <w:sz w:val="16"/>
          <w:szCs w:val="16"/>
        </w:rPr>
        <w:t> </w:t>
      </w:r>
      <w:r>
        <w:rPr>
          <w:rFonts w:ascii="Times New Roman" w:hAnsi="Times New Roman" w:cs="Times New Roman" w:eastAsia="Times New Roman"/>
          <w:color w:val="7E7B79"/>
          <w:w w:val="90"/>
          <w:sz w:val="18"/>
          <w:szCs w:val="18"/>
        </w:rPr>
        <w:t>an</w:t>
      </w:r>
      <w:r>
        <w:rPr>
          <w:rFonts w:ascii="Times New Roman" w:hAnsi="Times New Roman" w:cs="Times New Roman" w:eastAsia="Times New Roman"/>
          <w:color w:val="7E7B79"/>
          <w:spacing w:val="-30"/>
          <w:w w:val="90"/>
          <w:sz w:val="18"/>
          <w:szCs w:val="18"/>
        </w:rPr>
        <w:t> </w:t>
      </w:r>
      <w:r>
        <w:rPr>
          <w:rFonts w:ascii="Times New Roman" w:hAnsi="Times New Roman" w:cs="Times New Roman" w:eastAsia="Times New Roman"/>
          <w:color w:val="7E7B79"/>
          <w:w w:val="90"/>
          <w:sz w:val="18"/>
          <w:szCs w:val="18"/>
        </w:rPr>
        <w:t>audit</w:t>
      </w:r>
      <w:r>
        <w:rPr>
          <w:rFonts w:ascii="Times New Roman" w:hAnsi="Times New Roman" w:cs="Times New Roman" w:eastAsia="Times New Roman"/>
          <w:color w:val="7E7B79"/>
          <w:spacing w:val="-26"/>
          <w:w w:val="90"/>
          <w:sz w:val="18"/>
          <w:szCs w:val="18"/>
        </w:rPr>
        <w:t> </w:t>
      </w:r>
      <w:r>
        <w:rPr>
          <w:rFonts w:ascii="Times New Roman" w:hAnsi="Times New Roman" w:cs="Times New Roman" w:eastAsia="Times New Roman"/>
          <w:color w:val="6E6B6B"/>
          <w:w w:val="90"/>
          <w:sz w:val="18"/>
          <w:szCs w:val="18"/>
        </w:rPr>
        <w:t>condutttd</w:t>
      </w:r>
      <w:r>
        <w:rPr>
          <w:rFonts w:ascii="Times New Roman" w:hAnsi="Times New Roman" w:cs="Times New Roman" w:eastAsia="Times New Roman"/>
          <w:color w:val="6E6B6B"/>
          <w:spacing w:val="-25"/>
          <w:w w:val="90"/>
          <w:sz w:val="18"/>
          <w:szCs w:val="18"/>
        </w:rPr>
        <w:t> </w:t>
      </w:r>
      <w:r>
        <w:rPr>
          <w:rFonts w:ascii="Times New Roman" w:hAnsi="Times New Roman" w:cs="Times New Roman" w:eastAsia="Times New Roman"/>
          <w:color w:val="7E7B79"/>
          <w:w w:val="90"/>
          <w:sz w:val="16"/>
          <w:szCs w:val="16"/>
        </w:rPr>
        <w:t>In</w:t>
      </w:r>
      <w:r>
        <w:rPr>
          <w:rFonts w:ascii="Times New Roman" w:hAnsi="Times New Roman" w:cs="Times New Roman" w:eastAsia="Times New Roman"/>
          <w:color w:val="7E7B79"/>
          <w:spacing w:val="-24"/>
          <w:w w:val="90"/>
          <w:sz w:val="16"/>
          <w:szCs w:val="16"/>
        </w:rPr>
        <w:t> </w:t>
      </w:r>
      <w:r>
        <w:rPr>
          <w:rFonts w:ascii="Times New Roman" w:hAnsi="Times New Roman" w:cs="Times New Roman" w:eastAsia="Times New Roman"/>
          <w:color w:val="6E6B6B"/>
          <w:w w:val="90"/>
          <w:sz w:val="16"/>
          <w:szCs w:val="16"/>
        </w:rPr>
        <w:t>accordance</w:t>
      </w:r>
      <w:r>
        <w:rPr>
          <w:rFonts w:ascii="Times New Roman" w:hAnsi="Times New Roman" w:cs="Times New Roman" w:eastAsia="Times New Roman"/>
          <w:color w:val="6E6B6B"/>
          <w:w w:val="86"/>
          <w:sz w:val="16"/>
          <w:szCs w:val="16"/>
        </w:rPr>
        <w:t> </w:t>
      </w:r>
      <w:r>
        <w:rPr>
          <w:rFonts w:ascii="Times New Roman" w:hAnsi="Times New Roman" w:cs="Times New Roman" w:eastAsia="Times New Roman"/>
          <w:color w:val="7E7B79"/>
          <w:sz w:val="13"/>
          <w:szCs w:val="13"/>
        </w:rPr>
        <w:t>with</w:t>
      </w:r>
      <w:r>
        <w:rPr>
          <w:rFonts w:ascii="Times New Roman" w:hAnsi="Times New Roman" w:cs="Times New Roman" w:eastAsia="Times New Roman"/>
          <w:color w:val="7E7B79"/>
          <w:spacing w:val="-17"/>
          <w:sz w:val="13"/>
          <w:szCs w:val="13"/>
        </w:rPr>
        <w:t> </w:t>
      </w:r>
      <w:r>
        <w:rPr>
          <w:rFonts w:ascii="Times New Roman" w:hAnsi="Times New Roman" w:cs="Times New Roman" w:eastAsia="Times New Roman"/>
          <w:color w:val="7E7B79"/>
          <w:sz w:val="14"/>
          <w:szCs w:val="14"/>
        </w:rPr>
        <w:t>lhe</w:t>
      </w:r>
      <w:r>
        <w:rPr>
          <w:rFonts w:ascii="Times New Roman" w:hAnsi="Times New Roman" w:cs="Times New Roman" w:eastAsia="Times New Roman"/>
          <w:color w:val="7E7B79"/>
          <w:spacing w:val="-23"/>
          <w:sz w:val="14"/>
          <w:szCs w:val="14"/>
        </w:rPr>
        <w:t> </w:t>
      </w:r>
      <w:r>
        <w:rPr>
          <w:rFonts w:ascii="Times New Roman" w:hAnsi="Times New Roman" w:cs="Times New Roman" w:eastAsia="Times New Roman"/>
          <w:color w:val="7E7B79"/>
          <w:sz w:val="14"/>
          <w:szCs w:val="14"/>
        </w:rPr>
        <w:t>Au:stni!I</w:t>
      </w:r>
      <w:r>
        <w:rPr>
          <w:rFonts w:ascii="Times New Roman" w:hAnsi="Times New Roman" w:cs="Times New Roman" w:eastAsia="Times New Roman"/>
          <w:color w:val="7E7B79"/>
          <w:spacing w:val="-23"/>
          <w:sz w:val="14"/>
          <w:szCs w:val="14"/>
        </w:rPr>
        <w:t> </w:t>
      </w:r>
      <w:r>
        <w:rPr>
          <w:rFonts w:ascii="Times New Roman" w:hAnsi="Times New Roman" w:cs="Times New Roman" w:eastAsia="Times New Roman"/>
          <w:color w:val="7E7B79"/>
          <w:sz w:val="14"/>
          <w:szCs w:val="14"/>
        </w:rPr>
        <w:t>Natlonal</w:t>
      </w:r>
      <w:r>
        <w:rPr>
          <w:rFonts w:ascii="Times New Roman" w:hAnsi="Times New Roman" w:cs="Times New Roman" w:eastAsia="Times New Roman"/>
          <w:color w:val="7E7B79"/>
          <w:spacing w:val="-16"/>
          <w:sz w:val="14"/>
          <w:szCs w:val="14"/>
        </w:rPr>
        <w:t> </w:t>
      </w:r>
      <w:r>
        <w:rPr>
          <w:rFonts w:ascii="Times New Roman" w:hAnsi="Times New Roman" w:cs="Times New Roman" w:eastAsia="Times New Roman"/>
          <w:color w:val="6E6B6B"/>
          <w:sz w:val="14"/>
          <w:szCs w:val="14"/>
        </w:rPr>
        <w:t>Audit</w:t>
      </w:r>
      <w:r>
        <w:rPr>
          <w:rFonts w:ascii="Times New Roman" w:hAnsi="Times New Roman" w:cs="Times New Roman" w:eastAsia="Times New Roman"/>
          <w:color w:val="6E6B6B"/>
          <w:spacing w:val="-18"/>
          <w:sz w:val="14"/>
          <w:szCs w:val="14"/>
        </w:rPr>
        <w:t> </w:t>
      </w:r>
      <w:r>
        <w:rPr>
          <w:rFonts w:ascii="Times New Roman" w:hAnsi="Times New Roman" w:cs="Times New Roman" w:eastAsia="Times New Roman"/>
          <w:color w:val="6E6B6B"/>
          <w:sz w:val="14"/>
          <w:szCs w:val="14"/>
        </w:rPr>
        <w:t>Of</w:t>
      </w:r>
      <w:r>
        <w:rPr>
          <w:rFonts w:ascii="Times New Roman" w:hAnsi="Times New Roman" w:cs="Times New Roman" w:eastAsia="Times New Roman"/>
          <w:color w:val="6E6B6B"/>
          <w:spacing w:val="13"/>
          <w:sz w:val="14"/>
          <w:szCs w:val="14"/>
        </w:rPr>
        <w:t>f</w:t>
      </w:r>
      <w:r>
        <w:rPr>
          <w:rFonts w:ascii="Times New Roman" w:hAnsi="Times New Roman" w:cs="Times New Roman" w:eastAsia="Times New Roman"/>
          <w:color w:val="918E8E"/>
          <w:sz w:val="14"/>
          <w:szCs w:val="14"/>
        </w:rPr>
        <w:t>ic</w:t>
      </w:r>
      <w:r>
        <w:rPr>
          <w:rFonts w:ascii="Times New Roman" w:hAnsi="Times New Roman" w:cs="Times New Roman" w:eastAsia="Times New Roman"/>
          <w:color w:val="918E8E"/>
          <w:spacing w:val="9"/>
          <w:sz w:val="14"/>
          <w:szCs w:val="14"/>
        </w:rPr>
        <w:t>e</w:t>
      </w:r>
      <w:r>
        <w:rPr>
          <w:rFonts w:ascii="Times New Roman" w:hAnsi="Times New Roman" w:cs="Times New Roman" w:eastAsia="Times New Roman"/>
          <w:color w:val="6E6B6B"/>
          <w:sz w:val="14"/>
          <w:szCs w:val="14"/>
        </w:rPr>
        <w:t>Auditlna</w:t>
      </w:r>
      <w:r>
        <w:rPr>
          <w:rFonts w:ascii="Times New Roman" w:hAnsi="Times New Roman" w:cs="Times New Roman" w:eastAsia="Times New Roman"/>
          <w:color w:val="6E6B6B"/>
          <w:spacing w:val="-23"/>
          <w:sz w:val="14"/>
          <w:szCs w:val="14"/>
        </w:rPr>
        <w:t> </w:t>
      </w:r>
      <w:r>
        <w:rPr>
          <w:rFonts w:ascii="Times New Roman" w:hAnsi="Times New Roman" w:cs="Times New Roman" w:eastAsia="Times New Roman"/>
          <w:color w:val="7E7B79"/>
          <w:sz w:val="14"/>
          <w:szCs w:val="14"/>
        </w:rPr>
        <w:t>St.lndatcfs</w:t>
      </w:r>
      <w:r>
        <w:rPr>
          <w:rFonts w:ascii="Times New Roman" w:hAnsi="Times New Roman" w:cs="Times New Roman" w:eastAsia="Times New Roman"/>
          <w:color w:val="7E7B79"/>
          <w:spacing w:val="-20"/>
          <w:sz w:val="14"/>
          <w:szCs w:val="14"/>
        </w:rPr>
        <w:t> </w:t>
      </w:r>
      <w:r>
        <w:rPr>
          <w:rFonts w:ascii="Times New Roman" w:hAnsi="Times New Roman" w:cs="Times New Roman" w:eastAsia="Times New Roman"/>
          <w:color w:val="6E6B6B"/>
          <w:sz w:val="14"/>
          <w:szCs w:val="14"/>
        </w:rPr>
        <w:t>will</w:t>
      </w:r>
      <w:r>
        <w:rPr>
          <w:rFonts w:ascii="Times New Roman" w:hAnsi="Times New Roman" w:cs="Times New Roman" w:eastAsia="Times New Roman"/>
          <w:color w:val="6E6B6B"/>
          <w:spacing w:val="-21"/>
          <w:sz w:val="14"/>
          <w:szCs w:val="14"/>
        </w:rPr>
        <w:t> </w:t>
      </w:r>
      <w:r>
        <w:rPr>
          <w:rFonts w:ascii="Times New Roman" w:hAnsi="Times New Roman" w:cs="Times New Roman" w:eastAsia="Times New Roman"/>
          <w:color w:val="7E7B79"/>
          <w:sz w:val="14"/>
          <w:szCs w:val="14"/>
        </w:rPr>
        <w:t>alwaysdete&lt;t</w:t>
      </w:r>
      <w:r>
        <w:rPr>
          <w:rFonts w:ascii="Times New Roman" w:hAnsi="Times New Roman" w:cs="Times New Roman" w:eastAsia="Times New Roman"/>
          <w:color w:val="7E7B79"/>
          <w:spacing w:val="-15"/>
          <w:sz w:val="14"/>
          <w:szCs w:val="14"/>
        </w:rPr>
        <w:t> </w:t>
      </w:r>
      <w:r>
        <w:rPr>
          <w:rFonts w:ascii="Times New Roman" w:hAnsi="Times New Roman" w:cs="Times New Roman" w:eastAsia="Times New Roman"/>
          <w:color w:val="6E6B6B"/>
          <w:sz w:val="14"/>
          <w:szCs w:val="14"/>
        </w:rPr>
        <w:t>a</w:t>
      </w:r>
      <w:r>
        <w:rPr>
          <w:rFonts w:ascii="Times New Roman" w:hAnsi="Times New Roman" w:cs="Times New Roman" w:eastAsia="Times New Roman"/>
          <w:color w:val="6E6B6B"/>
          <w:spacing w:val="-16"/>
          <w:sz w:val="14"/>
          <w:szCs w:val="14"/>
        </w:rPr>
        <w:t> </w:t>
      </w:r>
      <w:r>
        <w:rPr>
          <w:rFonts w:ascii="Times New Roman" w:hAnsi="Times New Roman" w:cs="Times New Roman" w:eastAsia="Times New Roman"/>
          <w:color w:val="7E7B79"/>
          <w:sz w:val="14"/>
          <w:szCs w:val="14"/>
        </w:rPr>
        <w:t>mater</w:t>
      </w:r>
      <w:r>
        <w:rPr>
          <w:rFonts w:ascii="Times New Roman" w:hAnsi="Times New Roman" w:cs="Times New Roman" w:eastAsia="Times New Roman"/>
          <w:color w:val="7E7B79"/>
          <w:spacing w:val="6"/>
          <w:sz w:val="14"/>
          <w:szCs w:val="14"/>
        </w:rPr>
        <w:t>N</w:t>
      </w:r>
      <w:r>
        <w:rPr>
          <w:rFonts w:ascii="Times New Roman" w:hAnsi="Times New Roman" w:cs="Times New Roman" w:eastAsia="Times New Roman"/>
          <w:color w:val="565454"/>
          <w:sz w:val="14"/>
          <w:szCs w:val="14"/>
        </w:rPr>
        <w:t>I</w:t>
      </w:r>
      <w:r>
        <w:rPr>
          <w:rFonts w:ascii="Times New Roman" w:hAnsi="Times New Roman" w:cs="Times New Roman" w:eastAsia="Times New Roman"/>
          <w:color w:val="565454"/>
          <w:spacing w:val="-22"/>
          <w:sz w:val="14"/>
          <w:szCs w:val="14"/>
        </w:rPr>
        <w:t> </w:t>
      </w:r>
      <w:r>
        <w:rPr>
          <w:rFonts w:ascii="Times New Roman" w:hAnsi="Times New Roman" w:cs="Times New Roman" w:eastAsia="Times New Roman"/>
          <w:color w:val="7E7B79"/>
          <w:sz w:val="14"/>
          <w:szCs w:val="14"/>
        </w:rPr>
        <w:t>misstateme</w:t>
      </w:r>
      <w:r>
        <w:rPr>
          <w:rFonts w:ascii="Times New Roman" w:hAnsi="Times New Roman" w:cs="Times New Roman" w:eastAsia="Times New Roman"/>
          <w:color w:val="7E7B79"/>
          <w:spacing w:val="13"/>
          <w:sz w:val="14"/>
          <w:szCs w:val="14"/>
        </w:rPr>
        <w:t>n</w:t>
      </w:r>
      <w:r>
        <w:rPr>
          <w:rFonts w:ascii="Times New Roman" w:hAnsi="Times New Roman" w:cs="Times New Roman" w:eastAsia="Times New Roman"/>
          <w:color w:val="565454"/>
          <w:sz w:val="14"/>
          <w:szCs w:val="14"/>
        </w:rPr>
        <w:t>t</w:t>
      </w:r>
      <w:r>
        <w:rPr>
          <w:rFonts w:ascii="Times New Roman" w:hAnsi="Times New Roman" w:cs="Times New Roman" w:eastAsia="Times New Roman"/>
          <w:color w:val="565454"/>
          <w:spacing w:val="-21"/>
          <w:sz w:val="14"/>
          <w:szCs w:val="14"/>
        </w:rPr>
        <w:t> </w:t>
      </w:r>
      <w:r>
        <w:rPr>
          <w:rFonts w:ascii="Times New Roman" w:hAnsi="Times New Roman" w:cs="Times New Roman" w:eastAsia="Times New Roman"/>
          <w:color w:val="6E6B6B"/>
          <w:sz w:val="14"/>
          <w:szCs w:val="14"/>
        </w:rPr>
        <w:t>wlle</w:t>
      </w:r>
      <w:r>
        <w:rPr>
          <w:rFonts w:ascii="Times New Roman" w:hAnsi="Times New Roman" w:cs="Times New Roman" w:eastAsia="Times New Roman"/>
          <w:color w:val="6E6B6B"/>
          <w:spacing w:val="-3"/>
          <w:sz w:val="14"/>
          <w:szCs w:val="14"/>
        </w:rPr>
        <w:t>n</w:t>
      </w:r>
      <w:r>
        <w:rPr>
          <w:rFonts w:ascii="Arial" w:hAnsi="Arial" w:cs="Arial" w:eastAsia="Arial"/>
          <w:color w:val="7E7B79"/>
          <w:spacing w:val="-84"/>
          <w:sz w:val="14"/>
          <w:szCs w:val="14"/>
        </w:rPr>
        <w:t>I</w:t>
      </w:r>
      <w:r>
        <w:rPr>
          <w:rFonts w:ascii="Arial" w:hAnsi="Arial" w:cs="Arial" w:eastAsia="Arial"/>
          <w:color w:val="7E7B79"/>
          <w:sz w:val="14"/>
          <w:szCs w:val="14"/>
        </w:rPr>
        <w:t>t</w:t>
      </w:r>
      <w:r>
        <w:rPr>
          <w:rFonts w:ascii="Arial" w:hAnsi="Arial" w:cs="Arial" w:eastAsia="Arial"/>
          <w:sz w:val="14"/>
          <w:szCs w:val="14"/>
        </w:rPr>
      </w:r>
    </w:p>
    <w:p>
      <w:pPr>
        <w:spacing w:line="164" w:lineRule="exact" w:before="0"/>
        <w:ind w:left="1067" w:right="0" w:firstLine="0"/>
        <w:jc w:val="both"/>
        <w:rPr>
          <w:rFonts w:ascii="Times New Roman" w:hAnsi="Times New Roman" w:cs="Times New Roman" w:eastAsia="Times New Roman"/>
          <w:sz w:val="13"/>
          <w:szCs w:val="13"/>
        </w:rPr>
      </w:pPr>
      <w:r>
        <w:rPr>
          <w:rFonts w:ascii="Times New Roman" w:hAnsi="Times New Roman"/>
          <w:color w:val="7E7B79"/>
          <w:sz w:val="14"/>
        </w:rPr>
        <w:t>eldscs.</w:t>
      </w:r>
      <w:r>
        <w:rPr>
          <w:rFonts w:ascii="Times New Roman" w:hAnsi="Times New Roman"/>
          <w:color w:val="7E7B79"/>
          <w:spacing w:val="14"/>
          <w:sz w:val="14"/>
        </w:rPr>
        <w:t> </w:t>
      </w:r>
      <w:r>
        <w:rPr>
          <w:rFonts w:ascii="Times New Roman" w:hAnsi="Times New Roman"/>
          <w:color w:val="6E6B6B"/>
          <w:sz w:val="14"/>
        </w:rPr>
        <w:t>M</w:t>
      </w:r>
      <w:r>
        <w:rPr>
          <w:rFonts w:ascii="Times New Roman" w:hAnsi="Times New Roman"/>
          <w:color w:val="6E6B6B"/>
          <w:spacing w:val="-22"/>
          <w:sz w:val="14"/>
        </w:rPr>
        <w:t> </w:t>
      </w:r>
      <w:r>
        <w:rPr>
          <w:rFonts w:ascii="Times New Roman" w:hAnsi="Times New Roman"/>
          <w:color w:val="918E8E"/>
          <w:spacing w:val="-34"/>
          <w:w w:val="140"/>
          <w:sz w:val="14"/>
        </w:rPr>
        <w:t>i</w:t>
      </w:r>
      <w:r>
        <w:rPr>
          <w:rFonts w:ascii="Times New Roman" w:hAnsi="Times New Roman"/>
          <w:color w:val="918E8E"/>
          <w:w w:val="140"/>
          <w:sz w:val="14"/>
        </w:rPr>
        <w:t>s</w:t>
      </w:r>
      <w:r>
        <w:rPr>
          <w:rFonts w:ascii="Times New Roman" w:hAnsi="Times New Roman"/>
          <w:color w:val="918E8E"/>
          <w:spacing w:val="-16"/>
          <w:w w:val="140"/>
          <w:sz w:val="14"/>
        </w:rPr>
        <w:t>s</w:t>
      </w:r>
      <w:r>
        <w:rPr>
          <w:rFonts w:ascii="Times New Roman" w:hAnsi="Times New Roman"/>
          <w:color w:val="6E6B6B"/>
          <w:w w:val="140"/>
          <w:sz w:val="14"/>
        </w:rPr>
        <w:t>tat</w:t>
      </w:r>
      <w:r>
        <w:rPr>
          <w:rFonts w:ascii="Times New Roman" w:hAnsi="Times New Roman"/>
          <w:color w:val="6E6B6B"/>
          <w:spacing w:val="-1"/>
          <w:w w:val="140"/>
          <w:sz w:val="14"/>
        </w:rPr>
        <w:t>t</w:t>
      </w:r>
      <w:r>
        <w:rPr>
          <w:rFonts w:ascii="Times New Roman" w:hAnsi="Times New Roman"/>
          <w:color w:val="6E6B6B"/>
          <w:w w:val="140"/>
          <w:sz w:val="14"/>
        </w:rPr>
        <w:t>nts</w:t>
      </w:r>
      <w:r>
        <w:rPr>
          <w:rFonts w:ascii="Times New Roman" w:hAnsi="Times New Roman"/>
          <w:color w:val="6E6B6B"/>
          <w:spacing w:val="6"/>
          <w:w w:val="140"/>
          <w:sz w:val="14"/>
        </w:rPr>
        <w:t> </w:t>
      </w:r>
      <w:r>
        <w:rPr>
          <w:rFonts w:ascii="Times New Roman" w:hAnsi="Times New Roman"/>
          <w:color w:val="7E7B79"/>
          <w:sz w:val="14"/>
        </w:rPr>
        <w:t>c.an</w:t>
      </w:r>
      <w:r>
        <w:rPr>
          <w:rFonts w:ascii="Times New Roman" w:hAnsi="Times New Roman"/>
          <w:color w:val="7E7B79"/>
          <w:spacing w:val="22"/>
          <w:sz w:val="14"/>
        </w:rPr>
        <w:t> </w:t>
      </w:r>
      <w:r>
        <w:rPr>
          <w:rFonts w:ascii="Times New Roman" w:hAnsi="Times New Roman"/>
          <w:color w:val="7E7B79"/>
          <w:sz w:val="14"/>
        </w:rPr>
        <w:t>aftse</w:t>
      </w:r>
      <w:r>
        <w:rPr>
          <w:rFonts w:ascii="Times New Roman" w:hAnsi="Times New Roman"/>
          <w:color w:val="7E7B79"/>
          <w:spacing w:val="17"/>
          <w:sz w:val="14"/>
        </w:rPr>
        <w:t> </w:t>
      </w:r>
      <w:r>
        <w:rPr>
          <w:rFonts w:ascii="Times New Roman" w:hAnsi="Times New Roman"/>
          <w:color w:val="6E6B6B"/>
          <w:sz w:val="14"/>
        </w:rPr>
        <w:t>from</w:t>
      </w:r>
      <w:r>
        <w:rPr>
          <w:rFonts w:ascii="Times New Roman" w:hAnsi="Times New Roman"/>
          <w:color w:val="6E6B6B"/>
          <w:spacing w:val="22"/>
          <w:sz w:val="14"/>
        </w:rPr>
        <w:t> </w:t>
      </w:r>
      <w:r>
        <w:rPr>
          <w:rFonts w:ascii="Times New Roman" w:hAnsi="Times New Roman"/>
          <w:color w:val="7E7B79"/>
          <w:sz w:val="14"/>
        </w:rPr>
        <w:t>ftaud</w:t>
      </w:r>
      <w:r>
        <w:rPr>
          <w:rFonts w:ascii="Times New Roman" w:hAnsi="Times New Roman"/>
          <w:color w:val="7E7B79"/>
          <w:spacing w:val="24"/>
          <w:sz w:val="14"/>
        </w:rPr>
        <w:t> </w:t>
      </w:r>
      <w:r>
        <w:rPr>
          <w:rFonts w:ascii="Times New Roman" w:hAnsi="Times New Roman"/>
          <w:color w:val="6E6B6B"/>
          <w:w w:val="120"/>
          <w:sz w:val="14"/>
        </w:rPr>
        <w:t>or </w:t>
      </w:r>
      <w:r>
        <w:rPr>
          <w:rFonts w:ascii="Times New Roman" w:hAnsi="Times New Roman"/>
          <w:color w:val="7E7B79"/>
          <w:sz w:val="14"/>
        </w:rPr>
        <w:t>error</w:t>
      </w:r>
      <w:r>
        <w:rPr>
          <w:rFonts w:ascii="Times New Roman" w:hAnsi="Times New Roman"/>
          <w:color w:val="7E7B79"/>
          <w:spacing w:val="8"/>
          <w:sz w:val="14"/>
        </w:rPr>
        <w:t> </w:t>
      </w:r>
      <w:r>
        <w:rPr>
          <w:rFonts w:ascii="Times New Roman" w:hAnsi="Times New Roman"/>
          <w:color w:val="7E7B79"/>
          <w:sz w:val="14"/>
        </w:rPr>
        <w:t>and</w:t>
      </w:r>
      <w:r>
        <w:rPr>
          <w:rFonts w:ascii="Times New Roman" w:hAnsi="Times New Roman"/>
          <w:color w:val="7E7B79"/>
          <w:spacing w:val="23"/>
          <w:sz w:val="14"/>
        </w:rPr>
        <w:t> </w:t>
      </w:r>
      <w:r>
        <w:rPr>
          <w:rFonts w:ascii="Times New Roman" w:hAnsi="Times New Roman"/>
          <w:color w:val="6E6B6B"/>
          <w:w w:val="270"/>
          <w:sz w:val="14"/>
        </w:rPr>
        <w:t>a</w:t>
      </w:r>
      <w:r>
        <w:rPr>
          <w:rFonts w:ascii="Times New Roman" w:hAnsi="Times New Roman"/>
          <w:color w:val="6E6B6B"/>
          <w:spacing w:val="-50"/>
          <w:w w:val="270"/>
          <w:sz w:val="14"/>
        </w:rPr>
        <w:t> </w:t>
      </w:r>
      <w:r>
        <w:rPr>
          <w:rFonts w:ascii="Times New Roman" w:hAnsi="Times New Roman"/>
          <w:color w:val="7E7B79"/>
          <w:sz w:val="14"/>
        </w:rPr>
        <w:t>considtl'H</w:t>
      </w:r>
      <w:r>
        <w:rPr>
          <w:rFonts w:ascii="Times New Roman" w:hAnsi="Times New Roman"/>
          <w:color w:val="7E7B79"/>
          <w:spacing w:val="25"/>
          <w:sz w:val="14"/>
        </w:rPr>
        <w:t> </w:t>
      </w:r>
      <w:r>
        <w:rPr>
          <w:rFonts w:ascii="Times New Roman" w:hAnsi="Times New Roman"/>
          <w:color w:val="7E7B79"/>
          <w:sz w:val="14"/>
        </w:rPr>
        <w:t>matMl!I</w:t>
      </w:r>
      <w:r>
        <w:rPr>
          <w:rFonts w:ascii="Times New Roman" w:hAnsi="Times New Roman"/>
          <w:color w:val="7E7B79"/>
          <w:spacing w:val="13"/>
          <w:sz w:val="14"/>
        </w:rPr>
        <w:t> </w:t>
      </w:r>
      <w:r>
        <w:rPr>
          <w:rFonts w:ascii="Arial" w:hAnsi="Arial"/>
          <w:color w:val="7E7B79"/>
          <w:sz w:val="13"/>
        </w:rPr>
        <w:t>i</w:t>
      </w:r>
      <w:r>
        <w:rPr>
          <w:rFonts w:ascii="Arial" w:hAnsi="Arial"/>
          <w:color w:val="7E7B79"/>
          <w:spacing w:val="-14"/>
          <w:sz w:val="13"/>
        </w:rPr>
        <w:t>f</w:t>
      </w:r>
      <w:r>
        <w:rPr>
          <w:rFonts w:ascii="Arial" w:hAnsi="Arial"/>
          <w:color w:val="7E7B79"/>
          <w:spacing w:val="-6"/>
          <w:sz w:val="13"/>
        </w:rPr>
        <w:t>.</w:t>
      </w:r>
      <w:r>
        <w:rPr>
          <w:rFonts w:ascii="Times New Roman" w:hAnsi="Times New Roman"/>
          <w:color w:val="918E8E"/>
          <w:sz w:val="14"/>
        </w:rPr>
        <w:t>lnd'</w:t>
      </w:r>
      <w:r>
        <w:rPr>
          <w:rFonts w:ascii="Times New Roman" w:hAnsi="Times New Roman"/>
          <w:color w:val="918E8E"/>
          <w:spacing w:val="-33"/>
          <w:sz w:val="14"/>
        </w:rPr>
        <w:t>W</w:t>
      </w:r>
      <w:r>
        <w:rPr>
          <w:rFonts w:ascii="Times New Roman" w:hAnsi="Times New Roman"/>
          <w:color w:val="6E6B6B"/>
          <w:sz w:val="14"/>
        </w:rPr>
        <w:t>tdualty</w:t>
      </w:r>
      <w:r>
        <w:rPr>
          <w:rFonts w:ascii="Times New Roman" w:hAnsi="Times New Roman"/>
          <w:color w:val="6E6B6B"/>
          <w:spacing w:val="15"/>
          <w:sz w:val="14"/>
        </w:rPr>
        <w:t> </w:t>
      </w:r>
      <w:r>
        <w:rPr>
          <w:rFonts w:ascii="Arial" w:hAnsi="Arial"/>
          <w:color w:val="7E7B79"/>
          <w:w w:val="155"/>
          <w:sz w:val="17"/>
        </w:rPr>
        <w:t>«</w:t>
      </w:r>
      <w:r>
        <w:rPr>
          <w:rFonts w:ascii="Arial" w:hAnsi="Arial"/>
          <w:color w:val="7E7B79"/>
          <w:spacing w:val="-56"/>
          <w:w w:val="155"/>
          <w:sz w:val="17"/>
        </w:rPr>
        <w:t> </w:t>
      </w:r>
      <w:r>
        <w:rPr>
          <w:rFonts w:ascii="Times New Roman" w:hAnsi="Times New Roman"/>
          <w:color w:val="6E6B6B"/>
          <w:sz w:val="14"/>
        </w:rPr>
        <w:t>In</w:t>
      </w:r>
      <w:r>
        <w:rPr>
          <w:rFonts w:ascii="Times New Roman" w:hAnsi="Times New Roman"/>
          <w:color w:val="6E6B6B"/>
          <w:spacing w:val="21"/>
          <w:sz w:val="14"/>
        </w:rPr>
        <w:t> </w:t>
      </w:r>
      <w:r>
        <w:rPr>
          <w:rFonts w:ascii="Times New Roman" w:hAnsi="Times New Roman"/>
          <w:i/>
          <w:color w:val="6E6B6B"/>
          <w:w w:val="140"/>
          <w:sz w:val="13"/>
        </w:rPr>
        <w:t>tht</w:t>
      </w:r>
      <w:r>
        <w:rPr>
          <w:rFonts w:ascii="Times New Roman" w:hAnsi="Times New Roman"/>
          <w:sz w:val="13"/>
        </w:rPr>
      </w:r>
    </w:p>
    <w:p>
      <w:pPr>
        <w:tabs>
          <w:tab w:pos="3457" w:val="left" w:leader="none"/>
        </w:tabs>
        <w:spacing w:line="168" w:lineRule="exact" w:before="0"/>
        <w:ind w:left="1067" w:right="0" w:firstLine="0"/>
        <w:jc w:val="both"/>
        <w:rPr>
          <w:rFonts w:ascii="Times New Roman" w:hAnsi="Times New Roman" w:cs="Times New Roman" w:eastAsia="Times New Roman"/>
          <w:sz w:val="14"/>
          <w:szCs w:val="14"/>
        </w:rPr>
      </w:pPr>
      <w:r>
        <w:rPr>
          <w:rFonts w:ascii="Times New Roman"/>
          <w:color w:val="6E6B6B"/>
          <w:w w:val="95"/>
          <w:sz w:val="15"/>
        </w:rPr>
        <w:t>aarcptc</w:t>
      </w:r>
      <w:r>
        <w:rPr>
          <w:rFonts w:ascii="Times New Roman"/>
          <w:color w:val="6E6B6B"/>
          <w:spacing w:val="-16"/>
          <w:w w:val="95"/>
          <w:sz w:val="15"/>
        </w:rPr>
        <w:t>-</w:t>
      </w:r>
      <w:r>
        <w:rPr>
          <w:rFonts w:ascii="Times New Roman"/>
          <w:color w:val="6E6B6B"/>
          <w:spacing w:val="-11"/>
          <w:w w:val="95"/>
          <w:sz w:val="15"/>
        </w:rPr>
        <w:t>.</w:t>
      </w:r>
      <w:r>
        <w:rPr>
          <w:rFonts w:ascii="Times New Roman"/>
          <w:color w:val="6E6B6B"/>
          <w:w w:val="95"/>
          <w:sz w:val="15"/>
        </w:rPr>
        <w:t>they</w:t>
      </w:r>
      <w:r>
        <w:rPr>
          <w:rFonts w:ascii="Times New Roman"/>
          <w:color w:val="6E6B6B"/>
          <w:spacing w:val="-24"/>
          <w:w w:val="95"/>
          <w:sz w:val="15"/>
        </w:rPr>
        <w:t> </w:t>
      </w:r>
      <w:r>
        <w:rPr>
          <w:rFonts w:ascii="Times New Roman"/>
          <w:color w:val="7E7B79"/>
          <w:spacing w:val="-25"/>
          <w:w w:val="95"/>
          <w:sz w:val="14"/>
        </w:rPr>
        <w:t>C</w:t>
      </w:r>
      <w:r>
        <w:rPr>
          <w:rFonts w:ascii="Times New Roman"/>
          <w:color w:val="7E7B79"/>
          <w:w w:val="95"/>
          <w:sz w:val="14"/>
        </w:rPr>
        <w:t>04.</w:t>
      </w:r>
      <w:r>
        <w:rPr>
          <w:rFonts w:ascii="Times New Roman"/>
          <w:color w:val="7E7B79"/>
          <w:spacing w:val="-3"/>
          <w:w w:val="95"/>
          <w:sz w:val="14"/>
        </w:rPr>
        <w:t>l</w:t>
      </w:r>
      <w:r>
        <w:rPr>
          <w:rFonts w:ascii="Times New Roman"/>
          <w:color w:val="565454"/>
          <w:w w:val="95"/>
          <w:sz w:val="14"/>
        </w:rPr>
        <w:t>ld</w:t>
      </w:r>
      <w:r>
        <w:rPr>
          <w:rFonts w:ascii="Times New Roman"/>
          <w:color w:val="565454"/>
          <w:spacing w:val="-4"/>
          <w:w w:val="95"/>
          <w:sz w:val="14"/>
        </w:rPr>
        <w:t> </w:t>
      </w:r>
      <w:r>
        <w:rPr>
          <w:rFonts w:ascii="Times New Roman"/>
          <w:color w:val="7E7B79"/>
          <w:w w:val="95"/>
          <w:sz w:val="14"/>
        </w:rPr>
        <w:t>rca$Ol"lably</w:t>
      </w:r>
      <w:r>
        <w:rPr>
          <w:rFonts w:ascii="Times New Roman"/>
          <w:color w:val="7E7B79"/>
          <w:spacing w:val="-6"/>
          <w:w w:val="95"/>
          <w:sz w:val="14"/>
        </w:rPr>
        <w:t> </w:t>
      </w:r>
      <w:r>
        <w:rPr>
          <w:rFonts w:ascii="Times New Roman"/>
          <w:color w:val="7E7B79"/>
          <w:w w:val="95"/>
          <w:sz w:val="15"/>
        </w:rPr>
        <w:t>be</w:t>
        <w:tab/>
      </w:r>
      <w:r>
        <w:rPr>
          <w:rFonts w:ascii="Times New Roman"/>
          <w:color w:val="7E7B79"/>
          <w:sz w:val="15"/>
        </w:rPr>
        <w:t>cd</w:t>
      </w:r>
      <w:r>
        <w:rPr>
          <w:rFonts w:ascii="Times New Roman"/>
          <w:color w:val="7E7B79"/>
          <w:spacing w:val="4"/>
          <w:sz w:val="15"/>
        </w:rPr>
        <w:t> </w:t>
      </w:r>
      <w:r>
        <w:rPr>
          <w:rFonts w:ascii="Times New Roman"/>
          <w:color w:val="6E6B6B"/>
          <w:sz w:val="14"/>
        </w:rPr>
        <w:t>to</w:t>
      </w:r>
      <w:r>
        <w:rPr>
          <w:rFonts w:ascii="Times New Roman"/>
          <w:color w:val="6E6B6B"/>
          <w:spacing w:val="-10"/>
          <w:sz w:val="14"/>
        </w:rPr>
        <w:t> </w:t>
      </w:r>
      <w:r>
        <w:rPr>
          <w:rFonts w:ascii="Times New Roman"/>
          <w:color w:val="6E6B6B"/>
          <w:sz w:val="14"/>
        </w:rPr>
        <w:t>influcnu the</w:t>
      </w:r>
      <w:r>
        <w:rPr>
          <w:rFonts w:ascii="Times New Roman"/>
          <w:color w:val="6E6B6B"/>
          <w:spacing w:val="8"/>
          <w:sz w:val="14"/>
        </w:rPr>
        <w:t> </w:t>
      </w:r>
      <w:r>
        <w:rPr>
          <w:rFonts w:ascii="Times New Roman"/>
          <w:color w:val="6E6B6B"/>
          <w:sz w:val="14"/>
        </w:rPr>
        <w:t>economic</w:t>
      </w:r>
      <w:r>
        <w:rPr>
          <w:rFonts w:ascii="Times New Roman"/>
          <w:color w:val="6E6B6B"/>
          <w:spacing w:val="-6"/>
          <w:sz w:val="14"/>
        </w:rPr>
        <w:t> </w:t>
      </w:r>
      <w:r>
        <w:rPr>
          <w:rFonts w:ascii="Times New Roman"/>
          <w:color w:val="6E6B6B"/>
          <w:sz w:val="14"/>
        </w:rPr>
        <w:t>dt</w:t>
      </w:r>
      <w:r>
        <w:rPr>
          <w:rFonts w:ascii="Times New Roman"/>
          <w:color w:val="6E6B6B"/>
          <w:spacing w:val="-8"/>
          <w:sz w:val="14"/>
        </w:rPr>
        <w:t>c</w:t>
      </w:r>
      <w:r>
        <w:rPr>
          <w:rFonts w:ascii="Times New Roman"/>
          <w:color w:val="918E8E"/>
          <w:spacing w:val="-4"/>
          <w:sz w:val="14"/>
        </w:rPr>
        <w:t>b</w:t>
      </w:r>
      <w:r>
        <w:rPr>
          <w:rFonts w:ascii="Times New Roman"/>
          <w:color w:val="565454"/>
          <w:sz w:val="14"/>
        </w:rPr>
        <w:t>io</w:t>
      </w:r>
      <w:r>
        <w:rPr>
          <w:rFonts w:ascii="Times New Roman"/>
          <w:color w:val="565454"/>
          <w:spacing w:val="-2"/>
          <w:sz w:val="14"/>
        </w:rPr>
        <w:t>n</w:t>
      </w:r>
      <w:r>
        <w:rPr>
          <w:rFonts w:ascii="Times New Roman"/>
          <w:color w:val="7E7B79"/>
          <w:spacing w:val="9"/>
          <w:sz w:val="14"/>
        </w:rPr>
        <w:t>s</w:t>
      </w:r>
      <w:r>
        <w:rPr>
          <w:rFonts w:ascii="Arial"/>
          <w:color w:val="6E6B6B"/>
          <w:sz w:val="14"/>
        </w:rPr>
        <w:t>of</w:t>
      </w:r>
      <w:r>
        <w:rPr>
          <w:rFonts w:ascii="Arial"/>
          <w:color w:val="6E6B6B"/>
          <w:spacing w:val="-9"/>
          <w:sz w:val="14"/>
        </w:rPr>
        <w:t> </w:t>
      </w:r>
      <w:r>
        <w:rPr>
          <w:rFonts w:ascii="Times New Roman"/>
          <w:color w:val="6E6B6B"/>
          <w:sz w:val="11"/>
        </w:rPr>
        <w:t>UJoCfS</w:t>
      </w:r>
      <w:r>
        <w:rPr>
          <w:rFonts w:ascii="Times New Roman"/>
          <w:color w:val="6E6B6B"/>
          <w:spacing w:val="6"/>
          <w:sz w:val="11"/>
        </w:rPr>
        <w:t> </w:t>
      </w:r>
      <w:r>
        <w:rPr>
          <w:rFonts w:ascii="Times New Roman"/>
          <w:color w:val="6E6B6B"/>
          <w:sz w:val="15"/>
        </w:rPr>
        <w:t>Uken</w:t>
      </w:r>
      <w:r>
        <w:rPr>
          <w:rFonts w:ascii="Times New Roman"/>
          <w:color w:val="6E6B6B"/>
          <w:spacing w:val="-5"/>
          <w:sz w:val="15"/>
        </w:rPr>
        <w:t> </w:t>
      </w:r>
      <w:r>
        <w:rPr>
          <w:rFonts w:ascii="Times New Roman"/>
          <w:color w:val="6E6B6B"/>
          <w:sz w:val="14"/>
        </w:rPr>
        <w:t>on</w:t>
      </w:r>
      <w:r>
        <w:rPr>
          <w:rFonts w:ascii="Times New Roman"/>
          <w:color w:val="6E6B6B"/>
          <w:spacing w:val="6"/>
          <w:sz w:val="14"/>
        </w:rPr>
        <w:t> </w:t>
      </w:r>
      <w:r>
        <w:rPr>
          <w:rFonts w:ascii="Times New Roman"/>
          <w:color w:val="6E6B6B"/>
          <w:sz w:val="14"/>
        </w:rPr>
        <w:t>the</w:t>
      </w:r>
      <w:r>
        <w:rPr>
          <w:rFonts w:ascii="Times New Roman"/>
          <w:color w:val="6E6B6B"/>
          <w:spacing w:val="-8"/>
          <w:sz w:val="14"/>
        </w:rPr>
        <w:t> </w:t>
      </w:r>
      <w:r>
        <w:rPr>
          <w:rFonts w:ascii="Times New Roman"/>
          <w:color w:val="6E6B6B"/>
          <w:sz w:val="14"/>
        </w:rPr>
        <w:t>basis</w:t>
      </w:r>
      <w:r>
        <w:rPr>
          <w:rFonts w:ascii="Times New Roman"/>
          <w:sz w:val="14"/>
        </w:rPr>
      </w:r>
    </w:p>
    <w:p>
      <w:pPr>
        <w:spacing w:line="159" w:lineRule="exact" w:before="0"/>
        <w:ind w:left="1053" w:right="0" w:firstLine="0"/>
        <w:jc w:val="both"/>
        <w:rPr>
          <w:rFonts w:ascii="Times New Roman" w:hAnsi="Times New Roman" w:cs="Times New Roman" w:eastAsia="Times New Roman"/>
          <w:sz w:val="14"/>
          <w:szCs w:val="14"/>
        </w:rPr>
      </w:pPr>
      <w:r>
        <w:rPr>
          <w:rFonts w:ascii="Arial"/>
          <w:color w:val="6E6B6B"/>
          <w:w w:val="105"/>
          <w:sz w:val="13"/>
        </w:rPr>
        <w:t>of</w:t>
      </w:r>
      <w:r>
        <w:rPr>
          <w:rFonts w:ascii="Arial"/>
          <w:color w:val="6E6B6B"/>
          <w:spacing w:val="-1"/>
          <w:w w:val="105"/>
          <w:sz w:val="13"/>
        </w:rPr>
        <w:t> </w:t>
      </w:r>
      <w:r>
        <w:rPr>
          <w:rFonts w:ascii="Arial"/>
          <w:color w:val="7E7B79"/>
          <w:w w:val="105"/>
          <w:sz w:val="12"/>
        </w:rPr>
        <w:t>the</w:t>
      </w:r>
      <w:r>
        <w:rPr>
          <w:rFonts w:ascii="Times New Roman"/>
          <w:color w:val="7E7B79"/>
          <w:spacing w:val="1"/>
          <w:w w:val="105"/>
          <w:sz w:val="14"/>
        </w:rPr>
        <w:t>ftnanda</w:t>
      </w:r>
      <w:r>
        <w:rPr>
          <w:rFonts w:ascii="Times New Roman"/>
          <w:color w:val="565454"/>
          <w:spacing w:val="1"/>
          <w:w w:val="105"/>
          <w:sz w:val="14"/>
        </w:rPr>
        <w:t>l</w:t>
      </w:r>
      <w:r>
        <w:rPr>
          <w:rFonts w:ascii="Times New Roman"/>
          <w:color w:val="565454"/>
          <w:spacing w:val="-10"/>
          <w:w w:val="105"/>
          <w:sz w:val="14"/>
        </w:rPr>
        <w:t> </w:t>
      </w:r>
      <w:r>
        <w:rPr>
          <w:rFonts w:ascii="Times New Roman"/>
          <w:color w:val="7E7B79"/>
          <w:w w:val="105"/>
          <w:sz w:val="14"/>
        </w:rPr>
        <w:t>report.</w:t>
      </w:r>
      <w:r>
        <w:rPr>
          <w:rFonts w:ascii="Times New Roman"/>
          <w:sz w:val="14"/>
        </w:rPr>
      </w:r>
    </w:p>
    <w:p>
      <w:pPr>
        <w:spacing w:line="158" w:lineRule="exact" w:before="88"/>
        <w:ind w:left="1067" w:right="1163" w:firstLine="0"/>
        <w:jc w:val="left"/>
        <w:rPr>
          <w:rFonts w:ascii="Times New Roman" w:hAnsi="Times New Roman" w:cs="Times New Roman" w:eastAsia="Times New Roman"/>
          <w:sz w:val="13"/>
          <w:szCs w:val="13"/>
        </w:rPr>
      </w:pPr>
      <w:r>
        <w:rPr>
          <w:rFonts w:ascii="Times New Roman" w:hAnsi="Times New Roman" w:cs="Times New Roman" w:eastAsia="Times New Roman"/>
          <w:color w:val="6E6B6B"/>
          <w:sz w:val="12"/>
          <w:szCs w:val="12"/>
        </w:rPr>
        <w:t>A$  </w:t>
      </w:r>
      <w:r>
        <w:rPr>
          <w:rFonts w:ascii="Times New Roman" w:hAnsi="Times New Roman" w:cs="Times New Roman" w:eastAsia="Times New Roman"/>
          <w:color w:val="6E6B6B"/>
          <w:spacing w:val="11"/>
          <w:sz w:val="12"/>
          <w:szCs w:val="12"/>
        </w:rPr>
        <w:t> </w:t>
      </w:r>
      <w:r>
        <w:rPr>
          <w:rFonts w:ascii="Arial" w:hAnsi="Arial" w:cs="Arial" w:eastAsia="Arial"/>
          <w:color w:val="6E6B6B"/>
          <w:w w:val="125"/>
          <w:sz w:val="12"/>
          <w:szCs w:val="12"/>
        </w:rPr>
        <w:t>rt</w:t>
      </w:r>
      <w:r>
        <w:rPr>
          <w:rFonts w:ascii="Arial" w:hAnsi="Arial" w:cs="Arial" w:eastAsia="Arial"/>
          <w:color w:val="6E6B6B"/>
          <w:spacing w:val="-25"/>
          <w:w w:val="125"/>
          <w:sz w:val="12"/>
          <w:szCs w:val="12"/>
        </w:rPr>
        <w:t> </w:t>
      </w:r>
      <w:r>
        <w:rPr>
          <w:rFonts w:ascii="Times New Roman" w:hAnsi="Times New Roman" w:cs="Times New Roman" w:eastAsia="Times New Roman"/>
          <w:color w:val="6E6B6B"/>
          <w:sz w:val="14"/>
          <w:szCs w:val="14"/>
        </w:rPr>
        <w:t>of</w:t>
      </w:r>
      <w:r>
        <w:rPr>
          <w:rFonts w:ascii="Times New Roman" w:hAnsi="Times New Roman" w:cs="Times New Roman" w:eastAsia="Times New Roman"/>
          <w:color w:val="6E6B6B"/>
          <w:spacing w:val="-4"/>
          <w:sz w:val="14"/>
          <w:szCs w:val="14"/>
        </w:rPr>
        <w:t> </w:t>
      </w:r>
      <w:r>
        <w:rPr>
          <w:rFonts w:ascii="Times New Roman" w:hAnsi="Times New Roman" w:cs="Times New Roman" w:eastAsia="Times New Roman"/>
          <w:color w:val="7E7B79"/>
          <w:w w:val="120"/>
          <w:sz w:val="14"/>
          <w:szCs w:val="14"/>
        </w:rPr>
        <w:t>an</w:t>
      </w:r>
      <w:r>
        <w:rPr>
          <w:rFonts w:ascii="Times New Roman" w:hAnsi="Times New Roman" w:cs="Times New Roman" w:eastAsia="Times New Roman"/>
          <w:color w:val="7E7B79"/>
          <w:spacing w:val="-21"/>
          <w:w w:val="120"/>
          <w:sz w:val="14"/>
          <w:szCs w:val="14"/>
        </w:rPr>
        <w:t> </w:t>
      </w:r>
      <w:r>
        <w:rPr>
          <w:rFonts w:ascii="Times New Roman" w:hAnsi="Times New Roman" w:cs="Times New Roman" w:eastAsia="Times New Roman"/>
          <w:color w:val="7E7B79"/>
          <w:sz w:val="14"/>
          <w:szCs w:val="14"/>
        </w:rPr>
        <w:t>&lt;&gt;udit</w:t>
      </w:r>
      <w:r>
        <w:rPr>
          <w:rFonts w:ascii="Times New Roman" w:hAnsi="Times New Roman" w:cs="Times New Roman" w:eastAsia="Times New Roman"/>
          <w:color w:val="7E7B79"/>
          <w:spacing w:val="1"/>
          <w:sz w:val="14"/>
          <w:szCs w:val="14"/>
        </w:rPr>
        <w:t> </w:t>
      </w:r>
      <w:r>
        <w:rPr>
          <w:rFonts w:ascii="Times New Roman" w:hAnsi="Times New Roman" w:cs="Times New Roman" w:eastAsia="Times New Roman"/>
          <w:color w:val="6E6B6B"/>
          <w:sz w:val="14"/>
          <w:szCs w:val="14"/>
        </w:rPr>
        <w:t>in</w:t>
      </w:r>
      <w:r>
        <w:rPr>
          <w:rFonts w:ascii="Times New Roman" w:hAnsi="Times New Roman" w:cs="Times New Roman" w:eastAsia="Times New Roman"/>
          <w:color w:val="6E6B6B"/>
          <w:spacing w:val="-5"/>
          <w:sz w:val="14"/>
          <w:szCs w:val="14"/>
        </w:rPr>
        <w:t> </w:t>
      </w:r>
      <w:r>
        <w:rPr>
          <w:rFonts w:ascii="Times New Roman" w:hAnsi="Times New Roman" w:cs="Times New Roman" w:eastAsia="Times New Roman"/>
          <w:color w:val="7E7B79"/>
          <w:spacing w:val="-2"/>
          <w:sz w:val="14"/>
          <w:szCs w:val="14"/>
        </w:rPr>
        <w:t>a'co</w:t>
      </w:r>
      <w:r>
        <w:rPr>
          <w:rFonts w:ascii="Times New Roman" w:hAnsi="Times New Roman" w:cs="Times New Roman" w:eastAsia="Times New Roman"/>
          <w:color w:val="565454"/>
          <w:spacing w:val="-3"/>
          <w:sz w:val="14"/>
          <w:szCs w:val="14"/>
        </w:rPr>
        <w:t>rdi&gt;!'iC</w:t>
      </w:r>
      <w:r>
        <w:rPr>
          <w:rFonts w:ascii="Times New Roman" w:hAnsi="Times New Roman" w:cs="Times New Roman" w:eastAsia="Times New Roman"/>
          <w:color w:val="7E7B79"/>
          <w:spacing w:val="-2"/>
          <w:sz w:val="14"/>
          <w:szCs w:val="14"/>
        </w:rPr>
        <w:t>e</w:t>
      </w:r>
      <w:r>
        <w:rPr>
          <w:rFonts w:ascii="Times New Roman" w:hAnsi="Times New Roman" w:cs="Times New Roman" w:eastAsia="Times New Roman"/>
          <w:color w:val="7E7B79"/>
          <w:spacing w:val="-17"/>
          <w:sz w:val="14"/>
          <w:szCs w:val="14"/>
        </w:rPr>
        <w:t> </w:t>
      </w:r>
      <w:r>
        <w:rPr>
          <w:rFonts w:ascii="Times New Roman" w:hAnsi="Times New Roman" w:cs="Times New Roman" w:eastAsia="Times New Roman"/>
          <w:color w:val="6E6B6B"/>
          <w:w w:val="120"/>
          <w:sz w:val="12"/>
          <w:szCs w:val="12"/>
        </w:rPr>
        <w:t>witfl</w:t>
      </w:r>
      <w:r>
        <w:rPr>
          <w:rFonts w:ascii="Times New Roman" w:hAnsi="Times New Roman" w:cs="Times New Roman" w:eastAsia="Times New Roman"/>
          <w:color w:val="6E6B6B"/>
          <w:spacing w:val="-11"/>
          <w:w w:val="120"/>
          <w:sz w:val="12"/>
          <w:szCs w:val="12"/>
        </w:rPr>
        <w:t> </w:t>
      </w:r>
      <w:r>
        <w:rPr>
          <w:rFonts w:ascii="Times New Roman" w:hAnsi="Times New Roman" w:cs="Times New Roman" w:eastAsia="Times New Roman"/>
          <w:color w:val="7E7B79"/>
          <w:w w:val="120"/>
          <w:sz w:val="14"/>
          <w:szCs w:val="14"/>
        </w:rPr>
        <w:t>ttie</w:t>
      </w:r>
      <w:r>
        <w:rPr>
          <w:rFonts w:ascii="Times New Roman" w:hAnsi="Times New Roman" w:cs="Times New Roman" w:eastAsia="Times New Roman"/>
          <w:color w:val="7E7B79"/>
          <w:spacing w:val="-20"/>
          <w:w w:val="120"/>
          <w:sz w:val="14"/>
          <w:szCs w:val="14"/>
        </w:rPr>
        <w:t> </w:t>
      </w:r>
      <w:r>
        <w:rPr>
          <w:rFonts w:ascii="Times New Roman" w:hAnsi="Times New Roman" w:cs="Times New Roman" w:eastAsia="Times New Roman"/>
          <w:color w:val="6E6B6B"/>
          <w:spacing w:val="-3"/>
          <w:sz w:val="14"/>
          <w:szCs w:val="14"/>
        </w:rPr>
        <w:t>Australian</w:t>
      </w:r>
      <w:r>
        <w:rPr>
          <w:rFonts w:ascii="Times New Roman" w:hAnsi="Times New Roman" w:cs="Times New Roman" w:eastAsia="Times New Roman"/>
          <w:color w:val="6E6B6B"/>
          <w:spacing w:val="1"/>
          <w:sz w:val="14"/>
          <w:szCs w:val="14"/>
        </w:rPr>
        <w:t> </w:t>
      </w:r>
      <w:r>
        <w:rPr>
          <w:rFonts w:ascii="Times New Roman" w:hAnsi="Times New Roman" w:cs="Times New Roman" w:eastAsia="Times New Roman"/>
          <w:color w:val="6E6B6B"/>
          <w:sz w:val="14"/>
          <w:szCs w:val="14"/>
        </w:rPr>
        <w:t>National</w:t>
      </w:r>
      <w:r>
        <w:rPr>
          <w:rFonts w:ascii="Times New Roman" w:hAnsi="Times New Roman" w:cs="Times New Roman" w:eastAsia="Times New Roman"/>
          <w:color w:val="6E6B6B"/>
          <w:spacing w:val="-7"/>
          <w:sz w:val="14"/>
          <w:szCs w:val="14"/>
        </w:rPr>
        <w:t> </w:t>
      </w:r>
      <w:r>
        <w:rPr>
          <w:rFonts w:ascii="Times New Roman" w:hAnsi="Times New Roman" w:cs="Times New Roman" w:eastAsia="Times New Roman"/>
          <w:color w:val="6E6B6B"/>
          <w:sz w:val="14"/>
          <w:szCs w:val="14"/>
        </w:rPr>
        <w:t>Audit </w:t>
      </w:r>
      <w:r>
        <w:rPr>
          <w:rFonts w:ascii="Times New Roman" w:hAnsi="Times New Roman" w:cs="Times New Roman" w:eastAsia="Times New Roman"/>
          <w:color w:val="7E7B79"/>
          <w:w w:val="120"/>
          <w:sz w:val="15"/>
          <w:szCs w:val="15"/>
        </w:rPr>
        <w:t>Offb</w:t>
      </w:r>
      <w:r>
        <w:rPr>
          <w:rFonts w:ascii="Times New Roman" w:hAnsi="Times New Roman" w:cs="Times New Roman" w:eastAsia="Times New Roman"/>
          <w:color w:val="7E7B79"/>
          <w:spacing w:val="-16"/>
          <w:w w:val="120"/>
          <w:sz w:val="15"/>
          <w:szCs w:val="15"/>
        </w:rPr>
        <w:t> </w:t>
      </w:r>
      <w:r>
        <w:rPr>
          <w:rFonts w:ascii="Times New Roman" w:hAnsi="Times New Roman" w:cs="Times New Roman" w:eastAsia="Times New Roman"/>
          <w:color w:val="6E6B6B"/>
          <w:sz w:val="14"/>
          <w:szCs w:val="14"/>
        </w:rPr>
        <w:t>Auditing</w:t>
      </w:r>
      <w:r>
        <w:rPr>
          <w:rFonts w:ascii="Times New Roman" w:hAnsi="Times New Roman" w:cs="Times New Roman" w:eastAsia="Times New Roman"/>
          <w:color w:val="6E6B6B"/>
          <w:spacing w:val="1"/>
          <w:sz w:val="14"/>
          <w:szCs w:val="14"/>
        </w:rPr>
        <w:t> </w:t>
      </w:r>
      <w:r>
        <w:rPr>
          <w:rFonts w:ascii="Times New Roman" w:hAnsi="Times New Roman" w:cs="Times New Roman" w:eastAsia="Times New Roman"/>
          <w:color w:val="7E7B79"/>
          <w:sz w:val="14"/>
          <w:szCs w:val="14"/>
        </w:rPr>
        <w:t>Standard$,</w:t>
      </w:r>
      <w:r>
        <w:rPr>
          <w:rFonts w:ascii="Times New Roman" w:hAnsi="Times New Roman" w:cs="Times New Roman" w:eastAsia="Times New Roman"/>
          <w:color w:val="7E7B79"/>
          <w:spacing w:val="-4"/>
          <w:sz w:val="14"/>
          <w:szCs w:val="14"/>
        </w:rPr>
        <w:t> </w:t>
      </w:r>
      <w:r>
        <w:rPr>
          <w:rFonts w:ascii="Arial" w:hAnsi="Arial" w:cs="Arial" w:eastAsia="Arial"/>
          <w:color w:val="7E7B79"/>
          <w:spacing w:val="-1"/>
          <w:sz w:val="12"/>
          <w:szCs w:val="12"/>
        </w:rPr>
        <w:t>I</w:t>
      </w:r>
      <w:r>
        <w:rPr>
          <w:rFonts w:ascii="Times New Roman" w:hAnsi="Times New Roman" w:cs="Times New Roman" w:eastAsia="Times New Roman"/>
          <w:color w:val="7E7B79"/>
          <w:spacing w:val="-3"/>
          <w:sz w:val="14"/>
          <w:szCs w:val="14"/>
        </w:rPr>
        <w:t>ex.en:i$e</w:t>
      </w:r>
      <w:r>
        <w:rPr>
          <w:rFonts w:ascii="Times New Roman" w:hAnsi="Times New Roman" w:cs="Times New Roman" w:eastAsia="Times New Roman"/>
          <w:color w:val="7E7B79"/>
          <w:spacing w:val="43"/>
          <w:w w:val="89"/>
          <w:sz w:val="14"/>
          <w:szCs w:val="14"/>
        </w:rPr>
        <w:t> </w:t>
      </w:r>
      <w:r>
        <w:rPr>
          <w:rFonts w:ascii="Times New Roman" w:hAnsi="Times New Roman" w:cs="Times New Roman" w:eastAsia="Times New Roman"/>
          <w:color w:val="7E7B79"/>
          <w:spacing w:val="1"/>
          <w:w w:val="120"/>
          <w:sz w:val="14"/>
          <w:szCs w:val="14"/>
        </w:rPr>
        <w:t>proftsSic!N</w:t>
      </w:r>
      <w:r>
        <w:rPr>
          <w:rFonts w:ascii="Times New Roman" w:hAnsi="Times New Roman" w:cs="Times New Roman" w:eastAsia="Times New Roman"/>
          <w:color w:val="565454"/>
          <w:spacing w:val="1"/>
          <w:w w:val="120"/>
          <w:sz w:val="14"/>
          <w:szCs w:val="14"/>
        </w:rPr>
        <w:t>I</w:t>
      </w:r>
      <w:r>
        <w:rPr>
          <w:rFonts w:ascii="Times New Roman" w:hAnsi="Times New Roman" w:cs="Times New Roman" w:eastAsia="Times New Roman"/>
          <w:color w:val="6E6B6B"/>
          <w:w w:val="120"/>
          <w:sz w:val="14"/>
          <w:szCs w:val="14"/>
        </w:rPr>
        <w:t>jud</w:t>
      </w:r>
      <w:r>
        <w:rPr>
          <w:rFonts w:ascii="Times New Roman" w:hAnsi="Times New Roman" w:cs="Times New Roman" w:eastAsia="Times New Roman"/>
          <w:color w:val="6E6B6B"/>
          <w:spacing w:val="-5"/>
          <w:w w:val="120"/>
          <w:sz w:val="14"/>
          <w:szCs w:val="14"/>
        </w:rPr>
        <w:t> </w:t>
      </w:r>
      <w:r>
        <w:rPr>
          <w:rFonts w:ascii="Times New Roman" w:hAnsi="Times New Roman" w:cs="Times New Roman" w:eastAsia="Times New Roman"/>
          <w:color w:val="6E6B6B"/>
          <w:w w:val="120"/>
          <w:sz w:val="14"/>
          <w:szCs w:val="14"/>
        </w:rPr>
        <w:t>t</w:t>
      </w:r>
      <w:r>
        <w:rPr>
          <w:rFonts w:ascii="Times New Roman" w:hAnsi="Times New Roman" w:cs="Times New Roman" w:eastAsia="Times New Roman"/>
          <w:color w:val="6E6B6B"/>
          <w:spacing w:val="-12"/>
          <w:w w:val="120"/>
          <w:sz w:val="14"/>
          <w:szCs w:val="14"/>
        </w:rPr>
        <w:t> </w:t>
      </w:r>
      <w:r>
        <w:rPr>
          <w:rFonts w:ascii="Times New Roman" w:hAnsi="Times New Roman" w:cs="Times New Roman" w:eastAsia="Times New Roman"/>
          <w:color w:val="7E7B79"/>
          <w:sz w:val="14"/>
          <w:szCs w:val="14"/>
        </w:rPr>
        <w:t>and</w:t>
      </w:r>
      <w:r>
        <w:rPr>
          <w:rFonts w:ascii="Times New Roman" w:hAnsi="Times New Roman" w:cs="Times New Roman" w:eastAsia="Times New Roman"/>
          <w:color w:val="6E6B6B"/>
          <w:sz w:val="13"/>
          <w:szCs w:val="13"/>
        </w:rPr>
        <w:t>m</w:t>
      </w:r>
      <w:r>
        <w:rPr>
          <w:rFonts w:ascii="Times New Roman" w:hAnsi="Times New Roman" w:cs="Times New Roman" w:eastAsia="Times New Roman"/>
          <w:color w:val="918E8E"/>
          <w:sz w:val="13"/>
          <w:szCs w:val="13"/>
        </w:rPr>
        <w:t>aintain</w:t>
      </w:r>
      <w:r>
        <w:rPr>
          <w:rFonts w:ascii="Times New Roman" w:hAnsi="Times New Roman" w:cs="Times New Roman" w:eastAsia="Times New Roman"/>
          <w:color w:val="918E8E"/>
          <w:spacing w:val="-2"/>
          <w:sz w:val="13"/>
          <w:szCs w:val="13"/>
        </w:rPr>
        <w:t> </w:t>
      </w:r>
      <w:r>
        <w:rPr>
          <w:rFonts w:ascii="Times New Roman" w:hAnsi="Times New Roman" w:cs="Times New Roman" w:eastAsia="Times New Roman"/>
          <w:color w:val="7E7B79"/>
          <w:sz w:val="14"/>
          <w:szCs w:val="14"/>
        </w:rPr>
        <w:t>ptOftssional</w:t>
      </w:r>
      <w:r>
        <w:rPr>
          <w:rFonts w:ascii="Times New Roman" w:hAnsi="Times New Roman" w:cs="Times New Roman" w:eastAsia="Times New Roman"/>
          <w:color w:val="7E7B79"/>
          <w:spacing w:val="10"/>
          <w:sz w:val="14"/>
          <w:szCs w:val="14"/>
        </w:rPr>
        <w:t> </w:t>
      </w:r>
      <w:r>
        <w:rPr>
          <w:rFonts w:ascii="Times New Roman" w:hAnsi="Times New Roman" w:cs="Times New Roman" w:eastAsia="Times New Roman"/>
          <w:color w:val="7E7B79"/>
          <w:spacing w:val="-2"/>
          <w:sz w:val="14"/>
          <w:szCs w:val="14"/>
        </w:rPr>
        <w:t>Sttp</w:t>
      </w:r>
      <w:r>
        <w:rPr>
          <w:rFonts w:ascii="Times New Roman" w:hAnsi="Times New Roman" w:cs="Times New Roman" w:eastAsia="Times New Roman"/>
          <w:color w:val="565454"/>
          <w:spacing w:val="-3"/>
          <w:sz w:val="14"/>
          <w:szCs w:val="14"/>
        </w:rPr>
        <w:t>ti</w:t>
      </w:r>
      <w:r>
        <w:rPr>
          <w:rFonts w:ascii="Times New Roman" w:hAnsi="Times New Roman" w:cs="Times New Roman" w:eastAsia="Times New Roman"/>
          <w:color w:val="7E7B79"/>
          <w:spacing w:val="-3"/>
          <w:sz w:val="14"/>
          <w:szCs w:val="14"/>
        </w:rPr>
        <w:t>cism</w:t>
      </w:r>
      <w:r>
        <w:rPr>
          <w:rFonts w:ascii="Times New Roman" w:hAnsi="Times New Roman" w:cs="Times New Roman" w:eastAsia="Times New Roman"/>
          <w:color w:val="7E7B79"/>
          <w:spacing w:val="-5"/>
          <w:sz w:val="14"/>
          <w:szCs w:val="14"/>
        </w:rPr>
        <w:t> </w:t>
      </w:r>
      <w:r>
        <w:rPr>
          <w:rFonts w:ascii="Times New Roman" w:hAnsi="Times New Roman" w:cs="Times New Roman" w:eastAsia="Times New Roman"/>
          <w:color w:val="7E7B79"/>
          <w:sz w:val="14"/>
          <w:szCs w:val="14"/>
        </w:rPr>
        <w:t>mrouc"°'-lt</w:t>
      </w:r>
      <w:r>
        <w:rPr>
          <w:rFonts w:ascii="Times New Roman" w:hAnsi="Times New Roman" w:cs="Times New Roman" w:eastAsia="Times New Roman"/>
          <w:color w:val="7E7B79"/>
          <w:spacing w:val="10"/>
          <w:sz w:val="14"/>
          <w:szCs w:val="14"/>
        </w:rPr>
        <w:t> </w:t>
      </w:r>
      <w:r>
        <w:rPr>
          <w:rFonts w:ascii="Times New Roman" w:hAnsi="Times New Roman" w:cs="Times New Roman" w:eastAsia="Times New Roman"/>
          <w:color w:val="6E6B6B"/>
          <w:spacing w:val="1"/>
          <w:w w:val="120"/>
          <w:sz w:val="14"/>
          <w:szCs w:val="14"/>
        </w:rPr>
        <w:t>tl\e</w:t>
      </w:r>
      <w:r>
        <w:rPr>
          <w:rFonts w:ascii="Times New Roman" w:hAnsi="Times New Roman" w:cs="Times New Roman" w:eastAsia="Times New Roman"/>
          <w:color w:val="7E7B79"/>
          <w:spacing w:val="1"/>
          <w:w w:val="120"/>
          <w:sz w:val="14"/>
          <w:szCs w:val="14"/>
        </w:rPr>
        <w:t>audit.</w:t>
      </w:r>
      <w:r>
        <w:rPr>
          <w:rFonts w:ascii="Times New Roman" w:hAnsi="Times New Roman" w:cs="Times New Roman" w:eastAsia="Times New Roman"/>
          <w:color w:val="7E7B79"/>
          <w:spacing w:val="-23"/>
          <w:w w:val="120"/>
          <w:sz w:val="14"/>
          <w:szCs w:val="14"/>
        </w:rPr>
        <w:t> </w:t>
      </w:r>
      <w:r>
        <w:rPr>
          <w:rFonts w:ascii="Times New Roman" w:hAnsi="Times New Roman" w:cs="Times New Roman" w:eastAsia="Times New Roman"/>
          <w:color w:val="7E7B79"/>
          <w:w w:val="120"/>
          <w:sz w:val="14"/>
          <w:szCs w:val="14"/>
        </w:rPr>
        <w:t>I</w:t>
      </w:r>
      <w:r>
        <w:rPr>
          <w:rFonts w:ascii="Times New Roman" w:hAnsi="Times New Roman" w:cs="Times New Roman" w:eastAsia="Times New Roman"/>
          <w:color w:val="7E7B79"/>
          <w:spacing w:val="-19"/>
          <w:w w:val="120"/>
          <w:sz w:val="14"/>
          <w:szCs w:val="14"/>
        </w:rPr>
        <w:t> </w:t>
      </w:r>
      <w:r>
        <w:rPr>
          <w:rFonts w:ascii="Times New Roman" w:hAnsi="Times New Roman" w:cs="Times New Roman" w:eastAsia="Times New Roman"/>
          <w:color w:val="7E7B79"/>
          <w:w w:val="120"/>
          <w:sz w:val="13"/>
          <w:szCs w:val="13"/>
        </w:rPr>
        <w:t>also:</w:t>
      </w:r>
      <w:r>
        <w:rPr>
          <w:rFonts w:ascii="Times New Roman" w:hAnsi="Times New Roman" w:cs="Times New Roman" w:eastAsia="Times New Roman"/>
          <w:sz w:val="13"/>
          <w:szCs w:val="13"/>
        </w:rPr>
      </w:r>
    </w:p>
    <w:p>
      <w:pPr>
        <w:spacing w:line="235" w:lineRule="auto" w:before="80"/>
        <w:ind w:left="1254" w:right="1131" w:firstLine="0"/>
        <w:jc w:val="both"/>
        <w:rPr>
          <w:rFonts w:ascii="Times New Roman" w:hAnsi="Times New Roman" w:cs="Times New Roman" w:eastAsia="Times New Roman"/>
          <w:sz w:val="14"/>
          <w:szCs w:val="14"/>
        </w:rPr>
      </w:pPr>
      <w:r>
        <w:rPr>
          <w:rFonts w:ascii="Times New Roman" w:hAnsi="Times New Roman" w:cs="Times New Roman" w:eastAsia="Times New Roman"/>
          <w:color w:val="565454"/>
          <w:sz w:val="14"/>
          <w:szCs w:val="14"/>
        </w:rPr>
        <w:t>I</w:t>
      </w:r>
      <w:r>
        <w:rPr>
          <w:rFonts w:ascii="Times New Roman" w:hAnsi="Times New Roman" w:cs="Times New Roman" w:eastAsia="Times New Roman"/>
          <w:color w:val="565454"/>
          <w:spacing w:val="-2"/>
          <w:sz w:val="14"/>
          <w:szCs w:val="14"/>
        </w:rPr>
        <w:t>d</w:t>
      </w:r>
      <w:r>
        <w:rPr>
          <w:rFonts w:ascii="Times New Roman" w:hAnsi="Times New Roman" w:cs="Times New Roman" w:eastAsia="Times New Roman"/>
          <w:color w:val="7E7B79"/>
          <w:sz w:val="14"/>
          <w:szCs w:val="14"/>
        </w:rPr>
        <w:t>en</w:t>
      </w:r>
      <w:r>
        <w:rPr>
          <w:rFonts w:ascii="Times New Roman" w:hAnsi="Times New Roman" w:cs="Times New Roman" w:eastAsia="Times New Roman"/>
          <w:color w:val="7E7B79"/>
          <w:spacing w:val="-3"/>
          <w:sz w:val="14"/>
          <w:szCs w:val="14"/>
        </w:rPr>
        <w:t>t</w:t>
      </w:r>
      <w:r>
        <w:rPr>
          <w:rFonts w:ascii="Times New Roman" w:hAnsi="Times New Roman" w:cs="Times New Roman" w:eastAsia="Times New Roman"/>
          <w:color w:val="565454"/>
          <w:sz w:val="14"/>
          <w:szCs w:val="14"/>
        </w:rPr>
        <w:t>ify </w:t>
      </w:r>
      <w:r>
        <w:rPr>
          <w:rFonts w:ascii="Arial" w:hAnsi="Arial" w:cs="Arial" w:eastAsia="Arial"/>
          <w:color w:val="7E7B79"/>
          <w:sz w:val="12"/>
          <w:szCs w:val="12"/>
        </w:rPr>
        <w:t>and</w:t>
      </w:r>
      <w:r>
        <w:rPr>
          <w:rFonts w:ascii="Arial" w:hAnsi="Arial" w:cs="Arial" w:eastAsia="Arial"/>
          <w:color w:val="7E7B79"/>
          <w:spacing w:val="-9"/>
          <w:sz w:val="12"/>
          <w:szCs w:val="12"/>
        </w:rPr>
        <w:t> </w:t>
      </w:r>
      <w:r>
        <w:rPr>
          <w:rFonts w:ascii="Times New Roman" w:hAnsi="Times New Roman" w:cs="Times New Roman" w:eastAsia="Times New Roman"/>
          <w:color w:val="918E8E"/>
          <w:sz w:val="14"/>
          <w:szCs w:val="14"/>
        </w:rPr>
        <w:t>as.ses.s</w:t>
      </w:r>
      <w:r>
        <w:rPr>
          <w:rFonts w:ascii="Times New Roman" w:hAnsi="Times New Roman" w:cs="Times New Roman" w:eastAsia="Times New Roman"/>
          <w:color w:val="918E8E"/>
          <w:spacing w:val="4"/>
          <w:sz w:val="14"/>
          <w:szCs w:val="14"/>
        </w:rPr>
        <w:t> </w:t>
      </w:r>
      <w:r>
        <w:rPr>
          <w:rFonts w:ascii="Times New Roman" w:hAnsi="Times New Roman" w:cs="Times New Roman" w:eastAsia="Times New Roman"/>
          <w:color w:val="6E6B6B"/>
          <w:sz w:val="14"/>
          <w:szCs w:val="14"/>
        </w:rPr>
        <w:t>die</w:t>
      </w:r>
      <w:r>
        <w:rPr>
          <w:rFonts w:ascii="Times New Roman" w:hAnsi="Times New Roman" w:cs="Times New Roman" w:eastAsia="Times New Roman"/>
          <w:color w:val="6E6B6B"/>
          <w:spacing w:val="-6"/>
          <w:sz w:val="14"/>
          <w:szCs w:val="14"/>
        </w:rPr>
        <w:t> </w:t>
      </w:r>
      <w:r>
        <w:rPr>
          <w:rFonts w:ascii="Times New Roman" w:hAnsi="Times New Roman" w:cs="Times New Roman" w:eastAsia="Times New Roman"/>
          <w:color w:val="6E6B6B"/>
          <w:sz w:val="14"/>
          <w:szCs w:val="14"/>
        </w:rPr>
        <w:t>risks </w:t>
      </w:r>
      <w:r>
        <w:rPr>
          <w:rFonts w:ascii="Arial" w:hAnsi="Arial" w:cs="Arial" w:eastAsia="Arial"/>
          <w:color w:val="6E6B6B"/>
          <w:sz w:val="14"/>
          <w:szCs w:val="14"/>
        </w:rPr>
        <w:t>of</w:t>
      </w:r>
      <w:r>
        <w:rPr>
          <w:rFonts w:ascii="Arial" w:hAnsi="Arial" w:cs="Arial" w:eastAsia="Arial"/>
          <w:color w:val="6E6B6B"/>
          <w:spacing w:val="1"/>
          <w:sz w:val="14"/>
          <w:szCs w:val="14"/>
        </w:rPr>
        <w:t> </w:t>
      </w:r>
      <w:r>
        <w:rPr>
          <w:rFonts w:ascii="Times New Roman" w:hAnsi="Times New Roman" w:cs="Times New Roman" w:eastAsia="Times New Roman"/>
          <w:color w:val="6E6B6B"/>
          <w:sz w:val="14"/>
          <w:szCs w:val="14"/>
        </w:rPr>
        <w:t>mattri</w:t>
      </w:r>
      <w:r>
        <w:rPr>
          <w:rFonts w:ascii="Times New Roman" w:hAnsi="Times New Roman" w:cs="Times New Roman" w:eastAsia="Times New Roman"/>
          <w:color w:val="6E6B6B"/>
          <w:spacing w:val="3"/>
          <w:sz w:val="14"/>
          <w:szCs w:val="14"/>
        </w:rPr>
        <w:t>l</w:t>
      </w:r>
      <w:r>
        <w:rPr>
          <w:rFonts w:ascii="Times New Roman" w:hAnsi="Times New Roman" w:cs="Times New Roman" w:eastAsia="Times New Roman"/>
          <w:color w:val="918E8E"/>
          <w:spacing w:val="3"/>
          <w:sz w:val="14"/>
          <w:szCs w:val="14"/>
        </w:rPr>
        <w:t>l</w:t>
      </w:r>
      <w:r>
        <w:rPr>
          <w:rFonts w:ascii="Times New Roman" w:hAnsi="Times New Roman" w:cs="Times New Roman" w:eastAsia="Times New Roman"/>
          <w:color w:val="6E6B6B"/>
          <w:sz w:val="14"/>
          <w:szCs w:val="14"/>
        </w:rPr>
        <w:t>mls.st.-tement</w:t>
      </w:r>
      <w:r>
        <w:rPr>
          <w:rFonts w:ascii="Times New Roman" w:hAnsi="Times New Roman" w:cs="Times New Roman" w:eastAsia="Times New Roman"/>
          <w:color w:val="6E6B6B"/>
          <w:spacing w:val="27"/>
          <w:sz w:val="14"/>
          <w:szCs w:val="14"/>
        </w:rPr>
        <w:t> </w:t>
      </w:r>
      <w:r>
        <w:rPr>
          <w:rFonts w:ascii="Arial" w:hAnsi="Arial" w:cs="Arial" w:eastAsia="Arial"/>
          <w:color w:val="6E6B6B"/>
          <w:sz w:val="14"/>
          <w:szCs w:val="14"/>
        </w:rPr>
        <w:t>of </w:t>
      </w:r>
      <w:r>
        <w:rPr>
          <w:rFonts w:ascii="Arial" w:hAnsi="Arial" w:cs="Arial" w:eastAsia="Arial"/>
          <w:color w:val="6E6B6B"/>
          <w:sz w:val="13"/>
          <w:szCs w:val="13"/>
        </w:rPr>
        <w:t>tflC</w:t>
      </w:r>
      <w:r>
        <w:rPr>
          <w:rFonts w:ascii="Arial" w:hAnsi="Arial" w:cs="Arial" w:eastAsia="Arial"/>
          <w:color w:val="6E6B6B"/>
          <w:spacing w:val="-2"/>
          <w:sz w:val="13"/>
          <w:szCs w:val="13"/>
        </w:rPr>
        <w:t> </w:t>
      </w:r>
      <w:r>
        <w:rPr>
          <w:rFonts w:ascii="Times New Roman" w:hAnsi="Times New Roman" w:cs="Times New Roman" w:eastAsia="Times New Roman"/>
          <w:color w:val="6E6B6B"/>
          <w:sz w:val="14"/>
          <w:szCs w:val="14"/>
        </w:rPr>
        <w:t>finand</w:t>
      </w:r>
      <w:r>
        <w:rPr>
          <w:rFonts w:ascii="Times New Roman" w:hAnsi="Times New Roman" w:cs="Times New Roman" w:eastAsia="Times New Roman"/>
          <w:color w:val="6E6B6B"/>
          <w:spacing w:val="-17"/>
          <w:sz w:val="14"/>
          <w:szCs w:val="14"/>
        </w:rPr>
        <w:t>1</w:t>
      </w:r>
      <w:r>
        <w:rPr>
          <w:rFonts w:ascii="Times New Roman" w:hAnsi="Times New Roman" w:cs="Times New Roman" w:eastAsia="Times New Roman"/>
          <w:color w:val="6E6B6B"/>
          <w:sz w:val="14"/>
          <w:szCs w:val="14"/>
        </w:rPr>
        <w:t>I</w:t>
      </w:r>
      <w:r>
        <w:rPr>
          <w:rFonts w:ascii="Times New Roman" w:hAnsi="Times New Roman" w:cs="Times New Roman" w:eastAsia="Times New Roman"/>
          <w:color w:val="6E6B6B"/>
          <w:spacing w:val="-3"/>
          <w:sz w:val="14"/>
          <w:szCs w:val="14"/>
        </w:rPr>
        <w:t> </w:t>
      </w:r>
      <w:r>
        <w:rPr>
          <w:rFonts w:ascii="Times New Roman" w:hAnsi="Times New Roman" w:cs="Times New Roman" w:eastAsia="Times New Roman"/>
          <w:color w:val="6E6B6B"/>
          <w:sz w:val="16"/>
          <w:szCs w:val="16"/>
        </w:rPr>
        <w:t>repo</w:t>
      </w:r>
      <w:r>
        <w:rPr>
          <w:rFonts w:ascii="Times New Roman" w:hAnsi="Times New Roman" w:cs="Times New Roman" w:eastAsia="Times New Roman"/>
          <w:color w:val="918E8E"/>
          <w:spacing w:val="-19"/>
          <w:sz w:val="16"/>
          <w:szCs w:val="16"/>
        </w:rPr>
        <w:t>.</w:t>
      </w:r>
      <w:r>
        <w:rPr>
          <w:rFonts w:ascii="Times New Roman" w:hAnsi="Times New Roman" w:cs="Times New Roman" w:eastAsia="Times New Roman"/>
          <w:color w:val="6E6B6B"/>
          <w:sz w:val="12"/>
          <w:szCs w:val="12"/>
        </w:rPr>
        <w:t>wf'lt'tl\tf</w:t>
      </w:r>
      <w:r>
        <w:rPr>
          <w:rFonts w:ascii="Times New Roman" w:hAnsi="Times New Roman" w:cs="Times New Roman" w:eastAsia="Times New Roman"/>
          <w:color w:val="6E6B6B"/>
          <w:spacing w:val="4"/>
          <w:sz w:val="12"/>
          <w:szCs w:val="12"/>
        </w:rPr>
        <w:t> </w:t>
      </w:r>
      <w:r>
        <w:rPr>
          <w:rFonts w:ascii="Times New Roman" w:hAnsi="Times New Roman" w:cs="Times New Roman" w:eastAsia="Times New Roman"/>
          <w:color w:val="6E6B6B"/>
          <w:sz w:val="14"/>
          <w:szCs w:val="14"/>
        </w:rPr>
        <w:t>due</w:t>
      </w:r>
      <w:r>
        <w:rPr>
          <w:rFonts w:ascii="Times New Roman" w:hAnsi="Times New Roman" w:cs="Times New Roman" w:eastAsia="Times New Roman"/>
          <w:color w:val="6E6B6B"/>
          <w:spacing w:val="-4"/>
          <w:sz w:val="14"/>
          <w:szCs w:val="14"/>
        </w:rPr>
        <w:t> </w:t>
      </w:r>
      <w:r>
        <w:rPr>
          <w:rFonts w:ascii="Times New Roman" w:hAnsi="Times New Roman" w:cs="Times New Roman" w:eastAsia="Times New Roman"/>
          <w:color w:val="7E7B79"/>
          <w:sz w:val="14"/>
          <w:szCs w:val="14"/>
        </w:rPr>
        <w:t>to</w:t>
      </w:r>
      <w:r>
        <w:rPr>
          <w:rFonts w:ascii="Times New Roman" w:hAnsi="Times New Roman" w:cs="Times New Roman" w:eastAsia="Times New Roman"/>
          <w:color w:val="7E7B79"/>
          <w:spacing w:val="-4"/>
          <w:sz w:val="14"/>
          <w:szCs w:val="14"/>
        </w:rPr>
        <w:t> </w:t>
      </w:r>
      <w:r>
        <w:rPr>
          <w:rFonts w:ascii="Times New Roman" w:hAnsi="Times New Roman" w:cs="Times New Roman" w:eastAsia="Times New Roman"/>
          <w:color w:val="6E6B6B"/>
          <w:sz w:val="14"/>
          <w:szCs w:val="14"/>
        </w:rPr>
        <w:t>frau</w:t>
      </w:r>
      <w:r>
        <w:rPr>
          <w:rFonts w:ascii="Times New Roman" w:hAnsi="Times New Roman" w:cs="Times New Roman" w:eastAsia="Times New Roman"/>
          <w:color w:val="6E6B6B"/>
          <w:spacing w:val="15"/>
          <w:sz w:val="14"/>
          <w:szCs w:val="14"/>
        </w:rPr>
        <w:t>d</w:t>
      </w:r>
      <w:r>
        <w:rPr>
          <w:rFonts w:ascii="Times New Roman" w:hAnsi="Times New Roman" w:cs="Times New Roman" w:eastAsia="Times New Roman"/>
          <w:color w:val="7E7B79"/>
          <w:sz w:val="14"/>
          <w:szCs w:val="14"/>
        </w:rPr>
        <w:t>o</w:t>
      </w:r>
      <w:r>
        <w:rPr>
          <w:rFonts w:ascii="Times New Roman" w:hAnsi="Times New Roman" w:cs="Times New Roman" w:eastAsia="Times New Roman"/>
          <w:color w:val="7E7B79"/>
          <w:spacing w:val="8"/>
          <w:sz w:val="14"/>
          <w:szCs w:val="14"/>
        </w:rPr>
        <w:t>r</w:t>
      </w:r>
      <w:r>
        <w:rPr>
          <w:rFonts w:ascii="Times New Roman" w:hAnsi="Times New Roman" w:cs="Times New Roman" w:eastAsia="Times New Roman"/>
          <w:color w:val="7E7B79"/>
          <w:sz w:val="14"/>
          <w:szCs w:val="14"/>
        </w:rPr>
        <w:t>tfr</w:t>
      </w:r>
      <w:r>
        <w:rPr>
          <w:rFonts w:ascii="Times New Roman" w:hAnsi="Times New Roman" w:cs="Times New Roman" w:eastAsia="Times New Roman"/>
          <w:color w:val="7E7B79"/>
          <w:spacing w:val="-4"/>
          <w:sz w:val="14"/>
          <w:szCs w:val="14"/>
        </w:rPr>
        <w:t>o</w:t>
      </w:r>
      <w:r>
        <w:rPr>
          <w:rFonts w:ascii="Times New Roman" w:hAnsi="Times New Roman" w:cs="Times New Roman" w:eastAsia="Times New Roman"/>
          <w:color w:val="565454"/>
          <w:spacing w:val="-12"/>
          <w:sz w:val="14"/>
          <w:szCs w:val="14"/>
        </w:rPr>
        <w:t>r</w:t>
      </w:r>
      <w:r>
        <w:rPr>
          <w:rFonts w:ascii="Times New Roman" w:hAnsi="Times New Roman" w:cs="Times New Roman" w:eastAsia="Times New Roman"/>
          <w:color w:val="918E8E"/>
          <w:sz w:val="14"/>
          <w:szCs w:val="14"/>
        </w:rPr>
        <w:t>,</w:t>
      </w:r>
      <w:r>
        <w:rPr>
          <w:rFonts w:ascii="Times New Roman" w:hAnsi="Times New Roman" w:cs="Times New Roman" w:eastAsia="Times New Roman"/>
          <w:color w:val="918E8E"/>
          <w:w w:val="209"/>
          <w:sz w:val="14"/>
          <w:szCs w:val="14"/>
        </w:rPr>
        <w:t> </w:t>
      </w:r>
      <w:r>
        <w:rPr>
          <w:rFonts w:ascii="Arial" w:hAnsi="Arial" w:cs="Arial" w:eastAsia="Arial"/>
          <w:color w:val="7E7B79"/>
          <w:sz w:val="14"/>
          <w:szCs w:val="14"/>
        </w:rPr>
        <w:t>design</w:t>
      </w:r>
      <w:r>
        <w:rPr>
          <w:rFonts w:ascii="Arial" w:hAnsi="Arial" w:cs="Arial" w:eastAsia="Arial"/>
          <w:color w:val="7E7B79"/>
          <w:spacing w:val="-13"/>
          <w:sz w:val="14"/>
          <w:szCs w:val="14"/>
        </w:rPr>
        <w:t> </w:t>
      </w:r>
      <w:r>
        <w:rPr>
          <w:rFonts w:ascii="Times New Roman" w:hAnsi="Times New Roman" w:cs="Times New Roman" w:eastAsia="Times New Roman"/>
          <w:color w:val="6E6B6B"/>
          <w:sz w:val="14"/>
          <w:szCs w:val="14"/>
        </w:rPr>
        <w:t>and</w:t>
      </w:r>
      <w:r>
        <w:rPr>
          <w:rFonts w:ascii="Times New Roman" w:hAnsi="Times New Roman" w:cs="Times New Roman" w:eastAsia="Times New Roman"/>
          <w:color w:val="6E6B6B"/>
          <w:spacing w:val="9"/>
          <w:sz w:val="14"/>
          <w:szCs w:val="14"/>
        </w:rPr>
        <w:t> </w:t>
      </w:r>
      <w:r>
        <w:rPr>
          <w:rFonts w:ascii="Times New Roman" w:hAnsi="Times New Roman" w:cs="Times New Roman" w:eastAsia="Times New Roman"/>
          <w:color w:val="6E6B6B"/>
          <w:sz w:val="13"/>
          <w:szCs w:val="13"/>
        </w:rPr>
        <w:t>perform</w:t>
      </w:r>
      <w:r>
        <w:rPr>
          <w:rFonts w:ascii="Times New Roman" w:hAnsi="Times New Roman" w:cs="Times New Roman" w:eastAsia="Times New Roman"/>
          <w:color w:val="6E6B6B"/>
          <w:spacing w:val="5"/>
          <w:sz w:val="13"/>
          <w:szCs w:val="13"/>
        </w:rPr>
        <w:t> </w:t>
      </w:r>
      <w:r>
        <w:rPr>
          <w:rFonts w:ascii="Times New Roman" w:hAnsi="Times New Roman" w:cs="Times New Roman" w:eastAsia="Times New Roman"/>
          <w:color w:val="6E6B6B"/>
          <w:sz w:val="14"/>
          <w:szCs w:val="14"/>
        </w:rPr>
        <w:t>audit</w:t>
      </w:r>
      <w:r>
        <w:rPr>
          <w:rFonts w:ascii="Times New Roman" w:hAnsi="Times New Roman" w:cs="Times New Roman" w:eastAsia="Times New Roman"/>
          <w:color w:val="6E6B6B"/>
          <w:spacing w:val="-6"/>
          <w:sz w:val="14"/>
          <w:szCs w:val="14"/>
        </w:rPr>
        <w:t> </w:t>
      </w:r>
      <w:r>
        <w:rPr>
          <w:rFonts w:ascii="Times New Roman" w:hAnsi="Times New Roman" w:cs="Times New Roman" w:eastAsia="Times New Roman"/>
          <w:color w:val="6E6B6B"/>
          <w:sz w:val="14"/>
          <w:szCs w:val="14"/>
        </w:rPr>
        <w:t>proc:l!'&lt;Mes</w:t>
      </w:r>
      <w:r>
        <w:rPr>
          <w:rFonts w:ascii="Times New Roman" w:hAnsi="Times New Roman" w:cs="Times New Roman" w:eastAsia="Times New Roman"/>
          <w:color w:val="6E6B6B"/>
          <w:spacing w:val="4"/>
          <w:sz w:val="14"/>
          <w:szCs w:val="14"/>
        </w:rPr>
        <w:t> </w:t>
      </w:r>
      <w:r>
        <w:rPr>
          <w:rFonts w:ascii="Times New Roman" w:hAnsi="Times New Roman" w:cs="Times New Roman" w:eastAsia="Times New Roman"/>
          <w:color w:val="7E7B79"/>
          <w:sz w:val="14"/>
          <w:szCs w:val="14"/>
        </w:rPr>
        <w:t>responsHe</w:t>
      </w:r>
      <w:r>
        <w:rPr>
          <w:rFonts w:ascii="Times New Roman" w:hAnsi="Times New Roman" w:cs="Times New Roman" w:eastAsia="Times New Roman"/>
          <w:color w:val="7E7B79"/>
          <w:spacing w:val="1"/>
          <w:sz w:val="14"/>
          <w:szCs w:val="14"/>
        </w:rPr>
        <w:t> </w:t>
      </w:r>
      <w:r>
        <w:rPr>
          <w:rFonts w:ascii="Times New Roman" w:hAnsi="Times New Roman" w:cs="Times New Roman" w:eastAsia="Times New Roman"/>
          <w:color w:val="6E6B6B"/>
          <w:sz w:val="14"/>
          <w:szCs w:val="14"/>
        </w:rPr>
        <w:t>to</w:t>
      </w:r>
      <w:r>
        <w:rPr>
          <w:rFonts w:ascii="Times New Roman" w:hAnsi="Times New Roman" w:cs="Times New Roman" w:eastAsia="Times New Roman"/>
          <w:color w:val="6E6B6B"/>
          <w:spacing w:val="-10"/>
          <w:sz w:val="14"/>
          <w:szCs w:val="14"/>
        </w:rPr>
        <w:t> </w:t>
      </w:r>
      <w:r>
        <w:rPr>
          <w:rFonts w:ascii="Times New Roman" w:hAnsi="Times New Roman" w:cs="Times New Roman" w:eastAsia="Times New Roman"/>
          <w:color w:val="7E7B79"/>
          <w:sz w:val="13"/>
          <w:szCs w:val="13"/>
        </w:rPr>
        <w:t>those</w:t>
      </w:r>
      <w:r>
        <w:rPr>
          <w:rFonts w:ascii="Times New Roman" w:hAnsi="Times New Roman" w:cs="Times New Roman" w:eastAsia="Times New Roman"/>
          <w:color w:val="7E7B79"/>
          <w:spacing w:val="-3"/>
          <w:sz w:val="13"/>
          <w:szCs w:val="13"/>
        </w:rPr>
        <w:t> </w:t>
      </w:r>
      <w:r>
        <w:rPr>
          <w:rFonts w:ascii="Times New Roman" w:hAnsi="Times New Roman" w:cs="Times New Roman" w:eastAsia="Times New Roman"/>
          <w:color w:val="6E6B6B"/>
          <w:sz w:val="14"/>
          <w:szCs w:val="14"/>
        </w:rPr>
        <w:t>risk</w:t>
      </w:r>
      <w:r>
        <w:rPr>
          <w:rFonts w:ascii="Times New Roman" w:hAnsi="Times New Roman" w:cs="Times New Roman" w:eastAsia="Times New Roman"/>
          <w:color w:val="6E6B6B"/>
          <w:spacing w:val="-18"/>
          <w:sz w:val="14"/>
          <w:szCs w:val="14"/>
        </w:rPr>
        <w:t>s</w:t>
      </w:r>
      <w:r>
        <w:rPr>
          <w:rFonts w:ascii="Times New Roman" w:hAnsi="Times New Roman" w:cs="Times New Roman" w:eastAsia="Times New Roman"/>
          <w:color w:val="6E6B6B"/>
          <w:spacing w:val="-1"/>
          <w:sz w:val="14"/>
          <w:szCs w:val="14"/>
        </w:rPr>
        <w:t>,</w:t>
      </w:r>
      <w:r>
        <w:rPr>
          <w:rFonts w:ascii="Times New Roman" w:hAnsi="Times New Roman" w:cs="Times New Roman" w:eastAsia="Times New Roman"/>
          <w:color w:val="6E6B6B"/>
          <w:sz w:val="14"/>
          <w:szCs w:val="14"/>
        </w:rPr>
        <w:t>and</w:t>
      </w:r>
      <w:r>
        <w:rPr>
          <w:rFonts w:ascii="Times New Roman" w:hAnsi="Times New Roman" w:cs="Times New Roman" w:eastAsia="Times New Roman"/>
          <w:color w:val="6E6B6B"/>
          <w:spacing w:val="-6"/>
          <w:sz w:val="14"/>
          <w:szCs w:val="14"/>
        </w:rPr>
        <w:t> </w:t>
      </w:r>
      <w:r>
        <w:rPr>
          <w:rFonts w:ascii="Times New Roman" w:hAnsi="Times New Roman" w:cs="Times New Roman" w:eastAsia="Times New Roman"/>
          <w:color w:val="6E6B6B"/>
          <w:sz w:val="13"/>
          <w:szCs w:val="13"/>
        </w:rPr>
        <w:t>obtain</w:t>
      </w:r>
      <w:r>
        <w:rPr>
          <w:rFonts w:ascii="Times New Roman" w:hAnsi="Times New Roman" w:cs="Times New Roman" w:eastAsia="Times New Roman"/>
          <w:color w:val="6E6B6B"/>
          <w:spacing w:val="-3"/>
          <w:sz w:val="13"/>
          <w:szCs w:val="13"/>
        </w:rPr>
        <w:t> </w:t>
      </w:r>
      <w:r>
        <w:rPr>
          <w:rFonts w:ascii="Times New Roman" w:hAnsi="Times New Roman" w:cs="Times New Roman" w:eastAsia="Times New Roman"/>
          <w:color w:val="6E6B6B"/>
          <w:sz w:val="13"/>
          <w:szCs w:val="13"/>
        </w:rPr>
        <w:t>au</w:t>
      </w:r>
      <w:r>
        <w:rPr>
          <w:rFonts w:ascii="Times New Roman" w:hAnsi="Times New Roman" w:cs="Times New Roman" w:eastAsia="Times New Roman"/>
          <w:color w:val="6E6B6B"/>
          <w:spacing w:val="-2"/>
          <w:sz w:val="13"/>
          <w:szCs w:val="13"/>
        </w:rPr>
        <w:t>d</w:t>
      </w:r>
      <w:r>
        <w:rPr>
          <w:rFonts w:ascii="Times New Roman" w:hAnsi="Times New Roman" w:cs="Times New Roman" w:eastAsia="Times New Roman"/>
          <w:color w:val="918E8E"/>
          <w:spacing w:val="-25"/>
          <w:sz w:val="13"/>
          <w:szCs w:val="13"/>
        </w:rPr>
        <w:t>[</w:t>
      </w:r>
      <w:r>
        <w:rPr>
          <w:rFonts w:ascii="Times New Roman" w:hAnsi="Times New Roman" w:cs="Times New Roman" w:eastAsia="Times New Roman"/>
          <w:color w:val="918E8E"/>
          <w:sz w:val="13"/>
          <w:szCs w:val="13"/>
        </w:rPr>
        <w:t>t</w:t>
      </w:r>
      <w:r>
        <w:rPr>
          <w:rFonts w:ascii="Times New Roman" w:hAnsi="Times New Roman" w:cs="Times New Roman" w:eastAsia="Times New Roman"/>
          <w:color w:val="918E8E"/>
          <w:spacing w:val="-4"/>
          <w:sz w:val="13"/>
          <w:szCs w:val="13"/>
        </w:rPr>
        <w:t> </w:t>
      </w:r>
      <w:r>
        <w:rPr>
          <w:rFonts w:ascii="Times New Roman" w:hAnsi="Times New Roman" w:cs="Times New Roman" w:eastAsia="Times New Roman"/>
          <w:color w:val="7E7B79"/>
          <w:sz w:val="14"/>
          <w:szCs w:val="14"/>
        </w:rPr>
        <w:t>Mdetice</w:t>
      </w:r>
      <w:r>
        <w:rPr>
          <w:rFonts w:ascii="Times New Roman" w:hAnsi="Times New Roman" w:cs="Times New Roman" w:eastAsia="Times New Roman"/>
          <w:color w:val="7E7B79"/>
          <w:spacing w:val="-1"/>
          <w:sz w:val="14"/>
          <w:szCs w:val="14"/>
        </w:rPr>
        <w:t> </w:t>
      </w:r>
      <w:r>
        <w:rPr>
          <w:rFonts w:ascii="Times New Roman" w:hAnsi="Times New Roman" w:cs="Times New Roman" w:eastAsia="Times New Roman"/>
          <w:color w:val="7E7B79"/>
          <w:sz w:val="14"/>
          <w:szCs w:val="14"/>
        </w:rPr>
        <w:t>that</w:t>
      </w:r>
      <w:r>
        <w:rPr>
          <w:rFonts w:ascii="Times New Roman" w:hAnsi="Times New Roman" w:cs="Times New Roman" w:eastAsia="Times New Roman"/>
          <w:color w:val="7E7B79"/>
          <w:spacing w:val="-1"/>
          <w:sz w:val="14"/>
          <w:szCs w:val="14"/>
        </w:rPr>
        <w:t> </w:t>
      </w:r>
      <w:r>
        <w:rPr>
          <w:rFonts w:ascii="Arial" w:hAnsi="Arial" w:cs="Arial" w:eastAsia="Arial"/>
          <w:color w:val="7E7B79"/>
          <w:sz w:val="14"/>
          <w:szCs w:val="14"/>
        </w:rPr>
        <w:t>I</w:t>
      </w:r>
      <w:r>
        <w:rPr>
          <w:rFonts w:ascii="Arial" w:hAnsi="Arial" w:cs="Arial" w:eastAsia="Arial"/>
          <w:color w:val="7E7B79"/>
          <w:spacing w:val="12"/>
          <w:sz w:val="14"/>
          <w:szCs w:val="14"/>
        </w:rPr>
        <w:t>s</w:t>
      </w:r>
      <w:r>
        <w:rPr>
          <w:rFonts w:ascii="Times New Roman" w:hAnsi="Times New Roman" w:cs="Times New Roman" w:eastAsia="Times New Roman"/>
          <w:color w:val="7E7B79"/>
          <w:sz w:val="14"/>
          <w:szCs w:val="14"/>
        </w:rPr>
        <w:t>sufficient</w:t>
      </w:r>
      <w:r>
        <w:rPr>
          <w:rFonts w:ascii="Times New Roman" w:hAnsi="Times New Roman" w:cs="Times New Roman" w:eastAsia="Times New Roman"/>
          <w:color w:val="7E7B79"/>
          <w:w w:val="96"/>
          <w:sz w:val="14"/>
          <w:szCs w:val="14"/>
        </w:rPr>
        <w:t> </w:t>
      </w:r>
      <w:r>
        <w:rPr>
          <w:rFonts w:ascii="Times New Roman" w:hAnsi="Times New Roman" w:cs="Times New Roman" w:eastAsia="Times New Roman"/>
          <w:color w:val="7E7B79"/>
          <w:sz w:val="14"/>
          <w:szCs w:val="14"/>
        </w:rPr>
        <w:t>and</w:t>
      </w:r>
      <w:r>
        <w:rPr>
          <w:rFonts w:ascii="Times New Roman" w:hAnsi="Times New Roman" w:cs="Times New Roman" w:eastAsia="Times New Roman"/>
          <w:color w:val="7E7B79"/>
          <w:spacing w:val="-8"/>
          <w:sz w:val="14"/>
          <w:szCs w:val="14"/>
        </w:rPr>
        <w:t> </w:t>
      </w:r>
      <w:r>
        <w:rPr>
          <w:rFonts w:ascii="Times New Roman" w:hAnsi="Times New Roman" w:cs="Times New Roman" w:eastAsia="Times New Roman"/>
          <w:color w:val="7E7B79"/>
          <w:sz w:val="14"/>
          <w:szCs w:val="14"/>
        </w:rPr>
        <w:t>appropriate</w:t>
      </w:r>
      <w:r>
        <w:rPr>
          <w:rFonts w:ascii="Times New Roman" w:hAnsi="Times New Roman" w:cs="Times New Roman" w:eastAsia="Times New Roman"/>
          <w:color w:val="7E7B79"/>
          <w:spacing w:val="-16"/>
          <w:sz w:val="14"/>
          <w:szCs w:val="14"/>
        </w:rPr>
        <w:t> </w:t>
      </w:r>
      <w:r>
        <w:rPr>
          <w:rFonts w:ascii="Times New Roman" w:hAnsi="Times New Roman" w:cs="Times New Roman" w:eastAsia="Times New Roman"/>
          <w:color w:val="7E7B79"/>
          <w:sz w:val="13"/>
          <w:szCs w:val="13"/>
        </w:rPr>
        <w:t>to</w:t>
      </w:r>
      <w:r>
        <w:rPr>
          <w:rFonts w:ascii="Times New Roman" w:hAnsi="Times New Roman" w:cs="Times New Roman" w:eastAsia="Times New Roman"/>
          <w:color w:val="6E6B6B"/>
          <w:sz w:val="14"/>
          <w:szCs w:val="14"/>
        </w:rPr>
        <w:t>provide</w:t>
      </w:r>
      <w:r>
        <w:rPr>
          <w:rFonts w:ascii="Times New Roman" w:hAnsi="Times New Roman" w:cs="Times New Roman" w:eastAsia="Times New Roman"/>
          <w:color w:val="6E6B6B"/>
          <w:spacing w:val="1"/>
          <w:sz w:val="14"/>
          <w:szCs w:val="14"/>
        </w:rPr>
        <w:t> </w:t>
      </w:r>
      <w:r>
        <w:rPr>
          <w:rFonts w:ascii="Times New Roman" w:hAnsi="Times New Roman" w:cs="Times New Roman" w:eastAsia="Times New Roman"/>
          <w:color w:val="7E7B79"/>
          <w:sz w:val="14"/>
          <w:szCs w:val="14"/>
        </w:rPr>
        <w:t>a</w:t>
      </w:r>
      <w:r>
        <w:rPr>
          <w:rFonts w:ascii="Times New Roman" w:hAnsi="Times New Roman" w:cs="Times New Roman" w:eastAsia="Times New Roman"/>
          <w:color w:val="7E7B79"/>
          <w:spacing w:val="-10"/>
          <w:sz w:val="14"/>
          <w:szCs w:val="14"/>
        </w:rPr>
        <w:t> </w:t>
      </w:r>
      <w:r>
        <w:rPr>
          <w:rFonts w:ascii="Times New Roman" w:hAnsi="Times New Roman" w:cs="Times New Roman" w:eastAsia="Times New Roman"/>
          <w:color w:val="6E6B6B"/>
          <w:spacing w:val="2"/>
          <w:sz w:val="14"/>
          <w:szCs w:val="14"/>
        </w:rPr>
        <w:t>basis</w:t>
      </w:r>
      <w:r>
        <w:rPr>
          <w:rFonts w:ascii="Times New Roman" w:hAnsi="Times New Roman" w:cs="Times New Roman" w:eastAsia="Times New Roman"/>
          <w:color w:val="7E7B79"/>
          <w:spacing w:val="1"/>
          <w:sz w:val="14"/>
          <w:szCs w:val="14"/>
        </w:rPr>
        <w:t>for</w:t>
      </w:r>
      <w:r>
        <w:rPr>
          <w:rFonts w:ascii="Times New Roman" w:hAnsi="Times New Roman" w:cs="Times New Roman" w:eastAsia="Times New Roman"/>
          <w:color w:val="6E6B6B"/>
          <w:spacing w:val="2"/>
          <w:sz w:val="14"/>
          <w:szCs w:val="14"/>
        </w:rPr>
        <w:t>myopinion.</w:t>
      </w:r>
      <w:r>
        <w:rPr>
          <w:rFonts w:ascii="Times New Roman" w:hAnsi="Times New Roman" w:cs="Times New Roman" w:eastAsia="Times New Roman"/>
          <w:color w:val="6E6B6B"/>
          <w:spacing w:val="-14"/>
          <w:sz w:val="14"/>
          <w:szCs w:val="14"/>
        </w:rPr>
        <w:t> </w:t>
      </w:r>
      <w:r>
        <w:rPr>
          <w:rFonts w:ascii="Times New Roman" w:hAnsi="Times New Roman" w:cs="Times New Roman" w:eastAsia="Times New Roman"/>
          <w:color w:val="6E6B6B"/>
          <w:sz w:val="14"/>
          <w:szCs w:val="14"/>
        </w:rPr>
        <w:t>The</w:t>
      </w:r>
      <w:r>
        <w:rPr>
          <w:rFonts w:ascii="Times New Roman" w:hAnsi="Times New Roman" w:cs="Times New Roman" w:eastAsia="Times New Roman"/>
          <w:color w:val="6E6B6B"/>
          <w:spacing w:val="-10"/>
          <w:sz w:val="14"/>
          <w:szCs w:val="14"/>
        </w:rPr>
        <w:t> </w:t>
      </w:r>
      <w:r>
        <w:rPr>
          <w:rFonts w:ascii="Times New Roman" w:hAnsi="Times New Roman" w:cs="Times New Roman" w:eastAsia="Times New Roman"/>
          <w:color w:val="6E6B6B"/>
          <w:sz w:val="14"/>
          <w:szCs w:val="14"/>
        </w:rPr>
        <w:t>ris;k</w:t>
      </w:r>
      <w:r>
        <w:rPr>
          <w:rFonts w:ascii="Times New Roman" w:hAnsi="Times New Roman" w:cs="Times New Roman" w:eastAsia="Times New Roman"/>
          <w:color w:val="6E6B6B"/>
          <w:spacing w:val="-15"/>
          <w:sz w:val="14"/>
          <w:szCs w:val="14"/>
        </w:rPr>
        <w:t> </w:t>
      </w:r>
      <w:r>
        <w:rPr>
          <w:rFonts w:ascii="Arial" w:hAnsi="Arial" w:cs="Arial" w:eastAsia="Arial"/>
          <w:color w:val="7E7B79"/>
          <w:sz w:val="13"/>
          <w:szCs w:val="13"/>
        </w:rPr>
        <w:t>of</w:t>
      </w:r>
      <w:r>
        <w:rPr>
          <w:rFonts w:ascii="Arial" w:hAnsi="Arial" w:cs="Arial" w:eastAsia="Arial"/>
          <w:color w:val="7E7B79"/>
          <w:spacing w:val="-19"/>
          <w:sz w:val="13"/>
          <w:szCs w:val="13"/>
        </w:rPr>
        <w:t> </w:t>
      </w:r>
      <w:r>
        <w:rPr>
          <w:rFonts w:ascii="Times New Roman" w:hAnsi="Times New Roman" w:cs="Times New Roman" w:eastAsia="Times New Roman"/>
          <w:color w:val="6E6B6B"/>
          <w:sz w:val="14"/>
          <w:szCs w:val="14"/>
        </w:rPr>
        <w:t>not</w:t>
      </w:r>
      <w:r>
        <w:rPr>
          <w:rFonts w:ascii="Times New Roman" w:hAnsi="Times New Roman" w:cs="Times New Roman" w:eastAsia="Times New Roman"/>
          <w:color w:val="6E6B6B"/>
          <w:spacing w:val="-18"/>
          <w:sz w:val="14"/>
          <w:szCs w:val="14"/>
        </w:rPr>
        <w:t> </w:t>
      </w:r>
      <w:r>
        <w:rPr>
          <w:rFonts w:ascii="Times New Roman" w:hAnsi="Times New Roman" w:cs="Times New Roman" w:eastAsia="Times New Roman"/>
          <w:color w:val="7E7B79"/>
          <w:sz w:val="14"/>
          <w:szCs w:val="14"/>
        </w:rPr>
        <w:t>detecting</w:t>
      </w:r>
      <w:r>
        <w:rPr>
          <w:rFonts w:ascii="Times New Roman" w:hAnsi="Times New Roman" w:cs="Times New Roman" w:eastAsia="Times New Roman"/>
          <w:color w:val="7E7B79"/>
          <w:spacing w:val="-16"/>
          <w:sz w:val="14"/>
          <w:szCs w:val="14"/>
        </w:rPr>
        <w:t> </w:t>
      </w:r>
      <w:r>
        <w:rPr>
          <w:rFonts w:ascii="Times New Roman" w:hAnsi="Times New Roman" w:cs="Times New Roman" w:eastAsia="Times New Roman"/>
          <w:color w:val="7E7B79"/>
          <w:sz w:val="14"/>
          <w:szCs w:val="14"/>
        </w:rPr>
        <w:t>a</w:t>
      </w:r>
      <w:r>
        <w:rPr>
          <w:rFonts w:ascii="Times New Roman" w:hAnsi="Times New Roman" w:cs="Times New Roman" w:eastAsia="Times New Roman"/>
          <w:color w:val="7E7B79"/>
          <w:spacing w:val="1"/>
          <w:sz w:val="14"/>
          <w:szCs w:val="14"/>
        </w:rPr>
        <w:t>mater</w:t>
      </w:r>
      <w:r>
        <w:rPr>
          <w:rFonts w:ascii="Times New Roman" w:hAnsi="Times New Roman" w:cs="Times New Roman" w:eastAsia="Times New Roman"/>
          <w:color w:val="565454"/>
          <w:spacing w:val="1"/>
          <w:sz w:val="14"/>
          <w:szCs w:val="14"/>
        </w:rPr>
        <w:t>ial</w:t>
      </w:r>
      <w:r>
        <w:rPr>
          <w:rFonts w:ascii="Times New Roman" w:hAnsi="Times New Roman" w:cs="Times New Roman" w:eastAsia="Times New Roman"/>
          <w:color w:val="6E6B6B"/>
          <w:spacing w:val="1"/>
          <w:sz w:val="14"/>
          <w:szCs w:val="14"/>
        </w:rPr>
        <w:t>misstatement</w:t>
      </w:r>
      <w:r>
        <w:rPr>
          <w:rFonts w:ascii="Times New Roman" w:hAnsi="Times New Roman" w:cs="Times New Roman" w:eastAsia="Times New Roman"/>
          <w:color w:val="6E6B6B"/>
          <w:spacing w:val="-10"/>
          <w:sz w:val="14"/>
          <w:szCs w:val="14"/>
        </w:rPr>
        <w:t> </w:t>
      </w:r>
      <w:r>
        <w:rPr>
          <w:rFonts w:ascii="Times New Roman" w:hAnsi="Times New Roman" w:cs="Times New Roman" w:eastAsia="Times New Roman"/>
          <w:color w:val="7E7B79"/>
          <w:sz w:val="14"/>
          <w:szCs w:val="14"/>
        </w:rPr>
        <w:t>rnu</w:t>
      </w:r>
      <w:r>
        <w:rPr>
          <w:rFonts w:ascii="Times New Roman" w:hAnsi="Times New Roman" w:cs="Times New Roman" w:eastAsia="Times New Roman"/>
          <w:color w:val="565454"/>
          <w:sz w:val="14"/>
          <w:szCs w:val="14"/>
        </w:rPr>
        <w:t>lting</w:t>
      </w:r>
      <w:r>
        <w:rPr>
          <w:rFonts w:ascii="Times New Roman" w:hAnsi="Times New Roman" w:cs="Times New Roman" w:eastAsia="Times New Roman"/>
          <w:color w:val="565454"/>
          <w:spacing w:val="42"/>
          <w:w w:val="95"/>
          <w:sz w:val="14"/>
          <w:szCs w:val="14"/>
        </w:rPr>
        <w:t> </w:t>
      </w:r>
      <w:r>
        <w:rPr>
          <w:rFonts w:ascii="Times New Roman" w:hAnsi="Times New Roman" w:cs="Times New Roman" w:eastAsia="Times New Roman"/>
          <w:color w:val="6E6B6B"/>
          <w:sz w:val="14"/>
          <w:szCs w:val="14"/>
        </w:rPr>
        <w:t>from</w:t>
      </w:r>
      <w:r>
        <w:rPr>
          <w:rFonts w:ascii="Times New Roman" w:hAnsi="Times New Roman" w:cs="Times New Roman" w:eastAsia="Times New Roman"/>
          <w:color w:val="6E6B6B"/>
          <w:spacing w:val="-11"/>
          <w:sz w:val="14"/>
          <w:szCs w:val="14"/>
        </w:rPr>
        <w:t> </w:t>
      </w:r>
      <w:r>
        <w:rPr>
          <w:rFonts w:ascii="Times New Roman" w:hAnsi="Times New Roman" w:cs="Times New Roman" w:eastAsia="Times New Roman"/>
          <w:color w:val="7E7B79"/>
          <w:w w:val="105"/>
          <w:sz w:val="14"/>
          <w:szCs w:val="14"/>
        </w:rPr>
        <w:t>frM</w:t>
      </w:r>
      <w:r>
        <w:rPr>
          <w:rFonts w:ascii="Times New Roman" w:hAnsi="Times New Roman" w:cs="Times New Roman" w:eastAsia="Times New Roman"/>
          <w:color w:val="7E7B79"/>
          <w:spacing w:val="-3"/>
          <w:w w:val="105"/>
          <w:sz w:val="14"/>
          <w:szCs w:val="14"/>
        </w:rPr>
        <w:t> </w:t>
      </w:r>
      <w:r>
        <w:rPr>
          <w:rFonts w:ascii="Times New Roman" w:hAnsi="Times New Roman" w:cs="Times New Roman" w:eastAsia="Times New Roman"/>
          <w:color w:val="7E7B79"/>
          <w:sz w:val="15"/>
          <w:szCs w:val="15"/>
        </w:rPr>
        <w:t>b</w:t>
      </w:r>
      <w:r>
        <w:rPr>
          <w:rFonts w:ascii="Times New Roman" w:hAnsi="Times New Roman" w:cs="Times New Roman" w:eastAsia="Times New Roman"/>
          <w:color w:val="7E7B79"/>
          <w:spacing w:val="-3"/>
          <w:sz w:val="15"/>
          <w:szCs w:val="15"/>
        </w:rPr>
        <w:t> </w:t>
      </w:r>
      <w:r>
        <w:rPr>
          <w:rFonts w:ascii="Times New Roman" w:hAnsi="Times New Roman" w:cs="Times New Roman" w:eastAsia="Times New Roman"/>
          <w:color w:val="7E7B79"/>
          <w:sz w:val="14"/>
          <w:szCs w:val="14"/>
        </w:rPr>
        <w:t>h.Chtt'</w:t>
      </w:r>
      <w:r>
        <w:rPr>
          <w:rFonts w:ascii="Times New Roman" w:hAnsi="Times New Roman" w:cs="Times New Roman" w:eastAsia="Times New Roman"/>
          <w:color w:val="7E7B79"/>
          <w:spacing w:val="4"/>
          <w:sz w:val="14"/>
          <w:szCs w:val="14"/>
        </w:rPr>
        <w:t> </w:t>
      </w:r>
      <w:r>
        <w:rPr>
          <w:rFonts w:ascii="Times New Roman" w:hAnsi="Times New Roman" w:cs="Times New Roman" w:eastAsia="Times New Roman"/>
          <w:color w:val="7E7B79"/>
          <w:sz w:val="14"/>
          <w:szCs w:val="14"/>
        </w:rPr>
        <w:t>than</w:t>
      </w:r>
      <w:r>
        <w:rPr>
          <w:rFonts w:ascii="Times New Roman" w:hAnsi="Times New Roman" w:cs="Times New Roman" w:eastAsia="Times New Roman"/>
          <w:color w:val="7E7B79"/>
          <w:spacing w:val="5"/>
          <w:sz w:val="14"/>
          <w:szCs w:val="14"/>
        </w:rPr>
        <w:t> </w:t>
      </w:r>
      <w:r>
        <w:rPr>
          <w:rFonts w:ascii="Arial" w:hAnsi="Arial" w:cs="Arial" w:eastAsia="Arial"/>
          <w:color w:val="6E6B6B"/>
          <w:sz w:val="14"/>
          <w:szCs w:val="14"/>
        </w:rPr>
        <w:t>fOf</w:t>
      </w:r>
      <w:r>
        <w:rPr>
          <w:rFonts w:ascii="Arial" w:hAnsi="Arial" w:cs="Arial" w:eastAsia="Arial"/>
          <w:color w:val="6E6B6B"/>
          <w:spacing w:val="-6"/>
          <w:sz w:val="14"/>
          <w:szCs w:val="14"/>
        </w:rPr>
        <w:t> </w:t>
      </w:r>
      <w:r>
        <w:rPr>
          <w:rFonts w:ascii="Times New Roman" w:hAnsi="Times New Roman" w:cs="Times New Roman" w:eastAsia="Times New Roman"/>
          <w:color w:val="6E6B6B"/>
          <w:sz w:val="14"/>
          <w:szCs w:val="14"/>
        </w:rPr>
        <w:t>o</w:t>
      </w:r>
      <w:r>
        <w:rPr>
          <w:rFonts w:ascii="Times New Roman" w:hAnsi="Times New Roman" w:cs="Times New Roman" w:eastAsia="Times New Roman"/>
          <w:color w:val="6E6B6B"/>
          <w:spacing w:val="-3"/>
          <w:sz w:val="14"/>
          <w:szCs w:val="14"/>
        </w:rPr>
        <w:t>n</w:t>
      </w:r>
      <w:r>
        <w:rPr>
          <w:rFonts w:ascii="Times New Roman" w:hAnsi="Times New Roman" w:cs="Times New Roman" w:eastAsia="Times New Roman"/>
          <w:color w:val="918E8E"/>
          <w:sz w:val="14"/>
          <w:szCs w:val="14"/>
        </w:rPr>
        <w:t>e</w:t>
      </w:r>
      <w:r>
        <w:rPr>
          <w:rFonts w:ascii="Times New Roman" w:hAnsi="Times New Roman" w:cs="Times New Roman" w:eastAsia="Times New Roman"/>
          <w:color w:val="918E8E"/>
          <w:spacing w:val="-20"/>
          <w:sz w:val="14"/>
          <w:szCs w:val="14"/>
        </w:rPr>
        <w:t> </w:t>
      </w:r>
      <w:r>
        <w:rPr>
          <w:rFonts w:ascii="Times New Roman" w:hAnsi="Times New Roman" w:cs="Times New Roman" w:eastAsia="Times New Roman"/>
          <w:color w:val="7E7B79"/>
          <w:sz w:val="14"/>
          <w:szCs w:val="14"/>
        </w:rPr>
        <w:t>rn</w:t>
      </w:r>
      <w:r>
        <w:rPr>
          <w:rFonts w:ascii="Times New Roman" w:hAnsi="Times New Roman" w:cs="Times New Roman" w:eastAsia="Times New Roman"/>
          <w:color w:val="7E7B79"/>
          <w:spacing w:val="1"/>
          <w:sz w:val="14"/>
          <w:szCs w:val="14"/>
        </w:rPr>
        <w:t>u</w:t>
      </w:r>
      <w:r>
        <w:rPr>
          <w:rFonts w:ascii="Times New Roman" w:hAnsi="Times New Roman" w:cs="Times New Roman" w:eastAsia="Times New Roman"/>
          <w:color w:val="565454"/>
          <w:sz w:val="14"/>
          <w:szCs w:val="14"/>
        </w:rPr>
        <w:t>lting</w:t>
      </w:r>
      <w:r>
        <w:rPr>
          <w:rFonts w:ascii="Times New Roman" w:hAnsi="Times New Roman" w:cs="Times New Roman" w:eastAsia="Times New Roman"/>
          <w:color w:val="565454"/>
          <w:spacing w:val="-10"/>
          <w:sz w:val="14"/>
          <w:szCs w:val="14"/>
        </w:rPr>
        <w:t> </w:t>
      </w:r>
      <w:r>
        <w:rPr>
          <w:rFonts w:ascii="Arial" w:hAnsi="Arial" w:cs="Arial" w:eastAsia="Arial"/>
          <w:color w:val="6E6B6B"/>
          <w:sz w:val="13"/>
          <w:szCs w:val="13"/>
        </w:rPr>
        <w:t>from</w:t>
      </w:r>
      <w:r>
        <w:rPr>
          <w:rFonts w:ascii="Arial" w:hAnsi="Arial" w:cs="Arial" w:eastAsia="Arial"/>
          <w:color w:val="6E6B6B"/>
          <w:spacing w:val="-14"/>
          <w:sz w:val="13"/>
          <w:szCs w:val="13"/>
        </w:rPr>
        <w:t> </w:t>
      </w:r>
      <w:r>
        <w:rPr>
          <w:rFonts w:ascii="Times New Roman" w:hAnsi="Times New Roman" w:cs="Times New Roman" w:eastAsia="Times New Roman"/>
          <w:color w:val="7E7B79"/>
          <w:spacing w:val="-9"/>
          <w:sz w:val="14"/>
          <w:szCs w:val="14"/>
        </w:rPr>
        <w:t>e</w:t>
      </w:r>
      <w:r>
        <w:rPr>
          <w:rFonts w:ascii="Times New Roman" w:hAnsi="Times New Roman" w:cs="Times New Roman" w:eastAsia="Times New Roman"/>
          <w:color w:val="565454"/>
          <w:sz w:val="14"/>
          <w:szCs w:val="14"/>
        </w:rPr>
        <w:t>rr</w:t>
      </w:r>
      <w:r>
        <w:rPr>
          <w:rFonts w:ascii="Times New Roman" w:hAnsi="Times New Roman" w:cs="Times New Roman" w:eastAsia="Times New Roman"/>
          <w:color w:val="7E7B79"/>
          <w:sz w:val="14"/>
          <w:szCs w:val="14"/>
        </w:rPr>
        <w:t>0</w:t>
      </w:r>
      <w:r>
        <w:rPr>
          <w:rFonts w:ascii="Times New Roman" w:hAnsi="Times New Roman" w:cs="Times New Roman" w:eastAsia="Times New Roman"/>
          <w:color w:val="7E7B79"/>
          <w:spacing w:val="-17"/>
          <w:sz w:val="14"/>
          <w:szCs w:val="14"/>
        </w:rPr>
        <w:t>t</w:t>
      </w:r>
      <w:r>
        <w:rPr>
          <w:rFonts w:ascii="Times New Roman" w:hAnsi="Times New Roman" w:cs="Times New Roman" w:eastAsia="Times New Roman"/>
          <w:color w:val="7E7B79"/>
          <w:sz w:val="14"/>
          <w:szCs w:val="14"/>
        </w:rPr>
        <w:t>,</w:t>
      </w:r>
      <w:r>
        <w:rPr>
          <w:rFonts w:ascii="Times New Roman" w:hAnsi="Times New Roman" w:cs="Times New Roman" w:eastAsia="Times New Roman"/>
          <w:color w:val="7E7B79"/>
          <w:spacing w:val="-24"/>
          <w:sz w:val="14"/>
          <w:szCs w:val="14"/>
        </w:rPr>
        <w:t> </w:t>
      </w:r>
      <w:r>
        <w:rPr>
          <w:rFonts w:ascii="Times New Roman" w:hAnsi="Times New Roman" w:cs="Times New Roman" w:eastAsia="Times New Roman"/>
          <w:color w:val="7E7B79"/>
          <w:sz w:val="14"/>
          <w:szCs w:val="14"/>
        </w:rPr>
        <w:t>as</w:t>
      </w:r>
      <w:r>
        <w:rPr>
          <w:rFonts w:ascii="Times New Roman" w:hAnsi="Times New Roman" w:cs="Times New Roman" w:eastAsia="Times New Roman"/>
          <w:color w:val="7E7B79"/>
          <w:spacing w:val="-16"/>
          <w:sz w:val="14"/>
          <w:szCs w:val="14"/>
        </w:rPr>
        <w:t> </w:t>
      </w:r>
      <w:r>
        <w:rPr>
          <w:rFonts w:ascii="Times New Roman" w:hAnsi="Times New Roman" w:cs="Times New Roman" w:eastAsia="Times New Roman"/>
          <w:color w:val="6E6B6B"/>
          <w:sz w:val="14"/>
          <w:szCs w:val="14"/>
        </w:rPr>
        <w:t>fT.iud</w:t>
      </w:r>
      <w:r>
        <w:rPr>
          <w:rFonts w:ascii="Times New Roman" w:hAnsi="Times New Roman" w:cs="Times New Roman" w:eastAsia="Times New Roman"/>
          <w:color w:val="6E6B6B"/>
          <w:spacing w:val="4"/>
          <w:sz w:val="14"/>
          <w:szCs w:val="14"/>
        </w:rPr>
        <w:t> </w:t>
      </w:r>
      <w:r>
        <w:rPr>
          <w:rFonts w:ascii="Times New Roman" w:hAnsi="Times New Roman" w:cs="Times New Roman" w:eastAsia="Times New Roman"/>
          <w:color w:val="6E6B6B"/>
          <w:sz w:val="14"/>
          <w:szCs w:val="14"/>
        </w:rPr>
        <w:t>may</w:t>
      </w:r>
      <w:r>
        <w:rPr>
          <w:rFonts w:ascii="Times New Roman" w:hAnsi="Times New Roman" w:cs="Times New Roman" w:eastAsia="Times New Roman"/>
          <w:color w:val="6E6B6B"/>
          <w:spacing w:val="5"/>
          <w:sz w:val="14"/>
          <w:szCs w:val="14"/>
        </w:rPr>
        <w:t> </w:t>
      </w:r>
      <w:r>
        <w:rPr>
          <w:rFonts w:ascii="Arial" w:hAnsi="Arial" w:cs="Arial" w:eastAsia="Arial"/>
          <w:color w:val="7E7B79"/>
          <w:sz w:val="13"/>
          <w:szCs w:val="13"/>
        </w:rPr>
        <w:t>inYQfYe</w:t>
      </w:r>
      <w:r>
        <w:rPr>
          <w:rFonts w:ascii="Arial" w:hAnsi="Arial" w:cs="Arial" w:eastAsia="Arial"/>
          <w:color w:val="7E7B79"/>
          <w:spacing w:val="-13"/>
          <w:sz w:val="13"/>
          <w:szCs w:val="13"/>
        </w:rPr>
        <w:t> </w:t>
      </w:r>
      <w:r>
        <w:rPr>
          <w:rFonts w:ascii="Times New Roman" w:hAnsi="Times New Roman" w:cs="Times New Roman" w:eastAsia="Times New Roman"/>
          <w:color w:val="6E6B6B"/>
          <w:sz w:val="14"/>
          <w:szCs w:val="14"/>
        </w:rPr>
        <w:t>collusion.</w:t>
      </w:r>
      <w:r>
        <w:rPr>
          <w:rFonts w:ascii="Times New Roman" w:hAnsi="Times New Roman" w:cs="Times New Roman" w:eastAsia="Times New Roman"/>
          <w:color w:val="6E6B6B"/>
          <w:spacing w:val="2"/>
          <w:sz w:val="14"/>
          <w:szCs w:val="14"/>
        </w:rPr>
        <w:t> </w:t>
      </w:r>
      <w:r>
        <w:rPr>
          <w:rFonts w:ascii="Times New Roman" w:hAnsi="Times New Roman" w:cs="Times New Roman" w:eastAsia="Times New Roman"/>
          <w:color w:val="6E6B6B"/>
          <w:sz w:val="14"/>
          <w:szCs w:val="14"/>
        </w:rPr>
        <w:t>fOt&amp;cr</w:t>
      </w:r>
      <w:r>
        <w:rPr>
          <w:rFonts w:ascii="Times New Roman" w:hAnsi="Times New Roman" w:cs="Times New Roman" w:eastAsia="Times New Roman"/>
          <w:color w:val="6E6B6B"/>
          <w:spacing w:val="-13"/>
          <w:sz w:val="14"/>
          <w:szCs w:val="14"/>
        </w:rPr>
        <w:t>v</w:t>
      </w:r>
      <w:r>
        <w:rPr>
          <w:rFonts w:ascii="Times New Roman" w:hAnsi="Times New Roman" w:cs="Times New Roman" w:eastAsia="Times New Roman"/>
          <w:color w:val="6E6B6B"/>
          <w:spacing w:val="-10"/>
          <w:sz w:val="14"/>
          <w:szCs w:val="14"/>
        </w:rPr>
        <w:t>.</w:t>
      </w:r>
      <w:r>
        <w:rPr>
          <w:rFonts w:ascii="Times New Roman" w:hAnsi="Times New Roman" w:cs="Times New Roman" w:eastAsia="Times New Roman"/>
          <w:color w:val="6E6B6B"/>
          <w:sz w:val="14"/>
          <w:szCs w:val="14"/>
        </w:rPr>
        <w:t>intentional</w:t>
      </w:r>
      <w:r>
        <w:rPr>
          <w:rFonts w:ascii="Times New Roman" w:hAnsi="Times New Roman" w:cs="Times New Roman" w:eastAsia="Times New Roman"/>
          <w:color w:val="6E6B6B"/>
          <w:w w:val="99"/>
          <w:sz w:val="14"/>
          <w:szCs w:val="14"/>
        </w:rPr>
        <w:t> </w:t>
      </w:r>
      <w:r>
        <w:rPr>
          <w:rFonts w:ascii="Times New Roman" w:hAnsi="Times New Roman" w:cs="Times New Roman" w:eastAsia="Times New Roman"/>
          <w:color w:val="6E6B6B"/>
          <w:sz w:val="14"/>
          <w:szCs w:val="14"/>
        </w:rPr>
        <w:t>o</w:t>
      </w:r>
      <w:r>
        <w:rPr>
          <w:rFonts w:ascii="Times New Roman" w:hAnsi="Times New Roman" w:cs="Times New Roman" w:eastAsia="Times New Roman"/>
          <w:color w:val="6E6B6B"/>
          <w:spacing w:val="-4"/>
          <w:sz w:val="14"/>
          <w:szCs w:val="14"/>
        </w:rPr>
        <w:t>m</w:t>
      </w:r>
      <w:r>
        <w:rPr>
          <w:rFonts w:ascii="Times New Roman" w:hAnsi="Times New Roman" w:cs="Times New Roman" w:eastAsia="Times New Roman"/>
          <w:color w:val="918E8E"/>
          <w:sz w:val="14"/>
          <w:szCs w:val="14"/>
        </w:rPr>
        <w:t>is</w:t>
      </w:r>
      <w:r>
        <w:rPr>
          <w:rFonts w:ascii="Times New Roman" w:hAnsi="Times New Roman" w:cs="Times New Roman" w:eastAsia="Times New Roman"/>
          <w:color w:val="918E8E"/>
          <w:spacing w:val="-7"/>
          <w:sz w:val="14"/>
          <w:szCs w:val="14"/>
        </w:rPr>
        <w:t>s</w:t>
      </w:r>
      <w:r>
        <w:rPr>
          <w:rFonts w:ascii="Times New Roman" w:hAnsi="Times New Roman" w:cs="Times New Roman" w:eastAsia="Times New Roman"/>
          <w:color w:val="6E6B6B"/>
          <w:sz w:val="14"/>
          <w:szCs w:val="14"/>
        </w:rPr>
        <w:t>ion</w:t>
      </w:r>
      <w:r>
        <w:rPr>
          <w:rFonts w:ascii="Times New Roman" w:hAnsi="Times New Roman" w:cs="Times New Roman" w:eastAsia="Times New Roman"/>
          <w:color w:val="6E6B6B"/>
          <w:spacing w:val="-20"/>
          <w:sz w:val="14"/>
          <w:szCs w:val="14"/>
        </w:rPr>
        <w:t>s</w:t>
      </w:r>
      <w:r>
        <w:rPr>
          <w:rFonts w:ascii="Times New Roman" w:hAnsi="Times New Roman" w:cs="Times New Roman" w:eastAsia="Times New Roman"/>
          <w:color w:val="6E6B6B"/>
          <w:spacing w:val="-10"/>
          <w:sz w:val="14"/>
          <w:szCs w:val="14"/>
        </w:rPr>
        <w:t>.</w:t>
      </w:r>
      <w:r>
        <w:rPr>
          <w:rFonts w:ascii="Times New Roman" w:hAnsi="Times New Roman" w:cs="Times New Roman" w:eastAsia="Times New Roman"/>
          <w:color w:val="6E6B6B"/>
          <w:sz w:val="14"/>
          <w:szCs w:val="14"/>
        </w:rPr>
        <w:t>mlsrepre:sentadotls,    </w:t>
      </w:r>
      <w:r>
        <w:rPr>
          <w:rFonts w:ascii="Times New Roman" w:hAnsi="Times New Roman" w:cs="Times New Roman" w:eastAsia="Times New Roman"/>
          <w:color w:val="6E6B6B"/>
          <w:spacing w:val="16"/>
          <w:sz w:val="14"/>
          <w:szCs w:val="14"/>
        </w:rPr>
        <w:t> </w:t>
      </w:r>
      <w:r>
        <w:rPr>
          <w:rFonts w:ascii="Times New Roman" w:hAnsi="Times New Roman" w:cs="Times New Roman" w:eastAsia="Times New Roman"/>
          <w:color w:val="6E6B6B"/>
          <w:sz w:val="14"/>
          <w:szCs w:val="14"/>
        </w:rPr>
        <w:t>°</w:t>
      </w:r>
      <w:r>
        <w:rPr>
          <w:rFonts w:ascii="Times New Roman" w:hAnsi="Times New Roman" w:cs="Times New Roman" w:eastAsia="Times New Roman"/>
          <w:color w:val="6E6B6B"/>
          <w:spacing w:val="3"/>
          <w:sz w:val="14"/>
          <w:szCs w:val="14"/>
        </w:rPr>
        <w:t>'</w:t>
      </w:r>
      <w:r>
        <w:rPr>
          <w:rFonts w:ascii="Times New Roman" w:hAnsi="Times New Roman" w:cs="Times New Roman" w:eastAsia="Times New Roman"/>
          <w:color w:val="6E6B6B"/>
          <w:sz w:val="14"/>
          <w:szCs w:val="14"/>
        </w:rPr>
        <w:t>tl\</w:t>
      </w:r>
      <w:r>
        <w:rPr>
          <w:rFonts w:ascii="Times New Roman" w:hAnsi="Times New Roman" w:cs="Times New Roman" w:eastAsia="Times New Roman"/>
          <w:color w:val="6E6B6B"/>
          <w:spacing w:val="11"/>
          <w:sz w:val="14"/>
          <w:szCs w:val="14"/>
        </w:rPr>
        <w:t>e</w:t>
      </w:r>
      <w:r>
        <w:rPr>
          <w:rFonts w:ascii="Times New Roman" w:hAnsi="Times New Roman" w:cs="Times New Roman" w:eastAsia="Times New Roman"/>
          <w:color w:val="7E7B79"/>
          <w:sz w:val="14"/>
          <w:szCs w:val="14"/>
        </w:rPr>
        <w:t>own</w:t>
      </w:r>
      <w:r>
        <w:rPr>
          <w:rFonts w:ascii="Times New Roman" w:hAnsi="Times New Roman" w:cs="Times New Roman" w:eastAsia="Times New Roman"/>
          <w:color w:val="7E7B79"/>
          <w:spacing w:val="-19"/>
          <w:sz w:val="14"/>
          <w:szCs w:val="14"/>
        </w:rPr>
        <w:t>1</w:t>
      </w:r>
      <w:r>
        <w:rPr>
          <w:rFonts w:ascii="Times New Roman" w:hAnsi="Times New Roman" w:cs="Times New Roman" w:eastAsia="Times New Roman"/>
          <w:color w:val="7E7B79"/>
          <w:sz w:val="14"/>
          <w:szCs w:val="14"/>
        </w:rPr>
        <w:t>d</w:t>
      </w:r>
      <w:r>
        <w:rPr>
          <w:rFonts w:ascii="Times New Roman" w:hAnsi="Times New Roman" w:cs="Times New Roman" w:eastAsia="Times New Roman"/>
          <w:color w:val="7E7B79"/>
          <w:spacing w:val="5"/>
          <w:sz w:val="14"/>
          <w:szCs w:val="14"/>
        </w:rPr>
        <w:t>e</w:t>
      </w:r>
      <w:r>
        <w:rPr>
          <w:rFonts w:ascii="Arial" w:hAnsi="Arial" w:cs="Arial" w:eastAsia="Arial"/>
          <w:color w:val="6E6B6B"/>
          <w:sz w:val="13"/>
          <w:szCs w:val="13"/>
        </w:rPr>
        <w:t>o</w:t>
      </w:r>
      <w:r>
        <w:rPr>
          <w:rFonts w:ascii="Arial" w:hAnsi="Arial" w:cs="Arial" w:eastAsia="Arial"/>
          <w:color w:val="6E6B6B"/>
          <w:spacing w:val="-3"/>
          <w:sz w:val="13"/>
          <w:szCs w:val="13"/>
        </w:rPr>
        <w:t>l</w:t>
      </w:r>
      <w:r>
        <w:rPr>
          <w:rFonts w:ascii="Arial" w:hAnsi="Arial" w:cs="Arial" w:eastAsia="Arial"/>
          <w:color w:val="7E7B79"/>
          <w:sz w:val="13"/>
          <w:szCs w:val="13"/>
        </w:rPr>
        <w:t>lrlttmal </w:t>
      </w:r>
      <w:r>
        <w:rPr>
          <w:rFonts w:ascii="Arial" w:hAnsi="Arial" w:cs="Arial" w:eastAsia="Arial"/>
          <w:color w:val="7E7B79"/>
          <w:spacing w:val="1"/>
          <w:sz w:val="13"/>
          <w:szCs w:val="13"/>
        </w:rPr>
        <w:t> </w:t>
      </w:r>
      <w:r>
        <w:rPr>
          <w:rFonts w:ascii="Times New Roman" w:hAnsi="Times New Roman" w:cs="Times New Roman" w:eastAsia="Times New Roman"/>
          <w:color w:val="7E7B79"/>
          <w:sz w:val="14"/>
          <w:szCs w:val="14"/>
        </w:rPr>
        <w:t>control.</w:t>
      </w:r>
      <w:r>
        <w:rPr>
          <w:rFonts w:ascii="Times New Roman" w:hAnsi="Times New Roman" w:cs="Times New Roman" w:eastAsia="Times New Roman"/>
          <w:sz w:val="14"/>
          <w:szCs w:val="14"/>
        </w:rPr>
      </w:r>
    </w:p>
    <w:p>
      <w:pPr>
        <w:spacing w:line="246" w:lineRule="auto" w:before="12"/>
        <w:ind w:left="1254" w:right="1166" w:firstLine="0"/>
        <w:jc w:val="both"/>
        <w:rPr>
          <w:rFonts w:ascii="Times New Roman" w:hAnsi="Times New Roman" w:cs="Times New Roman" w:eastAsia="Times New Roman"/>
          <w:sz w:val="14"/>
          <w:szCs w:val="14"/>
        </w:rPr>
      </w:pPr>
      <w:r>
        <w:rPr>
          <w:rFonts w:ascii="Times New Roman"/>
          <w:color w:val="6E6B6B"/>
          <w:sz w:val="14"/>
        </w:rPr>
        <w:t>Obtain</w:t>
      </w:r>
      <w:r>
        <w:rPr>
          <w:rFonts w:ascii="Times New Roman"/>
          <w:color w:val="6E6B6B"/>
          <w:spacing w:val="-15"/>
          <w:sz w:val="14"/>
        </w:rPr>
        <w:t> </w:t>
      </w:r>
      <w:r>
        <w:rPr>
          <w:rFonts w:ascii="Times New Roman"/>
          <w:color w:val="7E7B79"/>
          <w:w w:val="115"/>
          <w:sz w:val="11"/>
        </w:rPr>
        <w:t>at1</w:t>
      </w:r>
      <w:r>
        <w:rPr>
          <w:rFonts w:ascii="Times New Roman"/>
          <w:color w:val="7E7B79"/>
          <w:spacing w:val="-25"/>
          <w:w w:val="115"/>
          <w:sz w:val="11"/>
        </w:rPr>
        <w:t> </w:t>
      </w:r>
      <w:r>
        <w:rPr>
          <w:rFonts w:ascii="Times New Roman"/>
          <w:color w:val="6E6B6B"/>
          <w:sz w:val="14"/>
        </w:rPr>
        <w:t>unclerstandlna</w:t>
      </w:r>
      <w:r>
        <w:rPr>
          <w:rFonts w:ascii="Times New Roman"/>
          <w:color w:val="6E6B6B"/>
          <w:spacing w:val="6"/>
          <w:sz w:val="14"/>
        </w:rPr>
        <w:t> </w:t>
      </w:r>
      <w:r>
        <w:rPr>
          <w:rFonts w:ascii="Arial"/>
          <w:color w:val="6E6B6B"/>
          <w:sz w:val="13"/>
        </w:rPr>
        <w:t>of</w:t>
      </w:r>
      <w:r>
        <w:rPr>
          <w:rFonts w:ascii="Arial"/>
          <w:color w:val="6E6B6B"/>
          <w:spacing w:val="-14"/>
          <w:sz w:val="13"/>
        </w:rPr>
        <w:t> </w:t>
      </w:r>
      <w:r>
        <w:rPr>
          <w:rFonts w:ascii="Arial"/>
          <w:color w:val="7E7B79"/>
          <w:sz w:val="13"/>
        </w:rPr>
        <w:t>ln</w:t>
      </w:r>
      <w:r>
        <w:rPr>
          <w:rFonts w:ascii="Arial"/>
          <w:color w:val="7E7B79"/>
          <w:spacing w:val="-20"/>
          <w:sz w:val="13"/>
        </w:rPr>
        <w:t>t</w:t>
      </w:r>
      <w:r>
        <w:rPr>
          <w:rFonts w:ascii="Arial"/>
          <w:color w:val="7E7B79"/>
          <w:sz w:val="13"/>
        </w:rPr>
        <w:t>ernat</w:t>
      </w:r>
      <w:r>
        <w:rPr>
          <w:rFonts w:ascii="Arial"/>
          <w:color w:val="7E7B79"/>
          <w:spacing w:val="-16"/>
          <w:sz w:val="13"/>
        </w:rPr>
        <w:t> </w:t>
      </w:r>
      <w:r>
        <w:rPr>
          <w:rFonts w:ascii="Times New Roman"/>
          <w:color w:val="6E6B6B"/>
          <w:sz w:val="14"/>
        </w:rPr>
        <w:t>control</w:t>
      </w:r>
      <w:r>
        <w:rPr>
          <w:rFonts w:ascii="Times New Roman"/>
          <w:color w:val="6E6B6B"/>
          <w:spacing w:val="-6"/>
          <w:sz w:val="14"/>
        </w:rPr>
        <w:t> </w:t>
      </w:r>
      <w:r>
        <w:rPr>
          <w:rFonts w:ascii="Times New Roman"/>
          <w:color w:val="6E6B6B"/>
          <w:sz w:val="14"/>
        </w:rPr>
        <w:t>relevant</w:t>
      </w:r>
      <w:r>
        <w:rPr>
          <w:rFonts w:ascii="Times New Roman"/>
          <w:color w:val="6E6B6B"/>
          <w:spacing w:val="-8"/>
          <w:sz w:val="14"/>
        </w:rPr>
        <w:t> </w:t>
      </w:r>
      <w:r>
        <w:rPr>
          <w:rFonts w:ascii="Times New Roman"/>
          <w:color w:val="6E6B6B"/>
          <w:w w:val="115"/>
          <w:sz w:val="14"/>
        </w:rPr>
        <w:t>to</w:t>
      </w:r>
      <w:r>
        <w:rPr>
          <w:rFonts w:ascii="Times New Roman"/>
          <w:color w:val="6E6B6B"/>
          <w:spacing w:val="-14"/>
          <w:w w:val="115"/>
          <w:sz w:val="14"/>
        </w:rPr>
        <w:t> </w:t>
      </w:r>
      <w:r>
        <w:rPr>
          <w:rFonts w:ascii="Times New Roman"/>
          <w:color w:val="7E7B79"/>
          <w:sz w:val="13"/>
        </w:rPr>
        <w:t>th4</w:t>
      </w:r>
      <w:r>
        <w:rPr>
          <w:rFonts w:ascii="Times New Roman"/>
          <w:color w:val="7E7B79"/>
          <w:spacing w:val="-5"/>
          <w:sz w:val="13"/>
        </w:rPr>
        <w:t> </w:t>
      </w:r>
      <w:r>
        <w:rPr>
          <w:rFonts w:ascii="Times New Roman"/>
          <w:color w:val="6E6B6B"/>
          <w:spacing w:val="-9"/>
          <w:w w:val="185"/>
          <w:sz w:val="14"/>
        </w:rPr>
        <w:t>a</w:t>
      </w:r>
      <w:r>
        <w:rPr>
          <w:rFonts w:ascii="Times New Roman"/>
          <w:color w:val="6E6B6B"/>
          <w:w w:val="185"/>
          <w:sz w:val="14"/>
        </w:rPr>
        <w:t>it</w:t>
      </w:r>
      <w:r>
        <w:rPr>
          <w:rFonts w:ascii="Times New Roman"/>
          <w:color w:val="6E6B6B"/>
          <w:spacing w:val="-47"/>
          <w:w w:val="185"/>
          <w:sz w:val="14"/>
        </w:rPr>
        <w:t> </w:t>
      </w:r>
      <w:r>
        <w:rPr>
          <w:rFonts w:ascii="Arial"/>
          <w:color w:val="7E7B79"/>
          <w:sz w:val="13"/>
        </w:rPr>
        <w:t>fn</w:t>
      </w:r>
      <w:r>
        <w:rPr>
          <w:rFonts w:ascii="Arial"/>
          <w:color w:val="7E7B79"/>
          <w:spacing w:val="-13"/>
          <w:sz w:val="13"/>
        </w:rPr>
        <w:t> </w:t>
      </w:r>
      <w:r>
        <w:rPr>
          <w:rFonts w:ascii="Times New Roman"/>
          <w:color w:val="6E6B6B"/>
          <w:sz w:val="14"/>
        </w:rPr>
        <w:t>order</w:t>
      </w:r>
      <w:r>
        <w:rPr>
          <w:rFonts w:ascii="Times New Roman"/>
          <w:color w:val="6E6B6B"/>
          <w:spacing w:val="-14"/>
          <w:sz w:val="14"/>
        </w:rPr>
        <w:t> </w:t>
      </w:r>
      <w:r>
        <w:rPr>
          <w:rFonts w:ascii="Times New Roman"/>
          <w:color w:val="7E7B79"/>
          <w:w w:val="115"/>
          <w:sz w:val="14"/>
        </w:rPr>
        <w:t>to</w:t>
      </w:r>
      <w:r>
        <w:rPr>
          <w:rFonts w:ascii="Times New Roman"/>
          <w:color w:val="7E7B79"/>
          <w:spacing w:val="-24"/>
          <w:w w:val="115"/>
          <w:sz w:val="14"/>
        </w:rPr>
        <w:t> </w:t>
      </w:r>
      <w:r>
        <w:rPr>
          <w:rFonts w:ascii="Times New Roman"/>
          <w:color w:val="6E6B6B"/>
          <w:sz w:val="14"/>
        </w:rPr>
        <w:t>clt:SJcn</w:t>
      </w:r>
      <w:r>
        <w:rPr>
          <w:rFonts w:ascii="Times New Roman"/>
          <w:color w:val="6E6B6B"/>
          <w:spacing w:val="-12"/>
          <w:sz w:val="14"/>
        </w:rPr>
        <w:t> </w:t>
      </w:r>
      <w:r>
        <w:rPr>
          <w:rFonts w:ascii="Times New Roman"/>
          <w:color w:val="7E7B79"/>
          <w:sz w:val="14"/>
        </w:rPr>
        <w:t>01\IC</w:t>
      </w:r>
      <w:r>
        <w:rPr>
          <w:rFonts w:ascii="Times New Roman"/>
          <w:color w:val="7E7B79"/>
          <w:spacing w:val="-46"/>
          <w:sz w:val="14"/>
        </w:rPr>
        <w:t>f</w:t>
      </w:r>
      <w:r>
        <w:rPr>
          <w:rFonts w:ascii="Times New Roman"/>
          <w:color w:val="7E7B79"/>
          <w:sz w:val="14"/>
        </w:rPr>
        <w:t>l\</w:t>
      </w:r>
      <w:r>
        <w:rPr>
          <w:rFonts w:ascii="Times New Roman"/>
          <w:color w:val="7E7B79"/>
          <w:spacing w:val="-18"/>
          <w:sz w:val="14"/>
        </w:rPr>
        <w:t> </w:t>
      </w:r>
      <w:r>
        <w:rPr>
          <w:rFonts w:ascii="Times New Roman"/>
          <w:color w:val="7E7B79"/>
          <w:sz w:val="14"/>
        </w:rPr>
        <w:t>procedures</w:t>
      </w:r>
      <w:r>
        <w:rPr>
          <w:rFonts w:ascii="Times New Roman"/>
          <w:color w:val="7E7B79"/>
          <w:spacing w:val="-10"/>
          <w:sz w:val="14"/>
        </w:rPr>
        <w:t> </w:t>
      </w:r>
      <w:r>
        <w:rPr>
          <w:rFonts w:ascii="Times New Roman"/>
          <w:color w:val="6E6B6B"/>
          <w:sz w:val="14"/>
        </w:rPr>
        <w:t>that</w:t>
      </w:r>
      <w:r>
        <w:rPr>
          <w:rFonts w:ascii="Times New Roman"/>
          <w:color w:val="6E6B6B"/>
          <w:w w:val="107"/>
          <w:sz w:val="14"/>
        </w:rPr>
        <w:t> </w:t>
      </w:r>
      <w:r>
        <w:rPr>
          <w:rFonts w:ascii="Times New Roman"/>
          <w:color w:val="6E6B6B"/>
          <w:w w:val="115"/>
          <w:sz w:val="14"/>
        </w:rPr>
        <w:t>att</w:t>
      </w:r>
      <w:r>
        <w:rPr>
          <w:rFonts w:ascii="Times New Roman"/>
          <w:color w:val="6E6B6B"/>
          <w:spacing w:val="-26"/>
          <w:w w:val="115"/>
          <w:sz w:val="14"/>
        </w:rPr>
        <w:t> </w:t>
      </w:r>
      <w:r>
        <w:rPr>
          <w:rFonts w:ascii="Times New Roman"/>
          <w:color w:val="7E7B79"/>
          <w:sz w:val="14"/>
        </w:rPr>
        <w:t>approprla'le</w:t>
      </w:r>
      <w:r>
        <w:rPr>
          <w:rFonts w:ascii="Times New Roman"/>
          <w:color w:val="7E7B79"/>
          <w:spacing w:val="-23"/>
          <w:sz w:val="14"/>
        </w:rPr>
        <w:t> </w:t>
      </w:r>
      <w:r>
        <w:rPr>
          <w:rFonts w:ascii="Arial"/>
          <w:color w:val="7E7B79"/>
          <w:w w:val="115"/>
          <w:sz w:val="12"/>
        </w:rPr>
        <w:t>ir\</w:t>
      </w:r>
      <w:r>
        <w:rPr>
          <w:rFonts w:ascii="Arial"/>
          <w:color w:val="7E7B79"/>
          <w:spacing w:val="-25"/>
          <w:w w:val="115"/>
          <w:sz w:val="12"/>
        </w:rPr>
        <w:t> </w:t>
      </w:r>
      <w:r>
        <w:rPr>
          <w:rFonts w:ascii="Times New Roman"/>
          <w:color w:val="6E6B6B"/>
          <w:sz w:val="14"/>
        </w:rPr>
        <w:t>tl\e</w:t>
      </w:r>
      <w:r>
        <w:rPr>
          <w:rFonts w:ascii="Times New Roman"/>
          <w:color w:val="7E7B79"/>
          <w:sz w:val="14"/>
        </w:rPr>
        <w:t>d'tt.W'l'lstances.</w:t>
      </w:r>
      <w:r>
        <w:rPr>
          <w:rFonts w:ascii="Times New Roman"/>
          <w:color w:val="7E7B79"/>
          <w:spacing w:val="-21"/>
          <w:sz w:val="14"/>
        </w:rPr>
        <w:t> </w:t>
      </w:r>
      <w:r>
        <w:rPr>
          <w:rFonts w:ascii="Arial"/>
          <w:color w:val="6E6B6B"/>
          <w:w w:val="115"/>
          <w:sz w:val="12"/>
        </w:rPr>
        <w:t>but</w:t>
      </w:r>
      <w:r>
        <w:rPr>
          <w:rFonts w:ascii="Arial"/>
          <w:color w:val="6E6B6B"/>
          <w:spacing w:val="-26"/>
          <w:w w:val="115"/>
          <w:sz w:val="12"/>
        </w:rPr>
        <w:t> </w:t>
      </w:r>
      <w:r>
        <w:rPr>
          <w:rFonts w:ascii="Times New Roman"/>
          <w:color w:val="6E6B6B"/>
          <w:w w:val="115"/>
          <w:sz w:val="11"/>
        </w:rPr>
        <w:t>rt0t</w:t>
      </w:r>
      <w:r>
        <w:rPr>
          <w:rFonts w:ascii="Times New Roman"/>
          <w:color w:val="6E6B6B"/>
          <w:spacing w:val="-12"/>
          <w:w w:val="115"/>
          <w:sz w:val="11"/>
        </w:rPr>
        <w:t> </w:t>
      </w:r>
      <w:r>
        <w:rPr>
          <w:rFonts w:ascii="Arial"/>
          <w:color w:val="6E6B6B"/>
          <w:w w:val="115"/>
          <w:sz w:val="12"/>
        </w:rPr>
        <w:t>for</w:t>
      </w:r>
      <w:r>
        <w:rPr>
          <w:rFonts w:ascii="Arial"/>
          <w:color w:val="6E6B6B"/>
          <w:spacing w:val="-20"/>
          <w:w w:val="115"/>
          <w:sz w:val="12"/>
        </w:rPr>
        <w:t> </w:t>
      </w:r>
      <w:r>
        <w:rPr>
          <w:rFonts w:ascii="Times New Roman"/>
          <w:color w:val="6E6B6B"/>
          <w:w w:val="115"/>
          <w:sz w:val="14"/>
        </w:rPr>
        <w:t>the</w:t>
      </w:r>
      <w:r>
        <w:rPr>
          <w:rFonts w:ascii="Times New Roman"/>
          <w:color w:val="6E6B6B"/>
          <w:spacing w:val="-24"/>
          <w:w w:val="115"/>
          <w:sz w:val="14"/>
        </w:rPr>
        <w:t> </w:t>
      </w:r>
      <w:r>
        <w:rPr>
          <w:rFonts w:ascii="Times New Roman"/>
          <w:color w:val="6E6B6B"/>
          <w:sz w:val="14"/>
        </w:rPr>
        <w:t>purpose</w:t>
      </w:r>
      <w:r>
        <w:rPr>
          <w:rFonts w:ascii="Times New Roman"/>
          <w:color w:val="6E6B6B"/>
          <w:spacing w:val="-15"/>
          <w:sz w:val="14"/>
        </w:rPr>
        <w:t> </w:t>
      </w:r>
      <w:r>
        <w:rPr>
          <w:rFonts w:ascii="Arial"/>
          <w:color w:val="7E7B79"/>
          <w:w w:val="115"/>
          <w:sz w:val="13"/>
        </w:rPr>
        <w:t>of</w:t>
      </w:r>
      <w:r>
        <w:rPr>
          <w:rFonts w:ascii="Arial"/>
          <w:color w:val="7E7B79"/>
          <w:spacing w:val="-31"/>
          <w:w w:val="115"/>
          <w:sz w:val="13"/>
        </w:rPr>
        <w:t> </w:t>
      </w:r>
      <w:r>
        <w:rPr>
          <w:rFonts w:ascii="Times New Roman"/>
          <w:color w:val="7E7B79"/>
          <w:spacing w:val="-1"/>
          <w:sz w:val="14"/>
        </w:rPr>
        <w:t>e</w:t>
      </w:r>
      <w:r>
        <w:rPr>
          <w:rFonts w:ascii="Times New Roman"/>
          <w:color w:val="7E7B79"/>
          <w:spacing w:val="-2"/>
          <w:sz w:val="14"/>
        </w:rPr>
        <w:t>11preui"8</w:t>
      </w:r>
      <w:r>
        <w:rPr>
          <w:rFonts w:ascii="Times New Roman"/>
          <w:color w:val="7E7B79"/>
          <w:spacing w:val="-1"/>
          <w:sz w:val="14"/>
        </w:rPr>
        <w:t>an</w:t>
      </w:r>
      <w:r>
        <w:rPr>
          <w:rFonts w:ascii="Times New Roman"/>
          <w:color w:val="7E7B79"/>
          <w:spacing w:val="-20"/>
          <w:sz w:val="14"/>
        </w:rPr>
        <w:t> </w:t>
      </w:r>
      <w:r>
        <w:rPr>
          <w:rFonts w:ascii="Times New Roman"/>
          <w:color w:val="6E6B6B"/>
          <w:sz w:val="14"/>
        </w:rPr>
        <w:t>opinion</w:t>
      </w:r>
      <w:r>
        <w:rPr>
          <w:rFonts w:ascii="Times New Roman"/>
          <w:color w:val="6E6B6B"/>
          <w:spacing w:val="-16"/>
          <w:sz w:val="14"/>
        </w:rPr>
        <w:t> </w:t>
      </w:r>
      <w:r>
        <w:rPr>
          <w:rFonts w:ascii="Times New Roman"/>
          <w:color w:val="6E6B6B"/>
          <w:sz w:val="14"/>
        </w:rPr>
        <w:t>on</w:t>
      </w:r>
      <w:r>
        <w:rPr>
          <w:rFonts w:ascii="Times New Roman"/>
          <w:color w:val="6E6B6B"/>
          <w:spacing w:val="-20"/>
          <w:sz w:val="14"/>
        </w:rPr>
        <w:t> </w:t>
      </w:r>
      <w:r>
        <w:rPr>
          <w:rFonts w:ascii="Times New Roman"/>
          <w:color w:val="6E6B6B"/>
          <w:w w:val="115"/>
          <w:sz w:val="14"/>
        </w:rPr>
        <w:t>the</w:t>
      </w:r>
      <w:r>
        <w:rPr>
          <w:rFonts w:ascii="Times New Roman"/>
          <w:color w:val="6E6B6B"/>
          <w:spacing w:val="-24"/>
          <w:w w:val="115"/>
          <w:sz w:val="14"/>
        </w:rPr>
        <w:t> </w:t>
      </w:r>
      <w:r>
        <w:rPr>
          <w:rFonts w:ascii="Times New Roman"/>
          <w:color w:val="7E7B79"/>
          <w:sz w:val="14"/>
        </w:rPr>
        <w:t>tfft&lt;t1\fe,iwss</w:t>
      </w:r>
      <w:r>
        <w:rPr>
          <w:rFonts w:ascii="Times New Roman"/>
          <w:color w:val="7E7B79"/>
          <w:spacing w:val="21"/>
          <w:w w:val="89"/>
          <w:sz w:val="14"/>
        </w:rPr>
        <w:t> </w:t>
      </w:r>
      <w:r>
        <w:rPr>
          <w:rFonts w:ascii="Arial"/>
          <w:color w:val="6E6B6B"/>
          <w:sz w:val="14"/>
        </w:rPr>
        <w:t>of</w:t>
      </w:r>
      <w:r>
        <w:rPr>
          <w:rFonts w:ascii="Arial"/>
          <w:color w:val="6E6B6B"/>
          <w:spacing w:val="-5"/>
          <w:sz w:val="14"/>
        </w:rPr>
        <w:t> </w:t>
      </w:r>
      <w:r>
        <w:rPr>
          <w:rFonts w:ascii="Times New Roman"/>
          <w:color w:val="6E6B6B"/>
          <w:sz w:val="14"/>
        </w:rPr>
        <w:t>the</w:t>
      </w:r>
      <w:r>
        <w:rPr>
          <w:rFonts w:ascii="Times New Roman"/>
          <w:color w:val="7E7B79"/>
          <w:sz w:val="14"/>
        </w:rPr>
        <w:t>Coc'npan(s</w:t>
      </w:r>
      <w:r>
        <w:rPr>
          <w:rFonts w:ascii="Times New Roman"/>
          <w:color w:val="6E6B6B"/>
          <w:sz w:val="14"/>
        </w:rPr>
        <w:t>lntemal</w:t>
      </w:r>
      <w:r>
        <w:rPr>
          <w:rFonts w:ascii="Times New Roman"/>
          <w:color w:val="6E6B6B"/>
          <w:spacing w:val="-1"/>
          <w:sz w:val="14"/>
        </w:rPr>
        <w:t> </w:t>
      </w:r>
      <w:r>
        <w:rPr>
          <w:rFonts w:ascii="Times New Roman"/>
          <w:color w:val="7E7B79"/>
          <w:sz w:val="14"/>
        </w:rPr>
        <w:t>control.</w:t>
      </w:r>
      <w:r>
        <w:rPr>
          <w:rFonts w:ascii="Times New Roman"/>
          <w:sz w:val="14"/>
        </w:rPr>
      </w:r>
    </w:p>
    <w:p>
      <w:pPr>
        <w:spacing w:line="158" w:lineRule="exact" w:before="12"/>
        <w:ind w:left="1254" w:right="1160" w:firstLine="0"/>
        <w:jc w:val="both"/>
        <w:rPr>
          <w:rFonts w:ascii="Times New Roman" w:hAnsi="Times New Roman" w:cs="Times New Roman" w:eastAsia="Times New Roman"/>
          <w:sz w:val="14"/>
          <w:szCs w:val="14"/>
        </w:rPr>
      </w:pPr>
      <w:r>
        <w:rPr>
          <w:rFonts w:ascii="Times New Roman" w:hAnsi="Times New Roman" w:cs="Times New Roman" w:eastAsia="Times New Roman"/>
          <w:color w:val="6E6B6B"/>
          <w:spacing w:val="-7"/>
          <w:w w:val="130"/>
          <w:sz w:val="14"/>
          <w:szCs w:val="14"/>
        </w:rPr>
        <w:t>h</w:t>
      </w:r>
      <w:r>
        <w:rPr>
          <w:rFonts w:ascii="Times New Roman" w:hAnsi="Times New Roman" w:cs="Times New Roman" w:eastAsia="Times New Roman"/>
          <w:color w:val="6E6B6B"/>
          <w:spacing w:val="-15"/>
          <w:w w:val="130"/>
          <w:sz w:val="14"/>
          <w:szCs w:val="14"/>
        </w:rPr>
        <w:t>•</w:t>
      </w:r>
      <w:r>
        <w:rPr>
          <w:rFonts w:ascii="Times New Roman" w:hAnsi="Times New Roman" w:cs="Times New Roman" w:eastAsia="Times New Roman"/>
          <w:color w:val="6E6B6B"/>
          <w:spacing w:val="-7"/>
          <w:w w:val="130"/>
          <w:sz w:val="14"/>
          <w:szCs w:val="14"/>
        </w:rPr>
        <w:t>alu</w:t>
      </w:r>
      <w:r>
        <w:rPr>
          <w:rFonts w:ascii="Times New Roman" w:hAnsi="Times New Roman" w:cs="Times New Roman" w:eastAsia="Times New Roman"/>
          <w:color w:val="6E6B6B"/>
          <w:spacing w:val="-9"/>
          <w:w w:val="130"/>
          <w:sz w:val="14"/>
          <w:szCs w:val="14"/>
        </w:rPr>
        <w:t>e</w:t>
      </w:r>
      <w:r>
        <w:rPr>
          <w:rFonts w:ascii="Times New Roman" w:hAnsi="Times New Roman" w:cs="Times New Roman" w:eastAsia="Times New Roman"/>
          <w:color w:val="6E6B6B"/>
          <w:spacing w:val="-24"/>
          <w:w w:val="130"/>
          <w:sz w:val="14"/>
          <w:szCs w:val="14"/>
        </w:rPr>
        <w:t> </w:t>
      </w:r>
      <w:r>
        <w:rPr>
          <w:rFonts w:ascii="Times New Roman" w:hAnsi="Times New Roman" w:cs="Times New Roman" w:eastAsia="Times New Roman"/>
          <w:color w:val="6E6B6B"/>
          <w:sz w:val="14"/>
          <w:szCs w:val="14"/>
        </w:rPr>
        <w:t>the </w:t>
      </w:r>
      <w:r>
        <w:rPr>
          <w:rFonts w:ascii="Times New Roman" w:hAnsi="Times New Roman" w:cs="Times New Roman" w:eastAsia="Times New Roman"/>
          <w:color w:val="7E7B79"/>
          <w:w w:val="130"/>
          <w:sz w:val="14"/>
          <w:szCs w:val="14"/>
        </w:rPr>
        <w:t>appropriate»</w:t>
      </w:r>
      <w:r>
        <w:rPr>
          <w:rFonts w:ascii="Times New Roman" w:hAnsi="Times New Roman" w:cs="Times New Roman" w:eastAsia="Times New Roman"/>
          <w:color w:val="7E7B79"/>
          <w:spacing w:val="-22"/>
          <w:w w:val="130"/>
          <w:sz w:val="14"/>
          <w:szCs w:val="14"/>
        </w:rPr>
        <w:t> </w:t>
      </w:r>
      <w:r>
        <w:rPr>
          <w:rFonts w:ascii="Times New Roman" w:hAnsi="Times New Roman" w:cs="Times New Roman" w:eastAsia="Times New Roman"/>
          <w:color w:val="7E7B79"/>
          <w:spacing w:val="-5"/>
          <w:sz w:val="14"/>
          <w:szCs w:val="14"/>
        </w:rPr>
        <w:t>o</w:t>
      </w:r>
      <w:r>
        <w:rPr>
          <w:rFonts w:ascii="Times New Roman" w:hAnsi="Times New Roman" w:cs="Times New Roman" w:eastAsia="Times New Roman"/>
          <w:color w:val="565454"/>
          <w:spacing w:val="-10"/>
          <w:sz w:val="14"/>
          <w:szCs w:val="14"/>
        </w:rPr>
        <w:t>f</w:t>
      </w:r>
      <w:r>
        <w:rPr>
          <w:rFonts w:ascii="Times New Roman" w:hAnsi="Times New Roman" w:cs="Times New Roman" w:eastAsia="Times New Roman"/>
          <w:color w:val="565454"/>
          <w:spacing w:val="12"/>
          <w:sz w:val="14"/>
          <w:szCs w:val="14"/>
        </w:rPr>
        <w:t> </w:t>
      </w:r>
      <w:r>
        <w:rPr>
          <w:rFonts w:ascii="Times New Roman" w:hAnsi="Times New Roman" w:cs="Times New Roman" w:eastAsia="Times New Roman"/>
          <w:color w:val="7E7B79"/>
          <w:sz w:val="14"/>
          <w:szCs w:val="14"/>
        </w:rPr>
        <w:t>aicwunting</w:t>
      </w:r>
      <w:r>
        <w:rPr>
          <w:rFonts w:ascii="Times New Roman" w:hAnsi="Times New Roman" w:cs="Times New Roman" w:eastAsia="Times New Roman"/>
          <w:color w:val="7E7B79"/>
          <w:spacing w:val="5"/>
          <w:sz w:val="14"/>
          <w:szCs w:val="14"/>
        </w:rPr>
        <w:t> </w:t>
      </w:r>
      <w:r>
        <w:rPr>
          <w:rFonts w:ascii="Times New Roman" w:hAnsi="Times New Roman" w:cs="Times New Roman" w:eastAsia="Times New Roman"/>
          <w:color w:val="6E6B6B"/>
          <w:spacing w:val="-2"/>
          <w:sz w:val="13"/>
          <w:szCs w:val="13"/>
        </w:rPr>
        <w:t>polic:</w:t>
      </w:r>
      <w:r>
        <w:rPr>
          <w:rFonts w:ascii="Times New Roman" w:hAnsi="Times New Roman" w:cs="Times New Roman" w:eastAsia="Times New Roman"/>
          <w:color w:val="918E8E"/>
          <w:spacing w:val="-1"/>
          <w:sz w:val="13"/>
          <w:szCs w:val="13"/>
        </w:rPr>
        <w:t>iH</w:t>
      </w:r>
      <w:r>
        <w:rPr>
          <w:rFonts w:ascii="Times New Roman" w:hAnsi="Times New Roman" w:cs="Times New Roman" w:eastAsia="Times New Roman"/>
          <w:color w:val="918E8E"/>
          <w:spacing w:val="17"/>
          <w:sz w:val="13"/>
          <w:szCs w:val="13"/>
        </w:rPr>
        <w:t> </w:t>
      </w:r>
      <w:r>
        <w:rPr>
          <w:rFonts w:ascii="Arial" w:hAnsi="Arial" w:cs="Arial" w:eastAsia="Arial"/>
          <w:color w:val="7E7B79"/>
          <w:spacing w:val="1"/>
          <w:sz w:val="13"/>
          <w:szCs w:val="13"/>
        </w:rPr>
        <w:t>uK'd</w:t>
      </w:r>
      <w:r>
        <w:rPr>
          <w:rFonts w:ascii="Times New Roman" w:hAnsi="Times New Roman" w:cs="Times New Roman" w:eastAsia="Times New Roman"/>
          <w:color w:val="7E7B79"/>
          <w:spacing w:val="1"/>
          <w:sz w:val="14"/>
          <w:szCs w:val="14"/>
        </w:rPr>
        <w:t>and</w:t>
      </w:r>
      <w:r>
        <w:rPr>
          <w:rFonts w:ascii="Times New Roman" w:hAnsi="Times New Roman" w:cs="Times New Roman" w:eastAsia="Times New Roman"/>
          <w:color w:val="7E7B79"/>
          <w:spacing w:val="2"/>
          <w:sz w:val="14"/>
          <w:szCs w:val="14"/>
        </w:rPr>
        <w:t> </w:t>
      </w:r>
      <w:r>
        <w:rPr>
          <w:rFonts w:ascii="Times New Roman" w:hAnsi="Times New Roman" w:cs="Times New Roman" w:eastAsia="Times New Roman"/>
          <w:color w:val="6E6B6B"/>
          <w:spacing w:val="-1"/>
          <w:sz w:val="14"/>
          <w:szCs w:val="14"/>
        </w:rPr>
        <w:t>ttl</w:t>
      </w:r>
      <w:r>
        <w:rPr>
          <w:rFonts w:ascii="Times New Roman" w:hAnsi="Times New Roman" w:cs="Times New Roman" w:eastAsia="Times New Roman"/>
          <w:color w:val="918E8E"/>
          <w:spacing w:val="-1"/>
          <w:sz w:val="14"/>
          <w:szCs w:val="14"/>
        </w:rPr>
        <w:t>e</w:t>
      </w:r>
      <w:r>
        <w:rPr>
          <w:rFonts w:ascii="Times New Roman" w:hAnsi="Times New Roman" w:cs="Times New Roman" w:eastAsia="Times New Roman"/>
          <w:color w:val="918E8E"/>
          <w:spacing w:val="7"/>
          <w:sz w:val="14"/>
          <w:szCs w:val="14"/>
        </w:rPr>
        <w:t> </w:t>
      </w:r>
      <w:r>
        <w:rPr>
          <w:rFonts w:ascii="Times New Roman" w:hAnsi="Times New Roman" w:cs="Times New Roman" w:eastAsia="Times New Roman"/>
          <w:color w:val="7E7B79"/>
          <w:spacing w:val="-2"/>
          <w:sz w:val="14"/>
          <w:szCs w:val="14"/>
        </w:rPr>
        <w:t>rc</w:t>
      </w:r>
      <w:r>
        <w:rPr>
          <w:rFonts w:ascii="Times New Roman" w:hAnsi="Times New Roman" w:cs="Times New Roman" w:eastAsia="Times New Roman"/>
          <w:color w:val="7E7B79"/>
          <w:spacing w:val="-3"/>
          <w:sz w:val="14"/>
          <w:szCs w:val="14"/>
        </w:rPr>
        <w:t>01sonab</w:t>
      </w:r>
      <w:r>
        <w:rPr>
          <w:rFonts w:ascii="Times New Roman" w:hAnsi="Times New Roman" w:cs="Times New Roman" w:eastAsia="Times New Roman"/>
          <w:color w:val="464444"/>
          <w:spacing w:val="-3"/>
          <w:sz w:val="14"/>
          <w:szCs w:val="14"/>
        </w:rPr>
        <w:t>l</w:t>
      </w:r>
      <w:r>
        <w:rPr>
          <w:rFonts w:ascii="Times New Roman" w:hAnsi="Times New Roman" w:cs="Times New Roman" w:eastAsia="Times New Roman"/>
          <w:color w:val="7E7B79"/>
          <w:spacing w:val="-3"/>
          <w:sz w:val="14"/>
          <w:szCs w:val="14"/>
        </w:rPr>
        <w:t>ctness</w:t>
      </w:r>
      <w:r>
        <w:rPr>
          <w:rFonts w:ascii="Times New Roman" w:hAnsi="Times New Roman" w:cs="Times New Roman" w:eastAsia="Times New Roman"/>
          <w:color w:val="7E7B79"/>
          <w:spacing w:val="1"/>
          <w:sz w:val="14"/>
          <w:szCs w:val="14"/>
        </w:rPr>
        <w:t> </w:t>
      </w:r>
      <w:r>
        <w:rPr>
          <w:rFonts w:ascii="Arial" w:hAnsi="Arial" w:cs="Arial" w:eastAsia="Arial"/>
          <w:color w:val="7E7B79"/>
          <w:sz w:val="13"/>
          <w:szCs w:val="13"/>
        </w:rPr>
        <w:t>of</w:t>
      </w:r>
      <w:r>
        <w:rPr>
          <w:rFonts w:ascii="Arial" w:hAnsi="Arial" w:cs="Arial" w:eastAsia="Arial"/>
          <w:color w:val="7E7B79"/>
          <w:spacing w:val="5"/>
          <w:sz w:val="13"/>
          <w:szCs w:val="13"/>
        </w:rPr>
        <w:t> </w:t>
      </w:r>
      <w:r>
        <w:rPr>
          <w:rFonts w:ascii="Times New Roman" w:hAnsi="Times New Roman" w:cs="Times New Roman" w:eastAsia="Times New Roman"/>
          <w:color w:val="7E7B79"/>
          <w:sz w:val="14"/>
          <w:szCs w:val="14"/>
        </w:rPr>
        <w:t>a«oUntirc</w:t>
      </w:r>
      <w:r>
        <w:rPr>
          <w:rFonts w:ascii="Times New Roman" w:hAnsi="Times New Roman" w:cs="Times New Roman" w:eastAsia="Times New Roman"/>
          <w:color w:val="7E7B79"/>
          <w:spacing w:val="5"/>
          <w:sz w:val="14"/>
          <w:szCs w:val="14"/>
        </w:rPr>
        <w:t> </w:t>
      </w:r>
      <w:r>
        <w:rPr>
          <w:rFonts w:ascii="Times New Roman" w:hAnsi="Times New Roman" w:cs="Times New Roman" w:eastAsia="Times New Roman"/>
          <w:color w:val="7E7B79"/>
          <w:sz w:val="14"/>
          <w:szCs w:val="14"/>
        </w:rPr>
        <w:t>fltimates</w:t>
      </w:r>
      <w:r>
        <w:rPr>
          <w:rFonts w:ascii="Times New Roman" w:hAnsi="Times New Roman" w:cs="Times New Roman" w:eastAsia="Times New Roman"/>
          <w:color w:val="7E7B79"/>
          <w:spacing w:val="55"/>
          <w:w w:val="111"/>
          <w:sz w:val="14"/>
          <w:szCs w:val="14"/>
        </w:rPr>
        <w:t> </w:t>
      </w:r>
      <w:r>
        <w:rPr>
          <w:rFonts w:ascii="Times New Roman" w:hAnsi="Times New Roman" w:cs="Times New Roman" w:eastAsia="Times New Roman"/>
          <w:color w:val="6E6B6B"/>
          <w:sz w:val="14"/>
          <w:szCs w:val="14"/>
        </w:rPr>
        <w:t>and</w:t>
      </w:r>
      <w:r>
        <w:rPr>
          <w:rFonts w:ascii="Times New Roman" w:hAnsi="Times New Roman" w:cs="Times New Roman" w:eastAsia="Times New Roman"/>
          <w:color w:val="6E6B6B"/>
          <w:spacing w:val="-3"/>
          <w:sz w:val="14"/>
          <w:szCs w:val="14"/>
        </w:rPr>
        <w:t> </w:t>
      </w:r>
      <w:r>
        <w:rPr>
          <w:rFonts w:ascii="Times New Roman" w:hAnsi="Times New Roman" w:cs="Times New Roman" w:eastAsia="Times New Roman"/>
          <w:color w:val="7E7B79"/>
          <w:sz w:val="14"/>
          <w:szCs w:val="14"/>
        </w:rPr>
        <w:t>related</w:t>
      </w:r>
      <w:r>
        <w:rPr>
          <w:rFonts w:ascii="Times New Roman" w:hAnsi="Times New Roman" w:cs="Times New Roman" w:eastAsia="Times New Roman"/>
          <w:color w:val="7E7B79"/>
          <w:spacing w:val="7"/>
          <w:sz w:val="14"/>
          <w:szCs w:val="14"/>
        </w:rPr>
        <w:t> </w:t>
      </w:r>
      <w:r>
        <w:rPr>
          <w:rFonts w:ascii="Times New Roman" w:hAnsi="Times New Roman" w:cs="Times New Roman" w:eastAsia="Times New Roman"/>
          <w:color w:val="7E7B79"/>
          <w:spacing w:val="-4"/>
          <w:w w:val="130"/>
          <w:sz w:val="14"/>
          <w:szCs w:val="14"/>
        </w:rPr>
        <w:t>disdosu</w:t>
      </w:r>
      <w:r>
        <w:rPr>
          <w:rFonts w:ascii="Times New Roman" w:hAnsi="Times New Roman" w:cs="Times New Roman" w:eastAsia="Times New Roman"/>
          <w:color w:val="565454"/>
          <w:spacing w:val="-5"/>
          <w:w w:val="130"/>
          <w:sz w:val="14"/>
          <w:szCs w:val="14"/>
        </w:rPr>
        <w:t>r</w:t>
      </w:r>
      <w:r>
        <w:rPr>
          <w:rFonts w:ascii="Times New Roman" w:hAnsi="Times New Roman" w:cs="Times New Roman" w:eastAsia="Times New Roman"/>
          <w:color w:val="7E7B79"/>
          <w:spacing w:val="-3"/>
          <w:w w:val="130"/>
          <w:sz w:val="14"/>
          <w:szCs w:val="14"/>
        </w:rPr>
        <w:t>n</w:t>
      </w:r>
      <w:r>
        <w:rPr>
          <w:rFonts w:ascii="Times New Roman" w:hAnsi="Times New Roman" w:cs="Times New Roman" w:eastAsia="Times New Roman"/>
          <w:color w:val="7E7B79"/>
          <w:spacing w:val="-30"/>
          <w:w w:val="130"/>
          <w:sz w:val="14"/>
          <w:szCs w:val="14"/>
        </w:rPr>
        <w:t> </w:t>
      </w:r>
      <w:r>
        <w:rPr>
          <w:rFonts w:ascii="Times New Roman" w:hAnsi="Times New Roman" w:cs="Times New Roman" w:eastAsia="Times New Roman"/>
          <w:color w:val="6E6B6B"/>
          <w:sz w:val="14"/>
          <w:szCs w:val="14"/>
        </w:rPr>
        <w:t>made</w:t>
      </w:r>
      <w:r>
        <w:rPr>
          <w:rFonts w:ascii="Times New Roman" w:hAnsi="Times New Roman" w:cs="Times New Roman" w:eastAsia="Times New Roman"/>
          <w:color w:val="6E6B6B"/>
          <w:spacing w:val="-1"/>
          <w:sz w:val="14"/>
          <w:szCs w:val="14"/>
        </w:rPr>
        <w:t> </w:t>
      </w:r>
      <w:r>
        <w:rPr>
          <w:rFonts w:ascii="Arial" w:hAnsi="Arial" w:cs="Arial" w:eastAsia="Arial"/>
          <w:color w:val="6E6B6B"/>
          <w:sz w:val="12"/>
          <w:szCs w:val="12"/>
        </w:rPr>
        <w:t>by</w:t>
      </w:r>
      <w:r>
        <w:rPr>
          <w:rFonts w:ascii="Times New Roman" w:hAnsi="Times New Roman" w:cs="Times New Roman" w:eastAsia="Times New Roman"/>
          <w:color w:val="6E6B6B"/>
          <w:sz w:val="14"/>
          <w:szCs w:val="14"/>
        </w:rPr>
        <w:t>the</w:t>
      </w:r>
      <w:r>
        <w:rPr>
          <w:rFonts w:ascii="Times New Roman" w:hAnsi="Times New Roman" w:cs="Times New Roman" w:eastAsia="Times New Roman"/>
          <w:color w:val="6E6B6B"/>
          <w:spacing w:val="-5"/>
          <w:sz w:val="14"/>
          <w:szCs w:val="14"/>
        </w:rPr>
        <w:t> </w:t>
      </w:r>
      <w:r>
        <w:rPr>
          <w:rFonts w:ascii="Times New Roman" w:hAnsi="Times New Roman" w:cs="Times New Roman" w:eastAsia="Times New Roman"/>
          <w:color w:val="6E6B6B"/>
          <w:sz w:val="14"/>
          <w:szCs w:val="14"/>
        </w:rPr>
        <w:t>directors</w:t>
      </w:r>
      <w:r>
        <w:rPr>
          <w:rFonts w:ascii="Times New Roman" w:hAnsi="Times New Roman" w:cs="Times New Roman" w:eastAsia="Times New Roman"/>
          <w:color w:val="918E8E"/>
          <w:sz w:val="14"/>
          <w:szCs w:val="14"/>
        </w:rPr>
        <w:t>.</w:t>
      </w:r>
      <w:r>
        <w:rPr>
          <w:rFonts w:ascii="Times New Roman" w:hAnsi="Times New Roman" w:cs="Times New Roman" w:eastAsia="Times New Roman"/>
          <w:sz w:val="14"/>
          <w:szCs w:val="14"/>
        </w:rPr>
      </w:r>
    </w:p>
    <w:p>
      <w:pPr>
        <w:spacing w:line="226" w:lineRule="auto" w:before="9"/>
        <w:ind w:left="1254" w:right="1156" w:firstLine="0"/>
        <w:jc w:val="both"/>
        <w:rPr>
          <w:rFonts w:ascii="Times New Roman" w:hAnsi="Times New Roman" w:cs="Times New Roman" w:eastAsia="Times New Roman"/>
          <w:sz w:val="14"/>
          <w:szCs w:val="14"/>
        </w:rPr>
      </w:pPr>
      <w:r>
        <w:rPr>
          <w:rFonts w:ascii="Times New Roman" w:hAnsi="Times New Roman" w:cs="Times New Roman" w:eastAsia="Times New Roman"/>
          <w:color w:val="6E6B6B"/>
          <w:spacing w:val="-3"/>
          <w:w w:val="95"/>
          <w:sz w:val="14"/>
          <w:szCs w:val="14"/>
        </w:rPr>
        <w:t>Conc:lud"</w:t>
      </w:r>
      <w:r>
        <w:rPr>
          <w:rFonts w:ascii="Times New Roman" w:hAnsi="Times New Roman" w:cs="Times New Roman" w:eastAsia="Times New Roman"/>
          <w:color w:val="6E6B6B"/>
          <w:spacing w:val="-2"/>
          <w:w w:val="95"/>
          <w:sz w:val="14"/>
          <w:szCs w:val="14"/>
        </w:rPr>
        <w:t>eon</w:t>
      </w:r>
      <w:r>
        <w:rPr>
          <w:rFonts w:ascii="Times New Roman" w:hAnsi="Times New Roman" w:cs="Times New Roman" w:eastAsia="Times New Roman"/>
          <w:color w:val="6E6B6B"/>
          <w:spacing w:val="-15"/>
          <w:w w:val="95"/>
          <w:sz w:val="14"/>
          <w:szCs w:val="14"/>
        </w:rPr>
        <w:t> </w:t>
      </w:r>
      <w:r>
        <w:rPr>
          <w:rFonts w:ascii="Times New Roman" w:hAnsi="Times New Roman" w:cs="Times New Roman" w:eastAsia="Times New Roman"/>
          <w:color w:val="565454"/>
          <w:w w:val="95"/>
          <w:sz w:val="14"/>
          <w:szCs w:val="14"/>
        </w:rPr>
        <w:t>the</w:t>
      </w:r>
      <w:r>
        <w:rPr>
          <w:rFonts w:ascii="Times New Roman" w:hAnsi="Times New Roman" w:cs="Times New Roman" w:eastAsia="Times New Roman"/>
          <w:color w:val="565454"/>
          <w:spacing w:val="-12"/>
          <w:w w:val="95"/>
          <w:sz w:val="14"/>
          <w:szCs w:val="14"/>
        </w:rPr>
        <w:t> </w:t>
      </w:r>
      <w:r>
        <w:rPr>
          <w:rFonts w:ascii="Times New Roman" w:hAnsi="Times New Roman" w:cs="Times New Roman" w:eastAsia="Times New Roman"/>
          <w:color w:val="6E6B6B"/>
          <w:w w:val="95"/>
          <w:sz w:val="14"/>
          <w:szCs w:val="14"/>
        </w:rPr>
        <w:t>appf09riatef)CSS</w:t>
      </w:r>
      <w:r>
        <w:rPr>
          <w:rFonts w:ascii="Times New Roman" w:hAnsi="Times New Roman" w:cs="Times New Roman" w:eastAsia="Times New Roman"/>
          <w:color w:val="6E6B6B"/>
          <w:spacing w:val="-2"/>
          <w:w w:val="95"/>
          <w:sz w:val="14"/>
          <w:szCs w:val="14"/>
        </w:rPr>
        <w:t> </w:t>
      </w:r>
      <w:r>
        <w:rPr>
          <w:rFonts w:ascii="Times New Roman" w:hAnsi="Times New Roman" w:cs="Times New Roman" w:eastAsia="Times New Roman"/>
          <w:color w:val="6E6B6B"/>
          <w:w w:val="95"/>
          <w:sz w:val="14"/>
          <w:szCs w:val="14"/>
        </w:rPr>
        <w:t>of</w:t>
      </w:r>
      <w:r>
        <w:rPr>
          <w:rFonts w:ascii="Times New Roman" w:hAnsi="Times New Roman" w:cs="Times New Roman" w:eastAsia="Times New Roman"/>
          <w:color w:val="6E6B6B"/>
          <w:spacing w:val="-12"/>
          <w:w w:val="95"/>
          <w:sz w:val="14"/>
          <w:szCs w:val="14"/>
        </w:rPr>
        <w:t> </w:t>
      </w:r>
      <w:r>
        <w:rPr>
          <w:rFonts w:ascii="Times New Roman" w:hAnsi="Times New Roman" w:cs="Times New Roman" w:eastAsia="Times New Roman"/>
          <w:color w:val="7E7B79"/>
          <w:w w:val="95"/>
          <w:sz w:val="14"/>
          <w:szCs w:val="14"/>
        </w:rPr>
        <w:t>die</w:t>
      </w:r>
      <w:r>
        <w:rPr>
          <w:rFonts w:ascii="Times New Roman" w:hAnsi="Times New Roman" w:cs="Times New Roman" w:eastAsia="Times New Roman"/>
          <w:color w:val="7E7B79"/>
          <w:spacing w:val="-16"/>
          <w:w w:val="95"/>
          <w:sz w:val="14"/>
          <w:szCs w:val="14"/>
        </w:rPr>
        <w:t> </w:t>
      </w:r>
      <w:r>
        <w:rPr>
          <w:rFonts w:ascii="Times New Roman" w:hAnsi="Times New Roman" w:cs="Times New Roman" w:eastAsia="Times New Roman"/>
          <w:color w:val="6E6B6B"/>
          <w:w w:val="95"/>
          <w:sz w:val="14"/>
          <w:szCs w:val="14"/>
        </w:rPr>
        <w:t>directors•</w:t>
      </w:r>
      <w:r>
        <w:rPr>
          <w:rFonts w:ascii="Times New Roman" w:hAnsi="Times New Roman" w:cs="Times New Roman" w:eastAsia="Times New Roman"/>
          <w:color w:val="6E6B6B"/>
          <w:spacing w:val="-11"/>
          <w:w w:val="95"/>
          <w:sz w:val="14"/>
          <w:szCs w:val="14"/>
        </w:rPr>
        <w:t> </w:t>
      </w:r>
      <w:r>
        <w:rPr>
          <w:rFonts w:ascii="Arial" w:hAnsi="Arial" w:cs="Arial" w:eastAsia="Arial"/>
          <w:color w:val="7E7B79"/>
          <w:w w:val="95"/>
          <w:sz w:val="10"/>
          <w:szCs w:val="10"/>
        </w:rPr>
        <w:t>11Se</w:t>
      </w:r>
      <w:r>
        <w:rPr>
          <w:rFonts w:ascii="Arial" w:hAnsi="Arial" w:cs="Arial" w:eastAsia="Arial"/>
          <w:color w:val="7E7B79"/>
          <w:spacing w:val="-11"/>
          <w:w w:val="95"/>
          <w:sz w:val="10"/>
          <w:szCs w:val="10"/>
        </w:rPr>
        <w:t> </w:t>
      </w:r>
      <w:r>
        <w:rPr>
          <w:rFonts w:ascii="Arial" w:hAnsi="Arial" w:cs="Arial" w:eastAsia="Arial"/>
          <w:color w:val="6E6B6B"/>
          <w:w w:val="95"/>
          <w:sz w:val="13"/>
          <w:szCs w:val="13"/>
        </w:rPr>
        <w:t>of</w:t>
      </w:r>
      <w:r>
        <w:rPr>
          <w:rFonts w:ascii="Arial" w:hAnsi="Arial" w:cs="Arial" w:eastAsia="Arial"/>
          <w:color w:val="6E6B6B"/>
          <w:spacing w:val="-9"/>
          <w:w w:val="95"/>
          <w:sz w:val="13"/>
          <w:szCs w:val="13"/>
        </w:rPr>
        <w:t> </w:t>
      </w:r>
      <w:r>
        <w:rPr>
          <w:rFonts w:ascii="Times New Roman" w:hAnsi="Times New Roman" w:cs="Times New Roman" w:eastAsia="Times New Roman"/>
          <w:color w:val="6E6B6B"/>
          <w:spacing w:val="1"/>
          <w:w w:val="95"/>
          <w:sz w:val="15"/>
          <w:szCs w:val="15"/>
        </w:rPr>
        <w:t>tfw</w:t>
      </w:r>
      <w:r>
        <w:rPr>
          <w:rFonts w:ascii="Times New Roman" w:hAnsi="Times New Roman" w:cs="Times New Roman" w:eastAsia="Times New Roman"/>
          <w:color w:val="6E6B6B"/>
          <w:w w:val="95"/>
          <w:sz w:val="14"/>
          <w:szCs w:val="14"/>
        </w:rPr>
        <w:t>jolna</w:t>
      </w:r>
      <w:r>
        <w:rPr>
          <w:rFonts w:ascii="Times New Roman" w:hAnsi="Times New Roman" w:cs="Times New Roman" w:eastAsia="Times New Roman"/>
          <w:color w:val="6E6B6B"/>
          <w:spacing w:val="-8"/>
          <w:w w:val="95"/>
          <w:sz w:val="14"/>
          <w:szCs w:val="14"/>
        </w:rPr>
        <w:t> </w:t>
      </w:r>
      <w:r>
        <w:rPr>
          <w:rFonts w:ascii="Times New Roman" w:hAnsi="Times New Roman" w:cs="Times New Roman" w:eastAsia="Times New Roman"/>
          <w:color w:val="6E6B6B"/>
          <w:w w:val="95"/>
          <w:sz w:val="14"/>
          <w:szCs w:val="14"/>
        </w:rPr>
        <w:t>wnoem</w:t>
      </w:r>
      <w:r>
        <w:rPr>
          <w:rFonts w:ascii="Times New Roman" w:hAnsi="Times New Roman" w:cs="Times New Roman" w:eastAsia="Times New Roman"/>
          <w:color w:val="6E6B6B"/>
          <w:spacing w:val="5"/>
          <w:w w:val="95"/>
          <w:sz w:val="14"/>
          <w:szCs w:val="14"/>
        </w:rPr>
        <w:t> </w:t>
      </w:r>
      <w:r>
        <w:rPr>
          <w:rFonts w:ascii="Times New Roman" w:hAnsi="Times New Roman" w:cs="Times New Roman" w:eastAsia="Times New Roman"/>
          <w:color w:val="6E6B6B"/>
          <w:w w:val="95"/>
          <w:sz w:val="14"/>
          <w:szCs w:val="14"/>
        </w:rPr>
        <w:t>bo&gt;sis</w:t>
      </w:r>
      <w:r>
        <w:rPr>
          <w:rFonts w:ascii="Times New Roman" w:hAnsi="Times New Roman" w:cs="Times New Roman" w:eastAsia="Times New Roman"/>
          <w:color w:val="6E6B6B"/>
          <w:spacing w:val="-9"/>
          <w:w w:val="95"/>
          <w:sz w:val="14"/>
          <w:szCs w:val="14"/>
        </w:rPr>
        <w:t> </w:t>
      </w:r>
      <w:r>
        <w:rPr>
          <w:rFonts w:ascii="Arial" w:hAnsi="Arial" w:cs="Arial" w:eastAsia="Arial"/>
          <w:color w:val="6E6B6B"/>
          <w:w w:val="95"/>
          <w:sz w:val="13"/>
          <w:szCs w:val="13"/>
        </w:rPr>
        <w:t>of</w:t>
      </w:r>
      <w:r>
        <w:rPr>
          <w:rFonts w:ascii="Arial" w:hAnsi="Arial" w:cs="Arial" w:eastAsia="Arial"/>
          <w:color w:val="6E6B6B"/>
          <w:spacing w:val="-9"/>
          <w:w w:val="95"/>
          <w:sz w:val="13"/>
          <w:szCs w:val="13"/>
        </w:rPr>
        <w:t> </w:t>
      </w:r>
      <w:r>
        <w:rPr>
          <w:rFonts w:ascii="Times New Roman" w:hAnsi="Times New Roman" w:cs="Times New Roman" w:eastAsia="Times New Roman"/>
          <w:color w:val="7E7B79"/>
          <w:w w:val="95"/>
          <w:sz w:val="14"/>
          <w:szCs w:val="14"/>
        </w:rPr>
        <w:t>acc&lt;M.1ntin1</w:t>
      </w:r>
      <w:r>
        <w:rPr>
          <w:rFonts w:ascii="Times New Roman" w:hAnsi="Times New Roman" w:cs="Times New Roman" w:eastAsia="Times New Roman"/>
          <w:color w:val="7E7B79"/>
          <w:spacing w:val="-15"/>
          <w:w w:val="95"/>
          <w:sz w:val="14"/>
          <w:szCs w:val="14"/>
        </w:rPr>
        <w:t> </w:t>
      </w:r>
      <w:r>
        <w:rPr>
          <w:rFonts w:ascii="Times New Roman" w:hAnsi="Times New Roman" w:cs="Times New Roman" w:eastAsia="Times New Roman"/>
          <w:color w:val="6E6B6B"/>
          <w:w w:val="95"/>
          <w:sz w:val="14"/>
          <w:szCs w:val="14"/>
        </w:rPr>
        <w:t>and.</w:t>
      </w:r>
      <w:r>
        <w:rPr>
          <w:rFonts w:ascii="Times New Roman" w:hAnsi="Times New Roman" w:cs="Times New Roman" w:eastAsia="Times New Roman"/>
          <w:color w:val="6E6B6B"/>
          <w:spacing w:val="-20"/>
          <w:w w:val="95"/>
          <w:sz w:val="14"/>
          <w:szCs w:val="14"/>
        </w:rPr>
        <w:t> </w:t>
      </w:r>
      <w:r>
        <w:rPr>
          <w:rFonts w:ascii="Times New Roman" w:hAnsi="Times New Roman" w:cs="Times New Roman" w:eastAsia="Times New Roman"/>
          <w:color w:val="6E6B6B"/>
          <w:w w:val="95"/>
          <w:sz w:val="14"/>
          <w:szCs w:val="14"/>
        </w:rPr>
        <w:t>based</w:t>
      </w:r>
      <w:r>
        <w:rPr>
          <w:rFonts w:ascii="Times New Roman" w:hAnsi="Times New Roman" w:cs="Times New Roman" w:eastAsia="Times New Roman"/>
          <w:color w:val="6E6B6B"/>
          <w:spacing w:val="37"/>
          <w:w w:val="101"/>
          <w:sz w:val="14"/>
          <w:szCs w:val="14"/>
        </w:rPr>
        <w:t> </w:t>
      </w:r>
      <w:r>
        <w:rPr>
          <w:rFonts w:ascii="Times New Roman" w:hAnsi="Times New Roman" w:cs="Times New Roman" w:eastAsia="Times New Roman"/>
          <w:color w:val="7E7B79"/>
          <w:w w:val="105"/>
          <w:sz w:val="14"/>
          <w:szCs w:val="14"/>
        </w:rPr>
        <w:t>on</w:t>
      </w:r>
      <w:r>
        <w:rPr>
          <w:rFonts w:ascii="Times New Roman" w:hAnsi="Times New Roman" w:cs="Times New Roman" w:eastAsia="Times New Roman"/>
          <w:color w:val="7E7B79"/>
          <w:spacing w:val="-13"/>
          <w:w w:val="105"/>
          <w:sz w:val="14"/>
          <w:szCs w:val="14"/>
        </w:rPr>
        <w:t> </w:t>
      </w:r>
      <w:r>
        <w:rPr>
          <w:rFonts w:ascii="Times New Roman" w:hAnsi="Times New Roman" w:cs="Times New Roman" w:eastAsia="Times New Roman"/>
          <w:color w:val="7E7B79"/>
          <w:w w:val="105"/>
          <w:sz w:val="14"/>
          <w:szCs w:val="14"/>
        </w:rPr>
        <w:t>me</w:t>
      </w:r>
      <w:r>
        <w:rPr>
          <w:rFonts w:ascii="Times New Roman" w:hAnsi="Times New Roman" w:cs="Times New Roman" w:eastAsia="Times New Roman"/>
          <w:color w:val="7E7B79"/>
          <w:spacing w:val="-12"/>
          <w:w w:val="105"/>
          <w:sz w:val="14"/>
          <w:szCs w:val="14"/>
        </w:rPr>
        <w:t> </w:t>
      </w:r>
      <w:r>
        <w:rPr>
          <w:rFonts w:ascii="Times New Roman" w:hAnsi="Times New Roman" w:cs="Times New Roman" w:eastAsia="Times New Roman"/>
          <w:color w:val="7E7B79"/>
          <w:w w:val="105"/>
          <w:sz w:val="14"/>
          <w:szCs w:val="14"/>
        </w:rPr>
        <w:t>al.dt</w:t>
      </w:r>
      <w:r>
        <w:rPr>
          <w:rFonts w:ascii="Times New Roman" w:hAnsi="Times New Roman" w:cs="Times New Roman" w:eastAsia="Times New Roman"/>
          <w:color w:val="7E7B79"/>
          <w:spacing w:val="-10"/>
          <w:w w:val="105"/>
          <w:sz w:val="14"/>
          <w:szCs w:val="14"/>
        </w:rPr>
        <w:t> </w:t>
      </w:r>
      <w:r>
        <w:rPr>
          <w:rFonts w:ascii="Times New Roman" w:hAnsi="Times New Roman" w:cs="Times New Roman" w:eastAsia="Times New Roman"/>
          <w:color w:val="7E7B79"/>
          <w:w w:val="105"/>
          <w:sz w:val="14"/>
          <w:szCs w:val="14"/>
        </w:rPr>
        <w:t>evidence</w:t>
      </w:r>
      <w:r>
        <w:rPr>
          <w:rFonts w:ascii="Times New Roman" w:hAnsi="Times New Roman" w:cs="Times New Roman" w:eastAsia="Times New Roman"/>
          <w:color w:val="7E7B79"/>
          <w:spacing w:val="-7"/>
          <w:w w:val="105"/>
          <w:sz w:val="14"/>
          <w:szCs w:val="14"/>
        </w:rPr>
        <w:t> </w:t>
      </w:r>
      <w:r>
        <w:rPr>
          <w:rFonts w:ascii="Times New Roman" w:hAnsi="Times New Roman" w:cs="Times New Roman" w:eastAsia="Times New Roman"/>
          <w:color w:val="6E6B6B"/>
          <w:spacing w:val="-2"/>
          <w:w w:val="105"/>
          <w:sz w:val="14"/>
          <w:szCs w:val="14"/>
        </w:rPr>
        <w:t>obta</w:t>
      </w:r>
      <w:r>
        <w:rPr>
          <w:rFonts w:ascii="Times New Roman" w:hAnsi="Times New Roman" w:cs="Times New Roman" w:eastAsia="Times New Roman"/>
          <w:color w:val="918E8E"/>
          <w:spacing w:val="-1"/>
          <w:w w:val="105"/>
          <w:sz w:val="14"/>
          <w:szCs w:val="14"/>
        </w:rPr>
        <w:t>ine</w:t>
      </w:r>
      <w:r>
        <w:rPr>
          <w:rFonts w:ascii="Times New Roman" w:hAnsi="Times New Roman" w:cs="Times New Roman" w:eastAsia="Times New Roman"/>
          <w:color w:val="6E6B6B"/>
          <w:spacing w:val="-1"/>
          <w:w w:val="105"/>
          <w:sz w:val="14"/>
          <w:szCs w:val="14"/>
        </w:rPr>
        <w:t>d,</w:t>
      </w:r>
      <w:r>
        <w:rPr>
          <w:rFonts w:ascii="Times New Roman" w:hAnsi="Times New Roman" w:cs="Times New Roman" w:eastAsia="Times New Roman"/>
          <w:color w:val="6E6B6B"/>
          <w:spacing w:val="-20"/>
          <w:w w:val="105"/>
          <w:sz w:val="14"/>
          <w:szCs w:val="14"/>
        </w:rPr>
        <w:t> </w:t>
      </w:r>
      <w:r>
        <w:rPr>
          <w:rFonts w:ascii="Times New Roman" w:hAnsi="Times New Roman" w:cs="Times New Roman" w:eastAsia="Times New Roman"/>
          <w:color w:val="7E7B79"/>
          <w:w w:val="105"/>
          <w:sz w:val="14"/>
          <w:szCs w:val="14"/>
        </w:rPr>
        <w:t>wf'lethet</w:t>
      </w:r>
      <w:r>
        <w:rPr>
          <w:rFonts w:ascii="Times New Roman" w:hAnsi="Times New Roman" w:cs="Times New Roman" w:eastAsia="Times New Roman"/>
          <w:color w:val="7E7B79"/>
          <w:spacing w:val="2"/>
          <w:w w:val="105"/>
          <w:sz w:val="14"/>
          <w:szCs w:val="14"/>
        </w:rPr>
        <w:t> </w:t>
      </w:r>
      <w:r>
        <w:rPr>
          <w:rFonts w:ascii="Times New Roman" w:hAnsi="Times New Roman" w:cs="Times New Roman" w:eastAsia="Times New Roman"/>
          <w:color w:val="7E7B79"/>
          <w:w w:val="130"/>
          <w:sz w:val="13"/>
          <w:szCs w:val="13"/>
        </w:rPr>
        <w:t>a</w:t>
      </w:r>
      <w:r>
        <w:rPr>
          <w:rFonts w:ascii="Times New Roman" w:hAnsi="Times New Roman" w:cs="Times New Roman" w:eastAsia="Times New Roman"/>
          <w:color w:val="7E7B79"/>
          <w:spacing w:val="-20"/>
          <w:w w:val="130"/>
          <w:sz w:val="13"/>
          <w:szCs w:val="13"/>
        </w:rPr>
        <w:t> </w:t>
      </w:r>
      <w:r>
        <w:rPr>
          <w:rFonts w:ascii="Times New Roman" w:hAnsi="Times New Roman" w:cs="Times New Roman" w:eastAsia="Times New Roman"/>
          <w:color w:val="7E7B79"/>
          <w:w w:val="105"/>
          <w:sz w:val="14"/>
          <w:szCs w:val="14"/>
        </w:rPr>
        <w:t>tnaterial</w:t>
      </w:r>
      <w:r>
        <w:rPr>
          <w:rFonts w:ascii="Times New Roman" w:hAnsi="Times New Roman" w:cs="Times New Roman" w:eastAsia="Times New Roman"/>
          <w:color w:val="7E7B79"/>
          <w:spacing w:val="8"/>
          <w:w w:val="105"/>
          <w:sz w:val="14"/>
          <w:szCs w:val="14"/>
        </w:rPr>
        <w:t> </w:t>
      </w:r>
      <w:r>
        <w:rPr>
          <w:rFonts w:ascii="Times New Roman" w:hAnsi="Times New Roman" w:cs="Times New Roman" w:eastAsia="Times New Roman"/>
          <w:color w:val="7E7B79"/>
          <w:w w:val="105"/>
          <w:sz w:val="13"/>
          <w:szCs w:val="13"/>
        </w:rPr>
        <w:t>urncen•lnty</w:t>
      </w:r>
      <w:r>
        <w:rPr>
          <w:rFonts w:ascii="Times New Roman" w:hAnsi="Times New Roman" w:cs="Times New Roman" w:eastAsia="Times New Roman"/>
          <w:color w:val="7E7B79"/>
          <w:spacing w:val="-9"/>
          <w:w w:val="105"/>
          <w:sz w:val="13"/>
          <w:szCs w:val="13"/>
        </w:rPr>
        <w:t> </w:t>
      </w:r>
      <w:r>
        <w:rPr>
          <w:rFonts w:ascii="Times New Roman" w:hAnsi="Times New Roman" w:cs="Times New Roman" w:eastAsia="Times New Roman"/>
          <w:color w:val="7E7B79"/>
          <w:w w:val="105"/>
          <w:sz w:val="14"/>
          <w:szCs w:val="14"/>
        </w:rPr>
        <w:t>tllisu</w:t>
      </w:r>
      <w:r>
        <w:rPr>
          <w:rFonts w:ascii="Times New Roman" w:hAnsi="Times New Roman" w:cs="Times New Roman" w:eastAsia="Times New Roman"/>
          <w:color w:val="7E7B79"/>
          <w:spacing w:val="8"/>
          <w:w w:val="105"/>
          <w:sz w:val="14"/>
          <w:szCs w:val="14"/>
        </w:rPr>
        <w:t> </w:t>
      </w:r>
      <w:r>
        <w:rPr>
          <w:rFonts w:ascii="Times New Roman" w:hAnsi="Times New Roman" w:cs="Times New Roman" w:eastAsia="Times New Roman"/>
          <w:color w:val="7E7B79"/>
          <w:w w:val="105"/>
          <w:sz w:val="13"/>
          <w:szCs w:val="13"/>
        </w:rPr>
        <w:t>rtfated</w:t>
      </w:r>
      <w:r>
        <w:rPr>
          <w:rFonts w:ascii="Times New Roman" w:hAnsi="Times New Roman" w:cs="Times New Roman" w:eastAsia="Times New Roman"/>
          <w:color w:val="7E7B79"/>
          <w:spacing w:val="-1"/>
          <w:w w:val="105"/>
          <w:sz w:val="13"/>
          <w:szCs w:val="13"/>
        </w:rPr>
        <w:t> </w:t>
      </w:r>
      <w:r>
        <w:rPr>
          <w:rFonts w:ascii="Times New Roman" w:hAnsi="Times New Roman" w:cs="Times New Roman" w:eastAsia="Times New Roman"/>
          <w:color w:val="6E6B6B"/>
          <w:w w:val="105"/>
          <w:sz w:val="14"/>
          <w:szCs w:val="14"/>
        </w:rPr>
        <w:t>co</w:t>
      </w:r>
      <w:r>
        <w:rPr>
          <w:rFonts w:ascii="Times New Roman" w:hAnsi="Times New Roman" w:cs="Times New Roman" w:eastAsia="Times New Roman"/>
          <w:color w:val="7E7B79"/>
          <w:w w:val="105"/>
          <w:sz w:val="14"/>
          <w:szCs w:val="14"/>
        </w:rPr>
        <w:t>ewnts</w:t>
      </w:r>
      <w:r>
        <w:rPr>
          <w:rFonts w:ascii="Times New Roman" w:hAnsi="Times New Roman" w:cs="Times New Roman" w:eastAsia="Times New Roman"/>
          <w:color w:val="7E7B79"/>
          <w:spacing w:val="-13"/>
          <w:w w:val="105"/>
          <w:sz w:val="14"/>
          <w:szCs w:val="14"/>
        </w:rPr>
        <w:t> </w:t>
      </w:r>
      <w:r>
        <w:rPr>
          <w:rFonts w:ascii="Times New Roman" w:hAnsi="Times New Roman" w:cs="Times New Roman" w:eastAsia="Times New Roman"/>
          <w:color w:val="7E7B79"/>
          <w:w w:val="105"/>
          <w:sz w:val="13"/>
          <w:szCs w:val="13"/>
        </w:rPr>
        <w:t>or</w:t>
      </w:r>
      <w:r>
        <w:rPr>
          <w:rFonts w:ascii="Times New Roman" w:hAnsi="Times New Roman" w:cs="Times New Roman" w:eastAsia="Times New Roman"/>
          <w:color w:val="7E7B79"/>
          <w:spacing w:val="-10"/>
          <w:w w:val="105"/>
          <w:sz w:val="13"/>
          <w:szCs w:val="13"/>
        </w:rPr>
        <w:t> </w:t>
      </w:r>
      <w:r>
        <w:rPr>
          <w:rFonts w:ascii="Times New Roman" w:hAnsi="Times New Roman" w:cs="Times New Roman" w:eastAsia="Times New Roman"/>
          <w:color w:val="6E6B6B"/>
          <w:w w:val="105"/>
          <w:sz w:val="14"/>
          <w:szCs w:val="14"/>
        </w:rPr>
        <w:t>conditions</w:t>
      </w:r>
      <w:r>
        <w:rPr>
          <w:rFonts w:ascii="Times New Roman" w:hAnsi="Times New Roman" w:cs="Times New Roman" w:eastAsia="Times New Roman"/>
          <w:color w:val="6E6B6B"/>
          <w:spacing w:val="-11"/>
          <w:w w:val="105"/>
          <w:sz w:val="14"/>
          <w:szCs w:val="14"/>
        </w:rPr>
        <w:t> </w:t>
      </w:r>
      <w:r>
        <w:rPr>
          <w:rFonts w:ascii="Times New Roman" w:hAnsi="Times New Roman" w:cs="Times New Roman" w:eastAsia="Times New Roman"/>
          <w:color w:val="6E6B6B"/>
          <w:w w:val="105"/>
          <w:sz w:val="13"/>
          <w:szCs w:val="13"/>
        </w:rPr>
        <w:t>that</w:t>
      </w:r>
      <w:r>
        <w:rPr>
          <w:rFonts w:ascii="Times New Roman" w:hAnsi="Times New Roman" w:cs="Times New Roman" w:eastAsia="Times New Roman"/>
          <w:color w:val="6E6B6B"/>
          <w:spacing w:val="22"/>
          <w:w w:val="116"/>
          <w:sz w:val="13"/>
          <w:szCs w:val="13"/>
        </w:rPr>
        <w:t> </w:t>
      </w:r>
      <w:r>
        <w:rPr>
          <w:rFonts w:ascii="Times New Roman" w:hAnsi="Times New Roman" w:cs="Times New Roman" w:eastAsia="Times New Roman"/>
          <w:color w:val="6E6B6B"/>
          <w:w w:val="105"/>
          <w:sz w:val="16"/>
          <w:szCs w:val="16"/>
        </w:rPr>
        <w:t>may</w:t>
      </w:r>
      <w:r>
        <w:rPr>
          <w:rFonts w:ascii="Times New Roman" w:hAnsi="Times New Roman" w:cs="Times New Roman" w:eastAsia="Times New Roman"/>
          <w:color w:val="6E6B6B"/>
          <w:spacing w:val="-16"/>
          <w:w w:val="105"/>
          <w:sz w:val="16"/>
          <w:szCs w:val="16"/>
        </w:rPr>
        <w:t> </w:t>
      </w:r>
      <w:r>
        <w:rPr>
          <w:rFonts w:ascii="Times New Roman" w:hAnsi="Times New Roman" w:cs="Times New Roman" w:eastAsia="Times New Roman"/>
          <w:color w:val="7E7B79"/>
          <w:w w:val="105"/>
          <w:sz w:val="16"/>
          <w:szCs w:val="16"/>
        </w:rPr>
        <w:t>cast</w:t>
      </w:r>
      <w:r>
        <w:rPr>
          <w:rFonts w:ascii="Times New Roman" w:hAnsi="Times New Roman" w:cs="Times New Roman" w:eastAsia="Times New Roman"/>
          <w:color w:val="7E7B79"/>
          <w:spacing w:val="-5"/>
          <w:w w:val="105"/>
          <w:sz w:val="16"/>
          <w:szCs w:val="16"/>
        </w:rPr>
        <w:t> </w:t>
      </w:r>
      <w:r>
        <w:rPr>
          <w:rFonts w:ascii="Times New Roman" w:hAnsi="Times New Roman" w:cs="Times New Roman" w:eastAsia="Times New Roman"/>
          <w:color w:val="7E7B79"/>
          <w:w w:val="105"/>
          <w:sz w:val="14"/>
          <w:szCs w:val="14"/>
        </w:rPr>
        <w:t>$</w:t>
      </w:r>
      <w:r>
        <w:rPr>
          <w:rFonts w:ascii="Times New Roman" w:hAnsi="Times New Roman" w:cs="Times New Roman" w:eastAsia="Times New Roman"/>
          <w:color w:val="7E7B79"/>
          <w:spacing w:val="-28"/>
          <w:w w:val="105"/>
          <w:sz w:val="14"/>
          <w:szCs w:val="14"/>
        </w:rPr>
        <w:t>i</w:t>
      </w:r>
      <w:r>
        <w:rPr>
          <w:rFonts w:ascii="Times New Roman" w:hAnsi="Times New Roman" w:cs="Times New Roman" w:eastAsia="Times New Roman"/>
          <w:color w:val="7E7B79"/>
          <w:w w:val="105"/>
          <w:sz w:val="14"/>
          <w:szCs w:val="14"/>
        </w:rPr>
        <w:t>snifiunt</w:t>
      </w:r>
      <w:r>
        <w:rPr>
          <w:rFonts w:ascii="Times New Roman" w:hAnsi="Times New Roman" w:cs="Times New Roman" w:eastAsia="Times New Roman"/>
          <w:color w:val="7E7B79"/>
          <w:spacing w:val="-10"/>
          <w:w w:val="105"/>
          <w:sz w:val="14"/>
          <w:szCs w:val="14"/>
        </w:rPr>
        <w:t> </w:t>
      </w:r>
      <w:r>
        <w:rPr>
          <w:rFonts w:ascii="Times New Roman" w:hAnsi="Times New Roman" w:cs="Times New Roman" w:eastAsia="Times New Roman"/>
          <w:color w:val="7E7B79"/>
          <w:w w:val="105"/>
          <w:sz w:val="14"/>
          <w:szCs w:val="14"/>
        </w:rPr>
        <w:t>doubt</w:t>
      </w:r>
      <w:r>
        <w:rPr>
          <w:rFonts w:ascii="Times New Roman" w:hAnsi="Times New Roman" w:cs="Times New Roman" w:eastAsia="Times New Roman"/>
          <w:color w:val="7E7B79"/>
          <w:spacing w:val="3"/>
          <w:w w:val="105"/>
          <w:sz w:val="14"/>
          <w:szCs w:val="14"/>
        </w:rPr>
        <w:t> </w:t>
      </w:r>
      <w:r>
        <w:rPr>
          <w:rFonts w:ascii="Times New Roman" w:hAnsi="Times New Roman" w:cs="Times New Roman" w:eastAsia="Times New Roman"/>
          <w:color w:val="6E6B6B"/>
          <w:w w:val="105"/>
          <w:sz w:val="16"/>
          <w:szCs w:val="16"/>
        </w:rPr>
        <w:t>on</w:t>
      </w:r>
      <w:r>
        <w:rPr>
          <w:rFonts w:ascii="Times New Roman" w:hAnsi="Times New Roman" w:cs="Times New Roman" w:eastAsia="Times New Roman"/>
          <w:color w:val="6E6B6B"/>
          <w:spacing w:val="-8"/>
          <w:w w:val="105"/>
          <w:sz w:val="16"/>
          <w:szCs w:val="16"/>
        </w:rPr>
        <w:t> </w:t>
      </w:r>
      <w:r>
        <w:rPr>
          <w:rFonts w:ascii="Times New Roman" w:hAnsi="Times New Roman" w:cs="Times New Roman" w:eastAsia="Times New Roman"/>
          <w:color w:val="6E6B6B"/>
          <w:w w:val="105"/>
          <w:sz w:val="14"/>
          <w:szCs w:val="14"/>
        </w:rPr>
        <w:t>ttie</w:t>
      </w:r>
      <w:r>
        <w:rPr>
          <w:rFonts w:ascii="Times New Roman" w:hAnsi="Times New Roman" w:cs="Times New Roman" w:eastAsia="Times New Roman"/>
          <w:color w:val="6E6B6B"/>
          <w:spacing w:val="-1"/>
          <w:w w:val="105"/>
          <w:sz w:val="14"/>
          <w:szCs w:val="14"/>
        </w:rPr>
        <w:t> </w:t>
      </w:r>
      <w:r>
        <w:rPr>
          <w:rFonts w:ascii="Times New Roman" w:hAnsi="Times New Roman" w:cs="Times New Roman" w:eastAsia="Times New Roman"/>
          <w:color w:val="6E6B6B"/>
          <w:w w:val="170"/>
          <w:sz w:val="14"/>
          <w:szCs w:val="14"/>
        </w:rPr>
        <w:t>Co</w:t>
      </w:r>
      <w:r>
        <w:rPr>
          <w:rFonts w:ascii="Times New Roman" w:hAnsi="Times New Roman" w:cs="Times New Roman" w:eastAsia="Times New Roman"/>
          <w:color w:val="6E6B6B"/>
          <w:spacing w:val="-6"/>
          <w:w w:val="170"/>
          <w:sz w:val="14"/>
          <w:szCs w:val="14"/>
        </w:rPr>
        <w:t>m</w:t>
      </w:r>
      <w:r>
        <w:rPr>
          <w:rFonts w:ascii="Times New Roman" w:hAnsi="Times New Roman" w:cs="Times New Roman" w:eastAsia="Times New Roman"/>
          <w:color w:val="6E6B6B"/>
          <w:w w:val="170"/>
          <w:sz w:val="14"/>
          <w:szCs w:val="14"/>
        </w:rPr>
        <w:t>s</w:t>
      </w:r>
      <w:r>
        <w:rPr>
          <w:rFonts w:ascii="Times New Roman" w:hAnsi="Times New Roman" w:cs="Times New Roman" w:eastAsia="Times New Roman"/>
          <w:color w:val="6E6B6B"/>
          <w:spacing w:val="-36"/>
          <w:w w:val="170"/>
          <w:sz w:val="14"/>
          <w:szCs w:val="14"/>
        </w:rPr>
        <w:t> </w:t>
      </w:r>
      <w:r>
        <w:rPr>
          <w:rFonts w:ascii="Times New Roman" w:hAnsi="Times New Roman" w:cs="Times New Roman" w:eastAsia="Times New Roman"/>
          <w:color w:val="6E6B6B"/>
          <w:spacing w:val="-35"/>
          <w:w w:val="105"/>
          <w:sz w:val="14"/>
          <w:szCs w:val="14"/>
        </w:rPr>
        <w:t>1</w:t>
      </w:r>
      <w:r>
        <w:rPr>
          <w:rFonts w:ascii="Times New Roman" w:hAnsi="Times New Roman" w:cs="Times New Roman" w:eastAsia="Times New Roman"/>
          <w:color w:val="6E6B6B"/>
          <w:w w:val="105"/>
          <w:sz w:val="14"/>
          <w:szCs w:val="14"/>
        </w:rPr>
        <w:t>bllity</w:t>
      </w:r>
      <w:r>
        <w:rPr>
          <w:rFonts w:ascii="Times New Roman" w:hAnsi="Times New Roman" w:cs="Times New Roman" w:eastAsia="Times New Roman"/>
          <w:color w:val="6E6B6B"/>
          <w:spacing w:val="-8"/>
          <w:w w:val="105"/>
          <w:sz w:val="14"/>
          <w:szCs w:val="14"/>
        </w:rPr>
        <w:t> </w:t>
      </w:r>
      <w:r>
        <w:rPr>
          <w:rFonts w:ascii="Times New Roman" w:hAnsi="Times New Roman" w:cs="Times New Roman" w:eastAsia="Times New Roman"/>
          <w:color w:val="6E6B6B"/>
          <w:w w:val="105"/>
          <w:sz w:val="14"/>
          <w:szCs w:val="14"/>
        </w:rPr>
        <w:t>to</w:t>
      </w:r>
      <w:r>
        <w:rPr>
          <w:rFonts w:ascii="Times New Roman" w:hAnsi="Times New Roman" w:cs="Times New Roman" w:eastAsia="Times New Roman"/>
          <w:color w:val="6E6B6B"/>
          <w:spacing w:val="-17"/>
          <w:w w:val="105"/>
          <w:sz w:val="14"/>
          <w:szCs w:val="14"/>
        </w:rPr>
        <w:t> </w:t>
      </w:r>
      <w:r>
        <w:rPr>
          <w:rFonts w:ascii="Times New Roman" w:hAnsi="Times New Roman" w:cs="Times New Roman" w:eastAsia="Times New Roman"/>
          <w:color w:val="7E7B79"/>
          <w:w w:val="105"/>
          <w:sz w:val="12"/>
          <w:szCs w:val="12"/>
        </w:rPr>
        <w:t>('Ot'ltinut</w:t>
      </w:r>
      <w:r>
        <w:rPr>
          <w:rFonts w:ascii="Times New Roman" w:hAnsi="Times New Roman" w:cs="Times New Roman" w:eastAsia="Times New Roman"/>
          <w:color w:val="7E7B79"/>
          <w:spacing w:val="11"/>
          <w:w w:val="105"/>
          <w:sz w:val="12"/>
          <w:szCs w:val="12"/>
        </w:rPr>
        <w:t> </w:t>
      </w:r>
      <w:r>
        <w:rPr>
          <w:rFonts w:ascii="Times New Roman" w:hAnsi="Times New Roman" w:cs="Times New Roman" w:eastAsia="Times New Roman"/>
          <w:color w:val="6E6B6B"/>
          <w:w w:val="105"/>
          <w:sz w:val="16"/>
          <w:szCs w:val="16"/>
        </w:rPr>
        <w:t>as</w:t>
      </w:r>
      <w:r>
        <w:rPr>
          <w:rFonts w:ascii="Times New Roman" w:hAnsi="Times New Roman" w:cs="Times New Roman" w:eastAsia="Times New Roman"/>
          <w:color w:val="6E6B6B"/>
          <w:spacing w:val="-25"/>
          <w:w w:val="105"/>
          <w:sz w:val="16"/>
          <w:szCs w:val="16"/>
        </w:rPr>
        <w:t> </w:t>
      </w:r>
      <w:r>
        <w:rPr>
          <w:rFonts w:ascii="Times New Roman" w:hAnsi="Times New Roman" w:cs="Times New Roman" w:eastAsia="Times New Roman"/>
          <w:color w:val="7E7B79"/>
          <w:spacing w:val="7"/>
          <w:w w:val="105"/>
          <w:sz w:val="16"/>
          <w:szCs w:val="16"/>
        </w:rPr>
        <w:t>•</w:t>
      </w:r>
      <w:r>
        <w:rPr>
          <w:rFonts w:ascii="Times New Roman" w:hAnsi="Times New Roman" w:cs="Times New Roman" w:eastAsia="Times New Roman"/>
          <w:color w:val="6E6B6B"/>
          <w:w w:val="105"/>
          <w:sz w:val="16"/>
          <w:szCs w:val="16"/>
        </w:rPr>
        <w:t>goins</w:t>
      </w:r>
      <w:r>
        <w:rPr>
          <w:rFonts w:ascii="Times New Roman" w:hAnsi="Times New Roman" w:cs="Times New Roman" w:eastAsia="Times New Roman"/>
          <w:color w:val="6E6B6B"/>
          <w:spacing w:val="-8"/>
          <w:w w:val="105"/>
          <w:sz w:val="16"/>
          <w:szCs w:val="16"/>
        </w:rPr>
        <w:t> </w:t>
      </w:r>
      <w:r>
        <w:rPr>
          <w:rFonts w:ascii="Times New Roman" w:hAnsi="Times New Roman" w:cs="Times New Roman" w:eastAsia="Times New Roman"/>
          <w:color w:val="6E6B6B"/>
          <w:w w:val="340"/>
          <w:sz w:val="14"/>
          <w:szCs w:val="14"/>
        </w:rPr>
        <w:t>co</w:t>
      </w:r>
      <w:r>
        <w:rPr>
          <w:rFonts w:ascii="Times New Roman" w:hAnsi="Times New Roman" w:cs="Times New Roman" w:eastAsia="Times New Roman"/>
          <w:color w:val="6E6B6B"/>
          <w:spacing w:val="-95"/>
          <w:w w:val="340"/>
          <w:sz w:val="14"/>
          <w:szCs w:val="14"/>
        </w:rPr>
        <w:t> </w:t>
      </w:r>
      <w:r>
        <w:rPr>
          <w:rFonts w:ascii="Times New Roman" w:hAnsi="Times New Roman" w:cs="Times New Roman" w:eastAsia="Times New Roman"/>
          <w:color w:val="565454"/>
          <w:w w:val="105"/>
          <w:sz w:val="13"/>
          <w:szCs w:val="13"/>
        </w:rPr>
        <w:t>If</w:t>
      </w:r>
      <w:r>
        <w:rPr>
          <w:rFonts w:ascii="Times New Roman" w:hAnsi="Times New Roman" w:cs="Times New Roman" w:eastAsia="Times New Roman"/>
          <w:color w:val="565454"/>
          <w:spacing w:val="13"/>
          <w:w w:val="105"/>
          <w:sz w:val="13"/>
          <w:szCs w:val="13"/>
        </w:rPr>
        <w:t> </w:t>
      </w:r>
      <w:r>
        <w:rPr>
          <w:rFonts w:ascii="Times New Roman" w:hAnsi="Times New Roman" w:cs="Times New Roman" w:eastAsia="Times New Roman"/>
          <w:color w:val="7E7B79"/>
          <w:w w:val="105"/>
          <w:sz w:val="13"/>
          <w:szCs w:val="13"/>
        </w:rPr>
        <w:t>1</w:t>
      </w:r>
      <w:r>
        <w:rPr>
          <w:rFonts w:ascii="Times New Roman" w:hAnsi="Times New Roman" w:cs="Times New Roman" w:eastAsia="Times New Roman"/>
          <w:color w:val="7E7B79"/>
          <w:spacing w:val="-19"/>
          <w:w w:val="105"/>
          <w:sz w:val="13"/>
          <w:szCs w:val="13"/>
        </w:rPr>
        <w:t> </w:t>
      </w:r>
      <w:r>
        <w:rPr>
          <w:rFonts w:ascii="Arial" w:hAnsi="Arial" w:cs="Arial" w:eastAsia="Arial"/>
          <w:color w:val="7E7B79"/>
          <w:w w:val="105"/>
          <w:sz w:val="13"/>
          <w:szCs w:val="13"/>
        </w:rPr>
        <w:t>conclude</w:t>
      </w:r>
      <w:r>
        <w:rPr>
          <w:rFonts w:ascii="Arial" w:hAnsi="Arial" w:cs="Arial" w:eastAsia="Arial"/>
          <w:color w:val="7E7B79"/>
          <w:spacing w:val="-1"/>
          <w:w w:val="105"/>
          <w:sz w:val="13"/>
          <w:szCs w:val="13"/>
        </w:rPr>
        <w:t> </w:t>
      </w:r>
      <w:r>
        <w:rPr>
          <w:rFonts w:ascii="Arial" w:hAnsi="Arial" w:cs="Arial" w:eastAsia="Arial"/>
          <w:color w:val="6E6B6B"/>
          <w:w w:val="105"/>
          <w:sz w:val="13"/>
          <w:szCs w:val="13"/>
        </w:rPr>
        <w:t>tf'lat </w:t>
      </w:r>
      <w:r>
        <w:rPr>
          <w:rFonts w:ascii="Times New Roman" w:hAnsi="Times New Roman" w:cs="Times New Roman" w:eastAsia="Times New Roman"/>
          <w:color w:val="6E6B6B"/>
          <w:w w:val="105"/>
          <w:sz w:val="14"/>
          <w:szCs w:val="14"/>
        </w:rPr>
        <w:t>a</w:t>
      </w:r>
      <w:r>
        <w:rPr>
          <w:rFonts w:ascii="Times New Roman" w:hAnsi="Times New Roman" w:cs="Times New Roman" w:eastAsia="Times New Roman"/>
          <w:color w:val="6E6B6B"/>
          <w:w w:val="123"/>
          <w:sz w:val="14"/>
          <w:szCs w:val="14"/>
        </w:rPr>
        <w:t> </w:t>
      </w:r>
      <w:r>
        <w:rPr>
          <w:rFonts w:ascii="Times New Roman" w:hAnsi="Times New Roman" w:cs="Times New Roman" w:eastAsia="Times New Roman"/>
          <w:color w:val="7E7B79"/>
          <w:sz w:val="14"/>
          <w:szCs w:val="14"/>
        </w:rPr>
        <w:t>mate.orlal</w:t>
      </w:r>
      <w:r>
        <w:rPr>
          <w:rFonts w:ascii="Times New Roman" w:hAnsi="Times New Roman" w:cs="Times New Roman" w:eastAsia="Times New Roman"/>
          <w:color w:val="7E7B79"/>
          <w:spacing w:val="-11"/>
          <w:sz w:val="14"/>
          <w:szCs w:val="14"/>
        </w:rPr>
        <w:t> </w:t>
      </w:r>
      <w:r>
        <w:rPr>
          <w:rFonts w:ascii="Times New Roman" w:hAnsi="Times New Roman" w:cs="Times New Roman" w:eastAsia="Times New Roman"/>
          <w:color w:val="7E7B79"/>
          <w:w w:val="105"/>
          <w:sz w:val="14"/>
          <w:szCs w:val="14"/>
        </w:rPr>
        <w:t>unc</w:t>
      </w:r>
      <w:r>
        <w:rPr>
          <w:rFonts w:ascii="Times New Roman" w:hAnsi="Times New Roman" w:cs="Times New Roman" w:eastAsia="Times New Roman"/>
          <w:color w:val="7E7B79"/>
          <w:spacing w:val="-10"/>
          <w:w w:val="105"/>
          <w:sz w:val="14"/>
          <w:szCs w:val="14"/>
        </w:rPr>
        <w:t>.</w:t>
      </w:r>
      <w:r>
        <w:rPr>
          <w:rFonts w:ascii="Times New Roman" w:hAnsi="Times New Roman" w:cs="Times New Roman" w:eastAsia="Times New Roman"/>
          <w:color w:val="7E7B79"/>
          <w:spacing w:val="-45"/>
          <w:w w:val="105"/>
          <w:sz w:val="14"/>
          <w:szCs w:val="14"/>
        </w:rPr>
        <w:t>!</w:t>
      </w:r>
      <w:r>
        <w:rPr>
          <w:rFonts w:ascii="Times New Roman" w:hAnsi="Times New Roman" w:cs="Times New Roman" w:eastAsia="Times New Roman"/>
          <w:color w:val="7E7B79"/>
          <w:w w:val="105"/>
          <w:sz w:val="14"/>
          <w:szCs w:val="14"/>
        </w:rPr>
        <w:t>ntv</w:t>
      </w:r>
      <w:r>
        <w:rPr>
          <w:rFonts w:ascii="Times New Roman" w:hAnsi="Times New Roman" w:cs="Times New Roman" w:eastAsia="Times New Roman"/>
          <w:color w:val="7E7B79"/>
          <w:spacing w:val="-1"/>
          <w:w w:val="105"/>
          <w:sz w:val="14"/>
          <w:szCs w:val="14"/>
        </w:rPr>
        <w:t>e</w:t>
      </w:r>
      <w:r>
        <w:rPr>
          <w:rFonts w:ascii="Times New Roman" w:hAnsi="Times New Roman" w:cs="Times New Roman" w:eastAsia="Times New Roman"/>
          <w:color w:val="7E7B79"/>
          <w:w w:val="105"/>
          <w:sz w:val="14"/>
          <w:szCs w:val="14"/>
        </w:rPr>
        <w:t>11lstt.,</w:t>
      </w:r>
      <w:r>
        <w:rPr>
          <w:rFonts w:ascii="Times New Roman" w:hAnsi="Times New Roman" w:cs="Times New Roman" w:eastAsia="Times New Roman"/>
          <w:color w:val="7E7B79"/>
          <w:spacing w:val="-27"/>
          <w:w w:val="105"/>
          <w:sz w:val="14"/>
          <w:szCs w:val="14"/>
        </w:rPr>
        <w:t> </w:t>
      </w:r>
      <w:r>
        <w:rPr>
          <w:rFonts w:ascii="Times New Roman" w:hAnsi="Times New Roman" w:cs="Times New Roman" w:eastAsia="Times New Roman"/>
          <w:color w:val="565454"/>
          <w:sz w:val="14"/>
          <w:szCs w:val="14"/>
        </w:rPr>
        <w:t>I</w:t>
      </w:r>
      <w:r>
        <w:rPr>
          <w:rFonts w:ascii="Times New Roman" w:hAnsi="Times New Roman" w:cs="Times New Roman" w:eastAsia="Times New Roman"/>
          <w:color w:val="565454"/>
          <w:spacing w:val="-20"/>
          <w:sz w:val="14"/>
          <w:szCs w:val="14"/>
        </w:rPr>
        <w:t> </w:t>
      </w:r>
      <w:r>
        <w:rPr>
          <w:rFonts w:ascii="Arial" w:hAnsi="Arial" w:cs="Arial" w:eastAsia="Arial"/>
          <w:color w:val="7E7B79"/>
          <w:w w:val="130"/>
          <w:sz w:val="11"/>
          <w:szCs w:val="11"/>
        </w:rPr>
        <w:t>¥t'I</w:t>
      </w:r>
      <w:r>
        <w:rPr>
          <w:rFonts w:ascii="Arial" w:hAnsi="Arial" w:cs="Arial" w:eastAsia="Arial"/>
          <w:color w:val="7E7B79"/>
          <w:spacing w:val="-29"/>
          <w:w w:val="130"/>
          <w:sz w:val="11"/>
          <w:szCs w:val="11"/>
        </w:rPr>
        <w:t> </w:t>
      </w:r>
      <w:r>
        <w:rPr>
          <w:rFonts w:ascii="Times New Roman" w:hAnsi="Times New Roman" w:cs="Times New Roman" w:eastAsia="Times New Roman"/>
          <w:color w:val="6E6B6B"/>
          <w:w w:val="105"/>
          <w:sz w:val="14"/>
          <w:szCs w:val="14"/>
        </w:rPr>
        <w:t>required</w:t>
      </w:r>
      <w:r>
        <w:rPr>
          <w:rFonts w:ascii="Times New Roman" w:hAnsi="Times New Roman" w:cs="Times New Roman" w:eastAsia="Times New Roman"/>
          <w:color w:val="6E6B6B"/>
          <w:spacing w:val="-14"/>
          <w:w w:val="105"/>
          <w:sz w:val="14"/>
          <w:szCs w:val="14"/>
        </w:rPr>
        <w:t> </w:t>
      </w:r>
      <w:r>
        <w:rPr>
          <w:rFonts w:ascii="Times New Roman" w:hAnsi="Times New Roman" w:cs="Times New Roman" w:eastAsia="Times New Roman"/>
          <w:color w:val="6E6B6B"/>
          <w:w w:val="105"/>
          <w:sz w:val="14"/>
          <w:szCs w:val="14"/>
        </w:rPr>
        <w:t>to</w:t>
      </w:r>
      <w:r>
        <w:rPr>
          <w:rFonts w:ascii="Times New Roman" w:hAnsi="Times New Roman" w:cs="Times New Roman" w:eastAsia="Times New Roman"/>
          <w:color w:val="6E6B6B"/>
          <w:spacing w:val="-21"/>
          <w:w w:val="105"/>
          <w:sz w:val="14"/>
          <w:szCs w:val="14"/>
        </w:rPr>
        <w:t> </w:t>
      </w:r>
      <w:r>
        <w:rPr>
          <w:rFonts w:ascii="Times New Roman" w:hAnsi="Times New Roman" w:cs="Times New Roman" w:eastAsia="Times New Roman"/>
          <w:color w:val="7E7B79"/>
          <w:w w:val="105"/>
          <w:sz w:val="14"/>
          <w:szCs w:val="14"/>
        </w:rPr>
        <w:t>dra</w:t>
      </w:r>
      <w:r>
        <w:rPr>
          <w:rFonts w:ascii="Times New Roman" w:hAnsi="Times New Roman" w:cs="Times New Roman" w:eastAsia="Times New Roman"/>
          <w:color w:val="7E7B79"/>
          <w:spacing w:val="14"/>
          <w:w w:val="105"/>
          <w:sz w:val="14"/>
          <w:szCs w:val="14"/>
        </w:rPr>
        <w:t>w</w:t>
      </w:r>
      <w:r>
        <w:rPr>
          <w:rFonts w:ascii="Times New Roman" w:hAnsi="Times New Roman" w:cs="Times New Roman" w:eastAsia="Times New Roman"/>
          <w:color w:val="6E6B6B"/>
          <w:w w:val="105"/>
          <w:sz w:val="14"/>
          <w:szCs w:val="14"/>
        </w:rPr>
        <w:t>a</w:t>
      </w:r>
      <w:r>
        <w:rPr>
          <w:rFonts w:ascii="Times New Roman" w:hAnsi="Times New Roman" w:cs="Times New Roman" w:eastAsia="Times New Roman"/>
          <w:color w:val="6E6B6B"/>
          <w:spacing w:val="-4"/>
          <w:w w:val="105"/>
          <w:sz w:val="14"/>
          <w:szCs w:val="14"/>
        </w:rPr>
        <w:t>n</w:t>
      </w:r>
      <w:r>
        <w:rPr>
          <w:rFonts w:ascii="Times New Roman" w:hAnsi="Times New Roman" w:cs="Times New Roman" w:eastAsia="Times New Roman"/>
          <w:color w:val="7E7B79"/>
          <w:w w:val="105"/>
          <w:sz w:val="14"/>
          <w:szCs w:val="14"/>
        </w:rPr>
        <w:t>e</w:t>
      </w:r>
      <w:r>
        <w:rPr>
          <w:rFonts w:ascii="Times New Roman" w:hAnsi="Times New Roman" w:cs="Times New Roman" w:eastAsia="Times New Roman"/>
          <w:color w:val="7E7B79"/>
          <w:spacing w:val="10"/>
          <w:w w:val="105"/>
          <w:sz w:val="14"/>
          <w:szCs w:val="14"/>
        </w:rPr>
        <w:t>n</w:t>
      </w:r>
      <w:r>
        <w:rPr>
          <w:rFonts w:ascii="Arial" w:hAnsi="Arial" w:cs="Arial" w:eastAsia="Arial"/>
          <w:color w:val="7E7B79"/>
          <w:w w:val="105"/>
          <w:sz w:val="14"/>
          <w:szCs w:val="14"/>
        </w:rPr>
        <w:t>don</w:t>
      </w:r>
      <w:r>
        <w:rPr>
          <w:rFonts w:ascii="Arial" w:hAnsi="Arial" w:cs="Arial" w:eastAsia="Arial"/>
          <w:color w:val="7E7B79"/>
          <w:spacing w:val="-29"/>
          <w:w w:val="105"/>
          <w:sz w:val="14"/>
          <w:szCs w:val="14"/>
        </w:rPr>
        <w:t> </w:t>
      </w:r>
      <w:r>
        <w:rPr>
          <w:rFonts w:ascii="Times New Roman" w:hAnsi="Times New Roman" w:cs="Times New Roman" w:eastAsia="Times New Roman"/>
          <w:color w:val="918E8E"/>
          <w:w w:val="105"/>
          <w:sz w:val="14"/>
          <w:szCs w:val="14"/>
        </w:rPr>
        <w:t>I</w:t>
      </w:r>
      <w:r>
        <w:rPr>
          <w:rFonts w:ascii="Times New Roman" w:hAnsi="Times New Roman" w:cs="Times New Roman" w:eastAsia="Times New Roman"/>
          <w:color w:val="918E8E"/>
          <w:spacing w:val="12"/>
          <w:w w:val="105"/>
          <w:sz w:val="14"/>
          <w:szCs w:val="14"/>
        </w:rPr>
        <w:t>n</w:t>
      </w:r>
      <w:r>
        <w:rPr>
          <w:rFonts w:ascii="Times New Roman" w:hAnsi="Times New Roman" w:cs="Times New Roman" w:eastAsia="Times New Roman"/>
          <w:color w:val="7E7B79"/>
          <w:w w:val="105"/>
          <w:sz w:val="14"/>
          <w:szCs w:val="14"/>
        </w:rPr>
        <w:t>my</w:t>
      </w:r>
      <w:r>
        <w:rPr>
          <w:rFonts w:ascii="Times New Roman" w:hAnsi="Times New Roman" w:cs="Times New Roman" w:eastAsia="Times New Roman"/>
          <w:color w:val="7E7B79"/>
          <w:spacing w:val="-27"/>
          <w:w w:val="105"/>
          <w:sz w:val="14"/>
          <w:szCs w:val="14"/>
        </w:rPr>
        <w:t> </w:t>
      </w:r>
      <w:r>
        <w:rPr>
          <w:rFonts w:ascii="Times New Roman" w:hAnsi="Times New Roman" w:cs="Times New Roman" w:eastAsia="Times New Roman"/>
          <w:color w:val="7E7B79"/>
          <w:spacing w:val="-16"/>
          <w:w w:val="105"/>
          <w:sz w:val="14"/>
          <w:szCs w:val="14"/>
        </w:rPr>
        <w:t>M</w:t>
      </w:r>
      <w:r>
        <w:rPr>
          <w:rFonts w:ascii="Times New Roman" w:hAnsi="Times New Roman" w:cs="Times New Roman" w:eastAsia="Times New Roman"/>
          <w:color w:val="7E7B79"/>
          <w:spacing w:val="-46"/>
          <w:w w:val="105"/>
          <w:sz w:val="14"/>
          <w:szCs w:val="14"/>
        </w:rPr>
        <w:t>'</w:t>
      </w:r>
      <w:r>
        <w:rPr>
          <w:rFonts w:ascii="Times New Roman" w:hAnsi="Times New Roman" w:cs="Times New Roman" w:eastAsia="Times New Roman"/>
          <w:color w:val="7E7B79"/>
          <w:w w:val="105"/>
          <w:sz w:val="14"/>
          <w:szCs w:val="14"/>
        </w:rPr>
        <w:t>Aor's</w:t>
      </w:r>
      <w:r>
        <w:rPr>
          <w:rFonts w:ascii="Times New Roman" w:hAnsi="Times New Roman" w:cs="Times New Roman" w:eastAsia="Times New Roman"/>
          <w:color w:val="7E7B79"/>
          <w:spacing w:val="-20"/>
          <w:w w:val="105"/>
          <w:sz w:val="14"/>
          <w:szCs w:val="14"/>
        </w:rPr>
        <w:t> </w:t>
      </w:r>
      <w:r>
        <w:rPr>
          <w:rFonts w:ascii="Times New Roman" w:hAnsi="Times New Roman" w:cs="Times New Roman" w:eastAsia="Times New Roman"/>
          <w:color w:val="6E6B6B"/>
          <w:w w:val="105"/>
          <w:sz w:val="14"/>
          <w:szCs w:val="14"/>
        </w:rPr>
        <w:t>report</w:t>
      </w:r>
      <w:r>
        <w:rPr>
          <w:rFonts w:ascii="Times New Roman" w:hAnsi="Times New Roman" w:cs="Times New Roman" w:eastAsia="Times New Roman"/>
          <w:color w:val="6E6B6B"/>
          <w:spacing w:val="-16"/>
          <w:w w:val="105"/>
          <w:sz w:val="14"/>
          <w:szCs w:val="14"/>
        </w:rPr>
        <w:t> </w:t>
      </w:r>
      <w:r>
        <w:rPr>
          <w:rFonts w:ascii="Times New Roman" w:hAnsi="Times New Roman" w:cs="Times New Roman" w:eastAsia="Times New Roman"/>
          <w:color w:val="565454"/>
          <w:w w:val="105"/>
          <w:sz w:val="14"/>
          <w:szCs w:val="14"/>
        </w:rPr>
        <w:t>to</w:t>
      </w:r>
      <w:r>
        <w:rPr>
          <w:rFonts w:ascii="Times New Roman" w:hAnsi="Times New Roman" w:cs="Times New Roman" w:eastAsia="Times New Roman"/>
          <w:color w:val="565454"/>
          <w:spacing w:val="-22"/>
          <w:w w:val="105"/>
          <w:sz w:val="14"/>
          <w:szCs w:val="14"/>
        </w:rPr>
        <w:t> </w:t>
      </w:r>
      <w:r>
        <w:rPr>
          <w:rFonts w:ascii="Times New Roman" w:hAnsi="Times New Roman" w:cs="Times New Roman" w:eastAsia="Times New Roman"/>
          <w:color w:val="6E6B6B"/>
          <w:w w:val="105"/>
          <w:sz w:val="14"/>
          <w:szCs w:val="14"/>
        </w:rPr>
        <w:t>the</w:t>
      </w:r>
      <w:r>
        <w:rPr>
          <w:rFonts w:ascii="Times New Roman" w:hAnsi="Times New Roman" w:cs="Times New Roman" w:eastAsia="Times New Roman"/>
          <w:color w:val="6E6B6B"/>
          <w:spacing w:val="-20"/>
          <w:w w:val="105"/>
          <w:sz w:val="14"/>
          <w:szCs w:val="14"/>
        </w:rPr>
        <w:t> </w:t>
      </w:r>
      <w:r>
        <w:rPr>
          <w:rFonts w:ascii="Times New Roman" w:hAnsi="Times New Roman" w:cs="Times New Roman" w:eastAsia="Times New Roman"/>
          <w:color w:val="6E6B6B"/>
          <w:w w:val="105"/>
          <w:sz w:val="14"/>
          <w:szCs w:val="14"/>
        </w:rPr>
        <w:t>r'-'ated</w:t>
      </w:r>
      <w:r>
        <w:rPr>
          <w:rFonts w:ascii="Times New Roman" w:hAnsi="Times New Roman" w:cs="Times New Roman" w:eastAsia="Times New Roman"/>
          <w:color w:val="6E6B6B"/>
          <w:spacing w:val="-14"/>
          <w:w w:val="105"/>
          <w:sz w:val="14"/>
          <w:szCs w:val="14"/>
        </w:rPr>
        <w:t> </w:t>
      </w:r>
      <w:r>
        <w:rPr>
          <w:rFonts w:ascii="Times New Roman" w:hAnsi="Times New Roman" w:cs="Times New Roman" w:eastAsia="Times New Roman"/>
          <w:color w:val="7E7B79"/>
          <w:w w:val="105"/>
          <w:sz w:val="14"/>
          <w:szCs w:val="14"/>
        </w:rPr>
        <w:t>disclosures</w:t>
      </w:r>
      <w:r>
        <w:rPr>
          <w:rFonts w:ascii="Times New Roman" w:hAnsi="Times New Roman" w:cs="Times New Roman" w:eastAsia="Times New Roman"/>
          <w:color w:val="7E7B79"/>
          <w:w w:val="96"/>
          <w:sz w:val="14"/>
          <w:szCs w:val="14"/>
        </w:rPr>
        <w:t> </w:t>
      </w:r>
      <w:r>
        <w:rPr>
          <w:rFonts w:ascii="Times New Roman" w:hAnsi="Times New Roman" w:cs="Times New Roman" w:eastAsia="Times New Roman"/>
          <w:color w:val="7E7B79"/>
          <w:sz w:val="14"/>
          <w:szCs w:val="14"/>
        </w:rPr>
        <w:t>In</w:t>
      </w:r>
      <w:r>
        <w:rPr>
          <w:rFonts w:ascii="Times New Roman" w:hAnsi="Times New Roman" w:cs="Times New Roman" w:eastAsia="Times New Roman"/>
          <w:color w:val="7E7B79"/>
          <w:spacing w:val="-13"/>
          <w:sz w:val="14"/>
          <w:szCs w:val="14"/>
        </w:rPr>
        <w:t> </w:t>
      </w:r>
      <w:r>
        <w:rPr>
          <w:rFonts w:ascii="Times New Roman" w:hAnsi="Times New Roman" w:cs="Times New Roman" w:eastAsia="Times New Roman"/>
          <w:color w:val="6E6B6B"/>
          <w:sz w:val="14"/>
          <w:szCs w:val="14"/>
        </w:rPr>
        <w:t>th</w:t>
      </w:r>
      <w:r>
        <w:rPr>
          <w:rFonts w:ascii="Times New Roman" w:hAnsi="Times New Roman" w:cs="Times New Roman" w:eastAsia="Times New Roman"/>
          <w:color w:val="6E6B6B"/>
          <w:spacing w:val="10"/>
          <w:sz w:val="14"/>
          <w:szCs w:val="14"/>
        </w:rPr>
        <w:t>e</w:t>
      </w:r>
      <w:r>
        <w:rPr>
          <w:rFonts w:ascii="Times New Roman" w:hAnsi="Times New Roman" w:cs="Times New Roman" w:eastAsia="Times New Roman"/>
          <w:color w:val="7E7B79"/>
          <w:sz w:val="14"/>
          <w:szCs w:val="14"/>
        </w:rPr>
        <w:t>flnand</w:t>
      </w:r>
      <w:r>
        <w:rPr>
          <w:rFonts w:ascii="Times New Roman" w:hAnsi="Times New Roman" w:cs="Times New Roman" w:eastAsia="Times New Roman"/>
          <w:color w:val="7E7B79"/>
          <w:spacing w:val="3"/>
          <w:sz w:val="14"/>
          <w:szCs w:val="14"/>
        </w:rPr>
        <w:t>a</w:t>
      </w:r>
      <w:r>
        <w:rPr>
          <w:rFonts w:ascii="Times New Roman" w:hAnsi="Times New Roman" w:cs="Times New Roman" w:eastAsia="Times New Roman"/>
          <w:color w:val="565454"/>
          <w:sz w:val="14"/>
          <w:szCs w:val="14"/>
        </w:rPr>
        <w:t>l</w:t>
      </w:r>
      <w:r>
        <w:rPr>
          <w:rFonts w:ascii="Times New Roman" w:hAnsi="Times New Roman" w:cs="Times New Roman" w:eastAsia="Times New Roman"/>
          <w:color w:val="565454"/>
          <w:spacing w:val="-16"/>
          <w:sz w:val="14"/>
          <w:szCs w:val="14"/>
        </w:rPr>
        <w:t> </w:t>
      </w:r>
      <w:r>
        <w:rPr>
          <w:rFonts w:ascii="Times New Roman" w:hAnsi="Times New Roman" w:cs="Times New Roman" w:eastAsia="Times New Roman"/>
          <w:color w:val="6E6B6B"/>
          <w:sz w:val="14"/>
          <w:szCs w:val="14"/>
        </w:rPr>
        <w:t>report</w:t>
      </w:r>
      <w:r>
        <w:rPr>
          <w:rFonts w:ascii="Times New Roman" w:hAnsi="Times New Roman" w:cs="Times New Roman" w:eastAsia="Times New Roman"/>
          <w:color w:val="6E6B6B"/>
          <w:spacing w:val="-6"/>
          <w:sz w:val="14"/>
          <w:szCs w:val="14"/>
        </w:rPr>
        <w:t> </w:t>
      </w:r>
      <w:r>
        <w:rPr>
          <w:rFonts w:ascii="Times New Roman" w:hAnsi="Times New Roman" w:cs="Times New Roman" w:eastAsia="Times New Roman"/>
          <w:color w:val="6E6B6B"/>
          <w:sz w:val="16"/>
          <w:szCs w:val="16"/>
        </w:rPr>
        <w:t>or,</w:t>
      </w:r>
      <w:r>
        <w:rPr>
          <w:rFonts w:ascii="Times New Roman" w:hAnsi="Times New Roman" w:cs="Times New Roman" w:eastAsia="Times New Roman"/>
          <w:color w:val="6E6B6B"/>
          <w:spacing w:val="-23"/>
          <w:sz w:val="16"/>
          <w:szCs w:val="16"/>
        </w:rPr>
        <w:t> </w:t>
      </w:r>
      <w:r>
        <w:rPr>
          <w:rFonts w:ascii="Arial" w:hAnsi="Arial" w:cs="Arial" w:eastAsia="Arial"/>
          <w:color w:val="7E7B79"/>
          <w:sz w:val="13"/>
          <w:szCs w:val="13"/>
        </w:rPr>
        <w:t>I</w:t>
      </w:r>
      <w:r>
        <w:rPr>
          <w:rFonts w:ascii="Arial" w:hAnsi="Arial" w:cs="Arial" w:eastAsia="Arial"/>
          <w:color w:val="7E7B79"/>
          <w:spacing w:val="3"/>
          <w:sz w:val="13"/>
          <w:szCs w:val="13"/>
        </w:rPr>
        <w:t>f</w:t>
      </w:r>
      <w:r>
        <w:rPr>
          <w:rFonts w:ascii="Times New Roman" w:hAnsi="Times New Roman" w:cs="Times New Roman" w:eastAsia="Times New Roman"/>
          <w:color w:val="6E6B6B"/>
          <w:sz w:val="16"/>
          <w:szCs w:val="16"/>
        </w:rPr>
        <w:t>such</w:t>
      </w:r>
      <w:r>
        <w:rPr>
          <w:rFonts w:ascii="Times New Roman" w:hAnsi="Times New Roman" w:cs="Times New Roman" w:eastAsia="Times New Roman"/>
          <w:color w:val="6E6B6B"/>
          <w:spacing w:val="-17"/>
          <w:sz w:val="16"/>
          <w:szCs w:val="16"/>
        </w:rPr>
        <w:t> </w:t>
      </w:r>
      <w:r>
        <w:rPr>
          <w:rFonts w:ascii="Times New Roman" w:hAnsi="Times New Roman" w:cs="Times New Roman" w:eastAsia="Times New Roman"/>
          <w:color w:val="6E6B6B"/>
          <w:sz w:val="14"/>
          <w:szCs w:val="14"/>
        </w:rPr>
        <w:t>dlsd</w:t>
      </w:r>
      <w:r>
        <w:rPr>
          <w:rFonts w:ascii="Times New Roman" w:hAnsi="Times New Roman" w:cs="Times New Roman" w:eastAsia="Times New Roman"/>
          <w:color w:val="6E6B6B"/>
          <w:spacing w:val="-20"/>
          <w:sz w:val="14"/>
          <w:szCs w:val="14"/>
        </w:rPr>
        <w:t>o</w:t>
      </w:r>
      <w:r>
        <w:rPr>
          <w:rFonts w:ascii="Times New Roman" w:hAnsi="Times New Roman" w:cs="Times New Roman" w:eastAsia="Times New Roman"/>
          <w:color w:val="6E6B6B"/>
          <w:sz w:val="14"/>
          <w:szCs w:val="14"/>
        </w:rPr>
        <w:t>suresare</w:t>
      </w:r>
      <w:r>
        <w:rPr>
          <w:rFonts w:ascii="Times New Roman" w:hAnsi="Times New Roman" w:cs="Times New Roman" w:eastAsia="Times New Roman"/>
          <w:color w:val="6E6B6B"/>
          <w:spacing w:val="-15"/>
          <w:sz w:val="14"/>
          <w:szCs w:val="14"/>
        </w:rPr>
        <w:t> </w:t>
      </w:r>
      <w:r>
        <w:rPr>
          <w:rFonts w:ascii="Times New Roman" w:hAnsi="Times New Roman" w:cs="Times New Roman" w:eastAsia="Times New Roman"/>
          <w:color w:val="A8A5A3"/>
          <w:spacing w:val="-6"/>
          <w:sz w:val="14"/>
          <w:szCs w:val="14"/>
        </w:rPr>
        <w:t>I</w:t>
      </w:r>
      <w:r>
        <w:rPr>
          <w:rFonts w:ascii="Times New Roman" w:hAnsi="Times New Roman" w:cs="Times New Roman" w:eastAsia="Times New Roman"/>
          <w:color w:val="6E6B6B"/>
          <w:sz w:val="14"/>
          <w:szCs w:val="14"/>
        </w:rPr>
        <w:t>Badeq</w:t>
      </w:r>
      <w:r>
        <w:rPr>
          <w:rFonts w:ascii="Times New Roman" w:hAnsi="Times New Roman" w:cs="Times New Roman" w:eastAsia="Times New Roman"/>
          <w:color w:val="6E6B6B"/>
          <w:spacing w:val="-9"/>
          <w:sz w:val="14"/>
          <w:szCs w:val="14"/>
        </w:rPr>
        <w:t>u</w:t>
      </w:r>
      <w:r>
        <w:rPr>
          <w:rFonts w:ascii="Times New Roman" w:hAnsi="Times New Roman" w:cs="Times New Roman" w:eastAsia="Times New Roman"/>
          <w:color w:val="6E6B6B"/>
          <w:sz w:val="14"/>
          <w:szCs w:val="14"/>
        </w:rPr>
        <w:t>.ait</w:t>
      </w:r>
      <w:r>
        <w:rPr>
          <w:rFonts w:ascii="Times New Roman" w:hAnsi="Times New Roman" w:cs="Times New Roman" w:eastAsia="Times New Roman"/>
          <w:color w:val="6E6B6B"/>
          <w:spacing w:val="-28"/>
          <w:sz w:val="14"/>
          <w:szCs w:val="14"/>
        </w:rPr>
        <w:t>e</w:t>
      </w:r>
      <w:r>
        <w:rPr>
          <w:rFonts w:ascii="Times New Roman" w:hAnsi="Times New Roman" w:cs="Times New Roman" w:eastAsia="Times New Roman"/>
          <w:color w:val="6E6B6B"/>
          <w:spacing w:val="-1"/>
          <w:sz w:val="14"/>
          <w:szCs w:val="14"/>
        </w:rPr>
        <w:t>,</w:t>
      </w:r>
      <w:r>
        <w:rPr>
          <w:rFonts w:ascii="Times New Roman" w:hAnsi="Times New Roman" w:cs="Times New Roman" w:eastAsia="Times New Roman"/>
          <w:color w:val="565454"/>
          <w:sz w:val="14"/>
          <w:szCs w:val="14"/>
        </w:rPr>
        <w:t>to</w:t>
      </w:r>
      <w:r>
        <w:rPr>
          <w:rFonts w:ascii="Times New Roman" w:hAnsi="Times New Roman" w:cs="Times New Roman" w:eastAsia="Times New Roman"/>
          <w:color w:val="565454"/>
          <w:spacing w:val="-14"/>
          <w:sz w:val="14"/>
          <w:szCs w:val="14"/>
        </w:rPr>
        <w:t> </w:t>
      </w:r>
      <w:r>
        <w:rPr>
          <w:rFonts w:ascii="Times New Roman" w:hAnsi="Times New Roman" w:cs="Times New Roman" w:eastAsia="Times New Roman"/>
          <w:color w:val="6E6B6B"/>
          <w:sz w:val="14"/>
          <w:szCs w:val="14"/>
        </w:rPr>
        <w:t>mo</w:t>
      </w:r>
      <w:r>
        <w:rPr>
          <w:rFonts w:ascii="Times New Roman" w:hAnsi="Times New Roman" w:cs="Times New Roman" w:eastAsia="Times New Roman"/>
          <w:color w:val="6E6B6B"/>
          <w:spacing w:val="3"/>
          <w:sz w:val="14"/>
          <w:szCs w:val="14"/>
        </w:rPr>
        <w:t>d</w:t>
      </w:r>
      <w:r>
        <w:rPr>
          <w:rFonts w:ascii="Arial" w:hAnsi="Arial" w:cs="Arial" w:eastAsia="Arial"/>
          <w:color w:val="6E6B6B"/>
          <w:sz w:val="13"/>
          <w:szCs w:val="13"/>
        </w:rPr>
        <w:t>If'</w:t>
      </w:r>
      <w:r>
        <w:rPr>
          <w:rFonts w:ascii="Arial" w:hAnsi="Arial" w:cs="Arial" w:eastAsia="Arial"/>
          <w:color w:val="6E6B6B"/>
          <w:spacing w:val="-3"/>
          <w:sz w:val="13"/>
          <w:szCs w:val="13"/>
        </w:rPr>
        <w:t>(</w:t>
      </w:r>
      <w:r>
        <w:rPr>
          <w:rFonts w:ascii="Times New Roman" w:hAnsi="Times New Roman" w:cs="Times New Roman" w:eastAsia="Times New Roman"/>
          <w:color w:val="6E6B6B"/>
          <w:sz w:val="14"/>
          <w:szCs w:val="14"/>
        </w:rPr>
        <w:t>m</w:t>
      </w:r>
      <w:r>
        <w:rPr>
          <w:rFonts w:ascii="Times New Roman" w:hAnsi="Times New Roman" w:cs="Times New Roman" w:eastAsia="Times New Roman"/>
          <w:color w:val="6E6B6B"/>
          <w:spacing w:val="15"/>
          <w:sz w:val="14"/>
          <w:szCs w:val="14"/>
        </w:rPr>
        <w:t>y</w:t>
      </w:r>
      <w:r>
        <w:rPr>
          <w:rFonts w:ascii="Times New Roman" w:hAnsi="Times New Roman" w:cs="Times New Roman" w:eastAsia="Times New Roman"/>
          <w:color w:val="6E6B6B"/>
          <w:sz w:val="14"/>
          <w:szCs w:val="14"/>
        </w:rPr>
        <w:t>opinio</w:t>
      </w:r>
      <w:r>
        <w:rPr>
          <w:rFonts w:ascii="Times New Roman" w:hAnsi="Times New Roman" w:cs="Times New Roman" w:eastAsia="Times New Roman"/>
          <w:color w:val="6E6B6B"/>
          <w:spacing w:val="-18"/>
          <w:sz w:val="14"/>
          <w:szCs w:val="14"/>
        </w:rPr>
        <w:t>n</w:t>
      </w:r>
      <w:r>
        <w:rPr>
          <w:rFonts w:ascii="Times New Roman" w:hAnsi="Times New Roman" w:cs="Times New Roman" w:eastAsia="Times New Roman"/>
          <w:color w:val="918E8E"/>
          <w:spacing w:val="-22"/>
          <w:sz w:val="14"/>
          <w:szCs w:val="14"/>
        </w:rPr>
        <w:t>.</w:t>
      </w:r>
      <w:r>
        <w:rPr>
          <w:rFonts w:ascii="Times New Roman" w:hAnsi="Times New Roman" w:cs="Times New Roman" w:eastAsia="Times New Roman"/>
          <w:color w:val="6E6B6B"/>
          <w:sz w:val="14"/>
          <w:szCs w:val="14"/>
        </w:rPr>
        <w:t>Myconcluskins</w:t>
      </w:r>
      <w:r>
        <w:rPr>
          <w:rFonts w:ascii="Times New Roman" w:hAnsi="Times New Roman" w:cs="Times New Roman" w:eastAsia="Times New Roman"/>
          <w:color w:val="6E6B6B"/>
          <w:spacing w:val="-13"/>
          <w:sz w:val="14"/>
          <w:szCs w:val="14"/>
        </w:rPr>
        <w:t> </w:t>
      </w:r>
      <w:r>
        <w:rPr>
          <w:rFonts w:ascii="Arial" w:hAnsi="Arial" w:cs="Arial" w:eastAsia="Arial"/>
          <w:i/>
          <w:color w:val="6E6B6B"/>
          <w:sz w:val="13"/>
          <w:szCs w:val="13"/>
        </w:rPr>
        <w:t>.ait</w:t>
      </w:r>
      <w:r>
        <w:rPr>
          <w:rFonts w:ascii="Arial" w:hAnsi="Arial" w:cs="Arial" w:eastAsia="Arial"/>
          <w:i/>
          <w:color w:val="6E6B6B"/>
          <w:spacing w:val="13"/>
          <w:sz w:val="13"/>
          <w:szCs w:val="13"/>
        </w:rPr>
        <w:t>e</w:t>
      </w:r>
      <w:r>
        <w:rPr>
          <w:rFonts w:ascii="Times New Roman" w:hAnsi="Times New Roman" w:cs="Times New Roman" w:eastAsia="Times New Roman"/>
          <w:color w:val="6E6B6B"/>
          <w:sz w:val="14"/>
          <w:szCs w:val="14"/>
        </w:rPr>
        <w:t>l»sed</w:t>
      </w:r>
      <w:r>
        <w:rPr>
          <w:rFonts w:ascii="Times New Roman" w:hAnsi="Times New Roman" w:cs="Times New Roman" w:eastAsia="Times New Roman"/>
          <w:color w:val="6E6B6B"/>
          <w:w w:val="111"/>
          <w:sz w:val="14"/>
          <w:szCs w:val="14"/>
        </w:rPr>
        <w:t> </w:t>
      </w:r>
      <w:r>
        <w:rPr>
          <w:rFonts w:ascii="Times New Roman" w:hAnsi="Times New Roman" w:cs="Times New Roman" w:eastAsia="Times New Roman"/>
          <w:color w:val="6E6B6B"/>
          <w:w w:val="105"/>
          <w:sz w:val="14"/>
          <w:szCs w:val="14"/>
        </w:rPr>
        <w:t>on</w:t>
      </w:r>
      <w:r>
        <w:rPr>
          <w:rFonts w:ascii="Times New Roman" w:hAnsi="Times New Roman" w:cs="Times New Roman" w:eastAsia="Times New Roman"/>
          <w:color w:val="6E6B6B"/>
          <w:spacing w:val="-17"/>
          <w:w w:val="105"/>
          <w:sz w:val="14"/>
          <w:szCs w:val="14"/>
        </w:rPr>
        <w:t> </w:t>
      </w:r>
      <w:r>
        <w:rPr>
          <w:rFonts w:ascii="Times New Roman" w:hAnsi="Times New Roman" w:cs="Times New Roman" w:eastAsia="Times New Roman"/>
          <w:color w:val="6E6B6B"/>
          <w:w w:val="105"/>
          <w:sz w:val="14"/>
          <w:szCs w:val="14"/>
        </w:rPr>
        <w:t>the</w:t>
      </w:r>
      <w:r>
        <w:rPr>
          <w:rFonts w:ascii="Times New Roman" w:hAnsi="Times New Roman" w:cs="Times New Roman" w:eastAsia="Times New Roman"/>
          <w:color w:val="6E6B6B"/>
          <w:spacing w:val="-15"/>
          <w:w w:val="105"/>
          <w:sz w:val="14"/>
          <w:szCs w:val="14"/>
        </w:rPr>
        <w:t> </w:t>
      </w:r>
      <w:r>
        <w:rPr>
          <w:rFonts w:ascii="Times New Roman" w:hAnsi="Times New Roman" w:cs="Times New Roman" w:eastAsia="Times New Roman"/>
          <w:color w:val="7E7B79"/>
          <w:w w:val="105"/>
          <w:sz w:val="14"/>
          <w:szCs w:val="14"/>
        </w:rPr>
        <w:t>aud</w:t>
      </w:r>
      <w:r>
        <w:rPr>
          <w:rFonts w:ascii="Times New Roman" w:hAnsi="Times New Roman" w:cs="Times New Roman" w:eastAsia="Times New Roman"/>
          <w:color w:val="565454"/>
          <w:w w:val="105"/>
          <w:sz w:val="14"/>
          <w:szCs w:val="14"/>
        </w:rPr>
        <w:t>it</w:t>
      </w:r>
      <w:r>
        <w:rPr>
          <w:rFonts w:ascii="Times New Roman" w:hAnsi="Times New Roman" w:cs="Times New Roman" w:eastAsia="Times New Roman"/>
          <w:color w:val="6E6B6B"/>
          <w:w w:val="105"/>
          <w:sz w:val="14"/>
          <w:szCs w:val="14"/>
        </w:rPr>
        <w:t>elrideMt</w:t>
      </w:r>
      <w:r>
        <w:rPr>
          <w:rFonts w:ascii="Times New Roman" w:hAnsi="Times New Roman" w:cs="Times New Roman" w:eastAsia="Times New Roman"/>
          <w:color w:val="6E6B6B"/>
          <w:spacing w:val="-23"/>
          <w:w w:val="105"/>
          <w:sz w:val="14"/>
          <w:szCs w:val="14"/>
        </w:rPr>
        <w:t> </w:t>
      </w:r>
      <w:r>
        <w:rPr>
          <w:rFonts w:ascii="Times New Roman" w:hAnsi="Times New Roman" w:cs="Times New Roman" w:eastAsia="Times New Roman"/>
          <w:color w:val="7E7B79"/>
          <w:spacing w:val="-2"/>
          <w:w w:val="105"/>
          <w:sz w:val="14"/>
          <w:szCs w:val="14"/>
        </w:rPr>
        <w:t>ot&gt;u</w:t>
      </w:r>
      <w:r>
        <w:rPr>
          <w:rFonts w:ascii="Times New Roman" w:hAnsi="Times New Roman" w:cs="Times New Roman" w:eastAsia="Times New Roman"/>
          <w:color w:val="565454"/>
          <w:spacing w:val="-2"/>
          <w:w w:val="105"/>
          <w:sz w:val="14"/>
          <w:szCs w:val="14"/>
        </w:rPr>
        <w:t>in</w:t>
      </w:r>
      <w:r>
        <w:rPr>
          <w:rFonts w:ascii="Times New Roman" w:hAnsi="Times New Roman" w:cs="Times New Roman" w:eastAsia="Times New Roman"/>
          <w:color w:val="7E7B79"/>
          <w:spacing w:val="-1"/>
          <w:w w:val="105"/>
          <w:sz w:val="14"/>
          <w:szCs w:val="14"/>
        </w:rPr>
        <w:t>ed</w:t>
      </w:r>
      <w:r>
        <w:rPr>
          <w:rFonts w:ascii="Times New Roman" w:hAnsi="Times New Roman" w:cs="Times New Roman" w:eastAsia="Times New Roman"/>
          <w:color w:val="7E7B79"/>
          <w:spacing w:val="-16"/>
          <w:w w:val="105"/>
          <w:sz w:val="14"/>
          <w:szCs w:val="14"/>
        </w:rPr>
        <w:t> </w:t>
      </w:r>
      <w:r>
        <w:rPr>
          <w:rFonts w:ascii="Arial" w:hAnsi="Arial" w:cs="Arial" w:eastAsia="Arial"/>
          <w:color w:val="6E6B6B"/>
          <w:w w:val="105"/>
          <w:sz w:val="11"/>
          <w:szCs w:val="11"/>
        </w:rPr>
        <w:t>ut)</w:t>
      </w:r>
      <w:r>
        <w:rPr>
          <w:rFonts w:ascii="Arial" w:hAnsi="Arial" w:cs="Arial" w:eastAsia="Arial"/>
          <w:color w:val="6E6B6B"/>
          <w:spacing w:val="-18"/>
          <w:w w:val="105"/>
          <w:sz w:val="11"/>
          <w:szCs w:val="11"/>
        </w:rPr>
        <w:t> </w:t>
      </w:r>
      <w:r>
        <w:rPr>
          <w:rFonts w:ascii="Times New Roman" w:hAnsi="Times New Roman" w:cs="Times New Roman" w:eastAsia="Times New Roman"/>
          <w:color w:val="6E6B6B"/>
          <w:w w:val="105"/>
          <w:sz w:val="14"/>
          <w:szCs w:val="14"/>
        </w:rPr>
        <w:t>to</w:t>
      </w:r>
      <w:r>
        <w:rPr>
          <w:rFonts w:ascii="Times New Roman" w:hAnsi="Times New Roman" w:cs="Times New Roman" w:eastAsia="Times New Roman"/>
          <w:color w:val="6E6B6B"/>
          <w:spacing w:val="-17"/>
          <w:w w:val="105"/>
          <w:sz w:val="14"/>
          <w:szCs w:val="14"/>
        </w:rPr>
        <w:t> </w:t>
      </w:r>
      <w:r>
        <w:rPr>
          <w:rFonts w:ascii="Times New Roman" w:hAnsi="Times New Roman" w:cs="Times New Roman" w:eastAsia="Times New Roman"/>
          <w:color w:val="6E6B6B"/>
          <w:w w:val="105"/>
          <w:sz w:val="14"/>
          <w:szCs w:val="14"/>
        </w:rPr>
        <w:t>the</w:t>
      </w:r>
      <w:r>
        <w:rPr>
          <w:rFonts w:ascii="Times New Roman" w:hAnsi="Times New Roman" w:cs="Times New Roman" w:eastAsia="Times New Roman"/>
          <w:color w:val="6E6B6B"/>
          <w:spacing w:val="-16"/>
          <w:w w:val="105"/>
          <w:sz w:val="14"/>
          <w:szCs w:val="14"/>
        </w:rPr>
        <w:t> </w:t>
      </w:r>
      <w:r>
        <w:rPr>
          <w:rFonts w:ascii="Times New Roman" w:hAnsi="Times New Roman" w:cs="Times New Roman" w:eastAsia="Times New Roman"/>
          <w:color w:val="7E7B79"/>
          <w:w w:val="105"/>
          <w:sz w:val="14"/>
          <w:szCs w:val="14"/>
        </w:rPr>
        <w:t>chte</w:t>
      </w:r>
      <w:r>
        <w:rPr>
          <w:rFonts w:ascii="Times New Roman" w:hAnsi="Times New Roman" w:cs="Times New Roman" w:eastAsia="Times New Roman"/>
          <w:color w:val="7E7B79"/>
          <w:spacing w:val="-17"/>
          <w:w w:val="105"/>
          <w:sz w:val="14"/>
          <w:szCs w:val="14"/>
        </w:rPr>
        <w:t> </w:t>
      </w:r>
      <w:r>
        <w:rPr>
          <w:rFonts w:ascii="Times New Roman" w:hAnsi="Times New Roman" w:cs="Times New Roman" w:eastAsia="Times New Roman"/>
          <w:color w:val="6E6B6B"/>
          <w:w w:val="105"/>
          <w:sz w:val="14"/>
          <w:szCs w:val="14"/>
        </w:rPr>
        <w:t>ol</w:t>
      </w:r>
      <w:r>
        <w:rPr>
          <w:rFonts w:ascii="Times New Roman" w:hAnsi="Times New Roman" w:cs="Times New Roman" w:eastAsia="Times New Roman"/>
          <w:color w:val="6E6B6B"/>
          <w:spacing w:val="-19"/>
          <w:w w:val="105"/>
          <w:sz w:val="14"/>
          <w:szCs w:val="14"/>
        </w:rPr>
        <w:t> </w:t>
      </w:r>
      <w:r>
        <w:rPr>
          <w:rFonts w:ascii="Times New Roman" w:hAnsi="Times New Roman" w:cs="Times New Roman" w:eastAsia="Times New Roman"/>
          <w:color w:val="6E6B6B"/>
          <w:w w:val="105"/>
          <w:sz w:val="14"/>
          <w:szCs w:val="14"/>
        </w:rPr>
        <w:t>my</w:t>
      </w:r>
      <w:r>
        <w:rPr>
          <w:rFonts w:ascii="Times New Roman" w:hAnsi="Times New Roman" w:cs="Times New Roman" w:eastAsia="Times New Roman"/>
          <w:color w:val="6E6B6B"/>
          <w:spacing w:val="-13"/>
          <w:w w:val="105"/>
          <w:sz w:val="14"/>
          <w:szCs w:val="14"/>
        </w:rPr>
        <w:t> </w:t>
      </w:r>
      <w:r>
        <w:rPr>
          <w:rFonts w:ascii="Times New Roman" w:hAnsi="Times New Roman" w:cs="Times New Roman" w:eastAsia="Times New Roman"/>
          <w:color w:val="7E7B79"/>
          <w:spacing w:val="-2"/>
          <w:w w:val="105"/>
          <w:sz w:val="14"/>
          <w:szCs w:val="14"/>
        </w:rPr>
        <w:t>aud</w:t>
      </w:r>
      <w:r>
        <w:rPr>
          <w:rFonts w:ascii="Times New Roman" w:hAnsi="Times New Roman" w:cs="Times New Roman" w:eastAsia="Times New Roman"/>
          <w:color w:val="565454"/>
          <w:spacing w:val="-2"/>
          <w:w w:val="105"/>
          <w:sz w:val="14"/>
          <w:szCs w:val="14"/>
        </w:rPr>
        <w:t>ito</w:t>
      </w:r>
      <w:r>
        <w:rPr>
          <w:rFonts w:ascii="Times New Roman" w:hAnsi="Times New Roman" w:cs="Times New Roman" w:eastAsia="Times New Roman"/>
          <w:color w:val="7E7B79"/>
          <w:spacing w:val="-1"/>
          <w:w w:val="105"/>
          <w:sz w:val="14"/>
          <w:szCs w:val="14"/>
        </w:rPr>
        <w:t>r's</w:t>
      </w:r>
      <w:r>
        <w:rPr>
          <w:rFonts w:ascii="Times New Roman" w:hAnsi="Times New Roman" w:cs="Times New Roman" w:eastAsia="Times New Roman"/>
          <w:color w:val="7E7B79"/>
          <w:spacing w:val="-18"/>
          <w:w w:val="105"/>
          <w:sz w:val="14"/>
          <w:szCs w:val="14"/>
        </w:rPr>
        <w:t> </w:t>
      </w:r>
      <w:r>
        <w:rPr>
          <w:rFonts w:ascii="Arial" w:hAnsi="Arial" w:cs="Arial" w:eastAsia="Arial"/>
          <w:color w:val="918E8E"/>
          <w:spacing w:val="-1"/>
          <w:w w:val="130"/>
          <w:sz w:val="10"/>
          <w:szCs w:val="10"/>
        </w:rPr>
        <w:t>r</w:t>
      </w:r>
      <w:r>
        <w:rPr>
          <w:rFonts w:ascii="Arial" w:hAnsi="Arial" w:cs="Arial" w:eastAsia="Arial"/>
          <w:color w:val="6E6B6B"/>
          <w:spacing w:val="-1"/>
          <w:w w:val="130"/>
          <w:sz w:val="10"/>
          <w:szCs w:val="10"/>
        </w:rPr>
        <w:t>tl)Ort.</w:t>
      </w:r>
      <w:r>
        <w:rPr>
          <w:rFonts w:ascii="Arial" w:hAnsi="Arial" w:cs="Arial" w:eastAsia="Arial"/>
          <w:color w:val="6E6B6B"/>
          <w:spacing w:val="-20"/>
          <w:w w:val="130"/>
          <w:sz w:val="10"/>
          <w:szCs w:val="10"/>
        </w:rPr>
        <w:t> </w:t>
      </w:r>
      <w:r>
        <w:rPr>
          <w:rFonts w:ascii="Times New Roman" w:hAnsi="Times New Roman" w:cs="Times New Roman" w:eastAsia="Times New Roman"/>
          <w:color w:val="6E6B6B"/>
          <w:w w:val="105"/>
          <w:sz w:val="14"/>
          <w:szCs w:val="14"/>
        </w:rPr>
        <w:t>However.</w:t>
      </w:r>
      <w:r>
        <w:rPr>
          <w:rFonts w:ascii="Times New Roman" w:hAnsi="Times New Roman" w:cs="Times New Roman" w:eastAsia="Times New Roman"/>
          <w:color w:val="6E6B6B"/>
          <w:spacing w:val="-12"/>
          <w:w w:val="105"/>
          <w:sz w:val="14"/>
          <w:szCs w:val="14"/>
        </w:rPr>
        <w:t> </w:t>
      </w:r>
      <w:r>
        <w:rPr>
          <w:rFonts w:ascii="Times New Roman" w:hAnsi="Times New Roman" w:cs="Times New Roman" w:eastAsia="Times New Roman"/>
          <w:color w:val="6E6B6B"/>
          <w:spacing w:val="1"/>
          <w:w w:val="105"/>
          <w:sz w:val="14"/>
          <w:szCs w:val="14"/>
        </w:rPr>
        <w:t>future</w:t>
      </w:r>
      <w:r>
        <w:rPr>
          <w:rFonts w:ascii="Times New Roman" w:hAnsi="Times New Roman" w:cs="Times New Roman" w:eastAsia="Times New Roman"/>
          <w:color w:val="7E7B79"/>
          <w:spacing w:val="1"/>
          <w:w w:val="105"/>
          <w:sz w:val="14"/>
          <w:szCs w:val="14"/>
        </w:rPr>
        <w:t>even</w:t>
      </w:r>
      <w:r>
        <w:rPr>
          <w:rFonts w:ascii="Times New Roman" w:hAnsi="Times New Roman" w:cs="Times New Roman" w:eastAsia="Times New Roman"/>
          <w:color w:val="565454"/>
          <w:w w:val="105"/>
          <w:sz w:val="14"/>
          <w:szCs w:val="14"/>
        </w:rPr>
        <w:t>t</w:t>
      </w:r>
      <w:r>
        <w:rPr>
          <w:rFonts w:ascii="Times New Roman" w:hAnsi="Times New Roman" w:cs="Times New Roman" w:eastAsia="Times New Roman"/>
          <w:color w:val="7E7B79"/>
          <w:w w:val="105"/>
          <w:sz w:val="14"/>
          <w:szCs w:val="14"/>
        </w:rPr>
        <w:t>s</w:t>
      </w:r>
      <w:r>
        <w:rPr>
          <w:rFonts w:ascii="Times New Roman" w:hAnsi="Times New Roman" w:cs="Times New Roman" w:eastAsia="Times New Roman"/>
          <w:color w:val="7E7B79"/>
          <w:spacing w:val="1"/>
          <w:w w:val="105"/>
          <w:sz w:val="14"/>
          <w:szCs w:val="14"/>
        </w:rPr>
        <w:t>or</w:t>
      </w:r>
      <w:r>
        <w:rPr>
          <w:rFonts w:ascii="Times New Roman" w:hAnsi="Times New Roman" w:cs="Times New Roman" w:eastAsia="Times New Roman"/>
          <w:color w:val="7E7B79"/>
          <w:spacing w:val="-15"/>
          <w:w w:val="105"/>
          <w:sz w:val="14"/>
          <w:szCs w:val="14"/>
        </w:rPr>
        <w:t> </w:t>
      </w:r>
      <w:r>
        <w:rPr>
          <w:rFonts w:ascii="Times New Roman" w:hAnsi="Times New Roman" w:cs="Times New Roman" w:eastAsia="Times New Roman"/>
          <w:color w:val="6E6B6B"/>
          <w:w w:val="105"/>
          <w:sz w:val="14"/>
          <w:szCs w:val="14"/>
        </w:rPr>
        <w:t>condition$</w:t>
      </w:r>
      <w:r>
        <w:rPr>
          <w:rFonts w:ascii="Times New Roman" w:hAnsi="Times New Roman" w:cs="Times New Roman" w:eastAsia="Times New Roman"/>
          <w:color w:val="6E6B6B"/>
          <w:spacing w:val="47"/>
          <w:w w:val="95"/>
          <w:sz w:val="14"/>
          <w:szCs w:val="14"/>
        </w:rPr>
        <w:t> </w:t>
      </w:r>
      <w:r>
        <w:rPr>
          <w:rFonts w:ascii="Arial" w:hAnsi="Arial" w:cs="Arial" w:eastAsia="Arial"/>
          <w:color w:val="6E6B6B"/>
          <w:w w:val="105"/>
          <w:sz w:val="12"/>
          <w:szCs w:val="12"/>
        </w:rPr>
        <w:t>n.....,.</w:t>
      </w:r>
      <w:r>
        <w:rPr>
          <w:rFonts w:ascii="Times New Roman" w:hAnsi="Times New Roman" w:cs="Times New Roman" w:eastAsia="Times New Roman"/>
          <w:color w:val="7E7B79"/>
          <w:w w:val="105"/>
          <w:sz w:val="16"/>
          <w:szCs w:val="16"/>
        </w:rPr>
        <w:t>cause</w:t>
      </w:r>
      <w:r>
        <w:rPr>
          <w:rFonts w:ascii="Times New Roman" w:hAnsi="Times New Roman" w:cs="Times New Roman" w:eastAsia="Times New Roman"/>
          <w:color w:val="7E7B79"/>
          <w:spacing w:val="-33"/>
          <w:w w:val="105"/>
          <w:sz w:val="16"/>
          <w:szCs w:val="16"/>
        </w:rPr>
        <w:t> </w:t>
      </w:r>
      <w:r>
        <w:rPr>
          <w:rFonts w:ascii="Times New Roman" w:hAnsi="Times New Roman" w:cs="Times New Roman" w:eastAsia="Times New Roman"/>
          <w:color w:val="6E6B6B"/>
          <w:w w:val="105"/>
          <w:sz w:val="14"/>
          <w:szCs w:val="14"/>
        </w:rPr>
        <w:t>th</w:t>
      </w:r>
      <w:r>
        <w:rPr>
          <w:rFonts w:ascii="Times New Roman" w:hAnsi="Times New Roman" w:cs="Times New Roman" w:eastAsia="Times New Roman"/>
          <w:color w:val="918E8E"/>
          <w:w w:val="105"/>
          <w:sz w:val="14"/>
          <w:szCs w:val="14"/>
        </w:rPr>
        <w:t>e</w:t>
      </w:r>
      <w:r>
        <w:rPr>
          <w:rFonts w:ascii="Times New Roman" w:hAnsi="Times New Roman" w:cs="Times New Roman" w:eastAsia="Times New Roman"/>
          <w:color w:val="6E6B6B"/>
          <w:w w:val="105"/>
          <w:sz w:val="14"/>
          <w:szCs w:val="14"/>
        </w:rPr>
        <w:t>Company</w:t>
      </w:r>
      <w:r>
        <w:rPr>
          <w:rFonts w:ascii="Times New Roman" w:hAnsi="Times New Roman" w:cs="Times New Roman" w:eastAsia="Times New Roman"/>
          <w:color w:val="6E6B6B"/>
          <w:spacing w:val="-31"/>
          <w:w w:val="105"/>
          <w:sz w:val="14"/>
          <w:szCs w:val="14"/>
        </w:rPr>
        <w:t> </w:t>
      </w:r>
      <w:r>
        <w:rPr>
          <w:rFonts w:ascii="Times New Roman" w:hAnsi="Times New Roman" w:cs="Times New Roman" w:eastAsia="Times New Roman"/>
          <w:color w:val="6E6B6B"/>
          <w:w w:val="105"/>
          <w:sz w:val="14"/>
          <w:szCs w:val="14"/>
        </w:rPr>
        <w:t>t</w:t>
      </w:r>
      <w:r>
        <w:rPr>
          <w:rFonts w:ascii="Times New Roman" w:hAnsi="Times New Roman" w:cs="Times New Roman" w:eastAsia="Times New Roman"/>
          <w:color w:val="6E6B6B"/>
          <w:spacing w:val="7"/>
          <w:w w:val="105"/>
          <w:sz w:val="14"/>
          <w:szCs w:val="14"/>
        </w:rPr>
        <w:t>o</w:t>
      </w:r>
      <w:r>
        <w:rPr>
          <w:rFonts w:ascii="Times New Roman" w:hAnsi="Times New Roman" w:cs="Times New Roman" w:eastAsia="Times New Roman"/>
          <w:color w:val="7E7B79"/>
          <w:w w:val="105"/>
          <w:sz w:val="16"/>
          <w:szCs w:val="16"/>
        </w:rPr>
        <w:t>c</w:t>
      </w:r>
      <w:r>
        <w:rPr>
          <w:rFonts w:ascii="Times New Roman" w:hAnsi="Times New Roman" w:cs="Times New Roman" w:eastAsia="Times New Roman"/>
          <w:color w:val="7E7B79"/>
          <w:spacing w:val="-23"/>
          <w:w w:val="105"/>
          <w:sz w:val="16"/>
          <w:szCs w:val="16"/>
        </w:rPr>
        <w:t>e</w:t>
      </w:r>
      <w:r>
        <w:rPr>
          <w:rFonts w:ascii="Times New Roman" w:hAnsi="Times New Roman" w:cs="Times New Roman" w:eastAsia="Times New Roman"/>
          <w:color w:val="7E7B79"/>
          <w:w w:val="105"/>
          <w:sz w:val="16"/>
          <w:szCs w:val="16"/>
        </w:rPr>
        <w:t>ase</w:t>
      </w:r>
      <w:r>
        <w:rPr>
          <w:rFonts w:ascii="Times New Roman" w:hAnsi="Times New Roman" w:cs="Times New Roman" w:eastAsia="Times New Roman"/>
          <w:color w:val="7E7B79"/>
          <w:spacing w:val="-34"/>
          <w:w w:val="105"/>
          <w:sz w:val="16"/>
          <w:szCs w:val="16"/>
        </w:rPr>
        <w:t> </w:t>
      </w:r>
      <w:r>
        <w:rPr>
          <w:rFonts w:ascii="Times New Roman" w:hAnsi="Times New Roman" w:cs="Times New Roman" w:eastAsia="Times New Roman"/>
          <w:color w:val="6E6B6B"/>
          <w:w w:val="105"/>
          <w:sz w:val="14"/>
          <w:szCs w:val="14"/>
        </w:rPr>
        <w:t>tocontin\.le</w:t>
      </w:r>
      <w:r>
        <w:rPr>
          <w:rFonts w:ascii="Times New Roman" w:hAnsi="Times New Roman" w:cs="Times New Roman" w:eastAsia="Times New Roman"/>
          <w:color w:val="6E6B6B"/>
          <w:spacing w:val="-26"/>
          <w:w w:val="105"/>
          <w:sz w:val="14"/>
          <w:szCs w:val="14"/>
        </w:rPr>
        <w:t> </w:t>
      </w:r>
      <w:r>
        <w:rPr>
          <w:rFonts w:ascii="Times New Roman" w:hAnsi="Times New Roman" w:cs="Times New Roman" w:eastAsia="Times New Roman"/>
          <w:color w:val="7E7B79"/>
          <w:w w:val="105"/>
          <w:sz w:val="14"/>
          <w:szCs w:val="14"/>
        </w:rPr>
        <w:t>as</w:t>
      </w:r>
      <w:r>
        <w:rPr>
          <w:rFonts w:ascii="Times New Roman" w:hAnsi="Times New Roman" w:cs="Times New Roman" w:eastAsia="Times New Roman"/>
          <w:color w:val="7E7B79"/>
          <w:spacing w:val="-30"/>
          <w:w w:val="105"/>
          <w:sz w:val="14"/>
          <w:szCs w:val="14"/>
        </w:rPr>
        <w:t> </w:t>
      </w:r>
      <w:r>
        <w:rPr>
          <w:rFonts w:ascii="Times New Roman" w:hAnsi="Times New Roman" w:cs="Times New Roman" w:eastAsia="Times New Roman"/>
          <w:color w:val="6E6B6B"/>
          <w:w w:val="105"/>
          <w:sz w:val="16"/>
          <w:szCs w:val="16"/>
        </w:rPr>
        <w:t>a</w:t>
      </w:r>
      <w:r>
        <w:rPr>
          <w:rFonts w:ascii="Times New Roman" w:hAnsi="Times New Roman" w:cs="Times New Roman" w:eastAsia="Times New Roman"/>
          <w:color w:val="6E6B6B"/>
          <w:spacing w:val="-34"/>
          <w:w w:val="105"/>
          <w:sz w:val="16"/>
          <w:szCs w:val="16"/>
        </w:rPr>
        <w:t> </w:t>
      </w:r>
      <w:r>
        <w:rPr>
          <w:rFonts w:ascii="Times New Roman" w:hAnsi="Times New Roman" w:cs="Times New Roman" w:eastAsia="Times New Roman"/>
          <w:color w:val="6E6B6B"/>
          <w:w w:val="130"/>
          <w:sz w:val="14"/>
          <w:szCs w:val="14"/>
        </w:rPr>
        <w:t>goinacon</w:t>
      </w:r>
      <w:r>
        <w:rPr>
          <w:rFonts w:ascii="Times New Roman" w:hAnsi="Times New Roman" w:cs="Times New Roman" w:eastAsia="Times New Roman"/>
          <w:color w:val="918E8E"/>
          <w:w w:val="130"/>
          <w:sz w:val="14"/>
          <w:szCs w:val="14"/>
        </w:rPr>
        <w:t>.</w:t>
      </w:r>
      <w:r>
        <w:rPr>
          <w:rFonts w:ascii="Times New Roman" w:hAnsi="Times New Roman" w:cs="Times New Roman" w:eastAsia="Times New Roman"/>
          <w:sz w:val="14"/>
          <w:szCs w:val="14"/>
        </w:rPr>
      </w:r>
    </w:p>
    <w:p>
      <w:pPr>
        <w:spacing w:line="235" w:lineRule="auto" w:before="11"/>
        <w:ind w:left="1254" w:right="1166" w:firstLine="0"/>
        <w:jc w:val="both"/>
        <w:rPr>
          <w:rFonts w:ascii="Times New Roman" w:hAnsi="Times New Roman" w:cs="Times New Roman" w:eastAsia="Times New Roman"/>
          <w:sz w:val="14"/>
          <w:szCs w:val="14"/>
        </w:rPr>
      </w:pPr>
      <w:r>
        <w:rPr>
          <w:rFonts w:ascii="Times New Roman" w:hAnsi="Times New Roman"/>
          <w:color w:val="6E6B6B"/>
          <w:w w:val="105"/>
          <w:sz w:val="14"/>
        </w:rPr>
        <w:t>(vaf\late</w:t>
      </w:r>
      <w:r>
        <w:rPr>
          <w:rFonts w:ascii="Times New Roman" w:hAnsi="Times New Roman"/>
          <w:color w:val="6E6B6B"/>
          <w:spacing w:val="-14"/>
          <w:w w:val="105"/>
          <w:sz w:val="14"/>
        </w:rPr>
        <w:t> </w:t>
      </w:r>
      <w:r>
        <w:rPr>
          <w:rFonts w:ascii="Times New Roman" w:hAnsi="Times New Roman"/>
          <w:color w:val="7E7B79"/>
          <w:w w:val="105"/>
          <w:sz w:val="14"/>
        </w:rPr>
        <w:t>the</w:t>
      </w:r>
      <w:r>
        <w:rPr>
          <w:rFonts w:ascii="Times New Roman" w:hAnsi="Times New Roman"/>
          <w:color w:val="7E7B79"/>
          <w:spacing w:val="-17"/>
          <w:w w:val="105"/>
          <w:sz w:val="14"/>
        </w:rPr>
        <w:t> </w:t>
      </w:r>
      <w:r>
        <w:rPr>
          <w:rFonts w:ascii="Times New Roman" w:hAnsi="Times New Roman"/>
          <w:color w:val="7E7B79"/>
          <w:w w:val="105"/>
          <w:sz w:val="13"/>
        </w:rPr>
        <w:t>owrall</w:t>
      </w:r>
      <w:r>
        <w:rPr>
          <w:rFonts w:ascii="Times New Roman" w:hAnsi="Times New Roman"/>
          <w:color w:val="7E7B79"/>
          <w:spacing w:val="-14"/>
          <w:w w:val="105"/>
          <w:sz w:val="13"/>
        </w:rPr>
        <w:t> </w:t>
      </w:r>
      <w:r>
        <w:rPr>
          <w:rFonts w:ascii="Times New Roman" w:hAnsi="Times New Roman"/>
          <w:color w:val="7E7B79"/>
          <w:w w:val="105"/>
          <w:sz w:val="14"/>
        </w:rPr>
        <w:t>presentlon,</w:t>
      </w:r>
      <w:r>
        <w:rPr>
          <w:rFonts w:ascii="Times New Roman" w:hAnsi="Times New Roman"/>
          <w:color w:val="7E7B79"/>
          <w:spacing w:val="-5"/>
          <w:w w:val="105"/>
          <w:sz w:val="14"/>
        </w:rPr>
        <w:t> </w:t>
      </w:r>
      <w:r>
        <w:rPr>
          <w:rFonts w:ascii="Times New Roman" w:hAnsi="Times New Roman"/>
          <w:color w:val="6E6B6B"/>
          <w:w w:val="105"/>
          <w:sz w:val="14"/>
        </w:rPr>
        <w:t>structure</w:t>
      </w:r>
      <w:r>
        <w:rPr>
          <w:rFonts w:ascii="Times New Roman" w:hAnsi="Times New Roman"/>
          <w:color w:val="6E6B6B"/>
          <w:spacing w:val="-3"/>
          <w:w w:val="105"/>
          <w:sz w:val="14"/>
        </w:rPr>
        <w:t> </w:t>
      </w:r>
      <w:r>
        <w:rPr>
          <w:rFonts w:ascii="Times New Roman" w:hAnsi="Times New Roman"/>
          <w:color w:val="6E6B6B"/>
          <w:w w:val="105"/>
          <w:sz w:val="14"/>
        </w:rPr>
        <w:t>and</w:t>
      </w:r>
      <w:r>
        <w:rPr>
          <w:rFonts w:ascii="Times New Roman" w:hAnsi="Times New Roman"/>
          <w:color w:val="6E6B6B"/>
          <w:spacing w:val="-15"/>
          <w:w w:val="105"/>
          <w:sz w:val="14"/>
        </w:rPr>
        <w:t> </w:t>
      </w:r>
      <w:r>
        <w:rPr>
          <w:rFonts w:ascii="Times New Roman" w:hAnsi="Times New Roman"/>
          <w:color w:val="7E7B79"/>
          <w:w w:val="105"/>
          <w:sz w:val="14"/>
        </w:rPr>
        <w:t>((ln(tnt</w:t>
      </w:r>
      <w:r>
        <w:rPr>
          <w:rFonts w:ascii="Times New Roman" w:hAnsi="Times New Roman"/>
          <w:color w:val="7E7B79"/>
          <w:spacing w:val="-13"/>
          <w:w w:val="105"/>
          <w:sz w:val="14"/>
        </w:rPr>
        <w:t> </w:t>
      </w:r>
      <w:r>
        <w:rPr>
          <w:rFonts w:ascii="Arial" w:hAnsi="Arial"/>
          <w:color w:val="6E6B6B"/>
          <w:w w:val="105"/>
          <w:sz w:val="13"/>
        </w:rPr>
        <w:t>of</w:t>
      </w:r>
      <w:r>
        <w:rPr>
          <w:rFonts w:ascii="Arial" w:hAnsi="Arial"/>
          <w:color w:val="6E6B6B"/>
          <w:spacing w:val="-2"/>
          <w:w w:val="105"/>
          <w:sz w:val="13"/>
        </w:rPr>
        <w:t> </w:t>
      </w:r>
      <w:r>
        <w:rPr>
          <w:rFonts w:ascii="Times New Roman" w:hAnsi="Times New Roman"/>
          <w:color w:val="6E6B6B"/>
          <w:w w:val="105"/>
          <w:sz w:val="14"/>
        </w:rPr>
        <w:t>ttM</w:t>
      </w:r>
      <w:r>
        <w:rPr>
          <w:rFonts w:ascii="Times New Roman" w:hAnsi="Times New Roman"/>
          <w:color w:val="6E6B6B"/>
          <w:spacing w:val="-15"/>
          <w:w w:val="105"/>
          <w:sz w:val="14"/>
        </w:rPr>
        <w:t> </w:t>
      </w:r>
      <w:r>
        <w:rPr>
          <w:rFonts w:ascii="Times New Roman" w:hAnsi="Times New Roman"/>
          <w:color w:val="7E7B79"/>
          <w:w w:val="105"/>
          <w:sz w:val="14"/>
        </w:rPr>
        <w:t>flnanctal</w:t>
      </w:r>
      <w:r>
        <w:rPr>
          <w:rFonts w:ascii="Times New Roman" w:hAnsi="Times New Roman"/>
          <w:color w:val="7E7B79"/>
          <w:spacing w:val="-2"/>
          <w:w w:val="105"/>
          <w:sz w:val="14"/>
        </w:rPr>
        <w:t> </w:t>
      </w:r>
      <w:r>
        <w:rPr>
          <w:rFonts w:ascii="Times New Roman" w:hAnsi="Times New Roman"/>
          <w:i/>
          <w:color w:val="6E6B6B"/>
          <w:w w:val="135"/>
          <w:sz w:val="11"/>
        </w:rPr>
        <w:t>tf90'\.</w:t>
      </w:r>
      <w:r>
        <w:rPr>
          <w:rFonts w:ascii="Times New Roman" w:hAnsi="Times New Roman"/>
          <w:i/>
          <w:color w:val="6E6B6B"/>
          <w:spacing w:val="-21"/>
          <w:w w:val="135"/>
          <w:sz w:val="11"/>
        </w:rPr>
        <w:t> </w:t>
      </w:r>
      <w:r>
        <w:rPr>
          <w:rFonts w:ascii="Times New Roman" w:hAnsi="Times New Roman"/>
          <w:color w:val="7E7B79"/>
          <w:spacing w:val="-3"/>
          <w:w w:val="105"/>
          <w:sz w:val="14"/>
        </w:rPr>
        <w:t>lnchxflna</w:t>
      </w:r>
      <w:r>
        <w:rPr>
          <w:rFonts w:ascii="Times New Roman" w:hAnsi="Times New Roman"/>
          <w:color w:val="7E7B79"/>
          <w:spacing w:val="-16"/>
          <w:w w:val="105"/>
          <w:sz w:val="14"/>
        </w:rPr>
        <w:t> </w:t>
      </w:r>
      <w:r>
        <w:rPr>
          <w:rFonts w:ascii="Times New Roman" w:hAnsi="Times New Roman"/>
          <w:color w:val="6E6B6B"/>
          <w:w w:val="105"/>
          <w:sz w:val="14"/>
        </w:rPr>
        <w:t>the</w:t>
      </w:r>
      <w:r>
        <w:rPr>
          <w:rFonts w:ascii="Times New Roman" w:hAnsi="Times New Roman"/>
          <w:color w:val="6E6B6B"/>
          <w:spacing w:val="-16"/>
          <w:w w:val="105"/>
          <w:sz w:val="14"/>
        </w:rPr>
        <w:t> </w:t>
      </w:r>
      <w:r>
        <w:rPr>
          <w:rFonts w:ascii="Times New Roman" w:hAnsi="Times New Roman"/>
          <w:color w:val="7E7B79"/>
          <w:sz w:val="14"/>
        </w:rPr>
        <w:t>&lt;lsc105Ure:s.</w:t>
      </w:r>
      <w:r>
        <w:rPr>
          <w:rFonts w:ascii="Times New Roman" w:hAnsi="Times New Roman"/>
          <w:color w:val="7E7B79"/>
          <w:spacing w:val="22"/>
          <w:w w:val="81"/>
          <w:sz w:val="14"/>
        </w:rPr>
        <w:t> </w:t>
      </w:r>
      <w:r>
        <w:rPr>
          <w:rFonts w:ascii="Arial" w:hAnsi="Arial"/>
          <w:color w:val="7E7B79"/>
          <w:w w:val="105"/>
          <w:sz w:val="13"/>
        </w:rPr>
        <w:t>af'ld</w:t>
      </w:r>
      <w:r>
        <w:rPr>
          <w:rFonts w:ascii="Arial" w:hAnsi="Arial"/>
          <w:color w:val="7E7B79"/>
          <w:spacing w:val="-5"/>
          <w:w w:val="105"/>
          <w:sz w:val="13"/>
        </w:rPr>
        <w:t> </w:t>
      </w:r>
      <w:r>
        <w:rPr>
          <w:rFonts w:ascii="Times New Roman" w:hAnsi="Times New Roman"/>
          <w:color w:val="6E6B6B"/>
          <w:w w:val="105"/>
          <w:sz w:val="14"/>
        </w:rPr>
        <w:t>wl\edler</w:t>
      </w:r>
      <w:r>
        <w:rPr>
          <w:rFonts w:ascii="Times New Roman" w:hAnsi="Times New Roman"/>
          <w:color w:val="6E6B6B"/>
          <w:spacing w:val="-2"/>
          <w:w w:val="105"/>
          <w:sz w:val="14"/>
        </w:rPr>
        <w:t> </w:t>
      </w:r>
      <w:r>
        <w:rPr>
          <w:rFonts w:ascii="Times New Roman" w:hAnsi="Times New Roman"/>
          <w:color w:val="6E6B6B"/>
          <w:w w:val="105"/>
          <w:sz w:val="14"/>
        </w:rPr>
        <w:t>the</w:t>
      </w:r>
      <w:r>
        <w:rPr>
          <w:rFonts w:ascii="Times New Roman" w:hAnsi="Times New Roman"/>
          <w:color w:val="6E6B6B"/>
          <w:spacing w:val="1"/>
          <w:w w:val="105"/>
          <w:sz w:val="14"/>
        </w:rPr>
        <w:t> </w:t>
      </w:r>
      <w:r>
        <w:rPr>
          <w:rFonts w:ascii="Times New Roman" w:hAnsi="Times New Roman"/>
          <w:color w:val="6E6B6B"/>
          <w:sz w:val="14"/>
        </w:rPr>
        <w:t>fil\llnclal</w:t>
      </w:r>
      <w:r>
        <w:rPr>
          <w:rFonts w:ascii="Times New Roman" w:hAnsi="Times New Roman"/>
          <w:color w:val="6E6B6B"/>
          <w:spacing w:val="7"/>
          <w:sz w:val="14"/>
        </w:rPr>
        <w:t> </w:t>
      </w:r>
      <w:r>
        <w:rPr>
          <w:rFonts w:ascii="Times New Roman" w:hAnsi="Times New Roman"/>
          <w:color w:val="6E6B6B"/>
          <w:sz w:val="14"/>
        </w:rPr>
        <w:t>re-pon.</w:t>
      </w:r>
      <w:r>
        <w:rPr>
          <w:rFonts w:ascii="Times New Roman" w:hAnsi="Times New Roman"/>
          <w:color w:val="6E6B6B"/>
          <w:spacing w:val="2"/>
          <w:sz w:val="14"/>
        </w:rPr>
        <w:t> </w:t>
      </w:r>
      <w:r>
        <w:rPr>
          <w:rFonts w:ascii="Times New Roman" w:hAnsi="Times New Roman"/>
          <w:color w:val="6E6B6B"/>
          <w:w w:val="105"/>
          <w:sz w:val="14"/>
        </w:rPr>
        <w:t>""P'tsents</w:t>
      </w:r>
      <w:r>
        <w:rPr>
          <w:rFonts w:ascii="Times New Roman" w:hAnsi="Times New Roman"/>
          <w:color w:val="6E6B6B"/>
          <w:spacing w:val="-11"/>
          <w:w w:val="105"/>
          <w:sz w:val="14"/>
        </w:rPr>
        <w:t> </w:t>
      </w:r>
      <w:r>
        <w:rPr>
          <w:rFonts w:ascii="Times New Roman" w:hAnsi="Times New Roman"/>
          <w:color w:val="6E6B6B"/>
          <w:w w:val="105"/>
          <w:sz w:val="14"/>
        </w:rPr>
        <w:t>ctle </w:t>
      </w:r>
      <w:r>
        <w:rPr>
          <w:rFonts w:ascii="Times New Roman" w:hAnsi="Times New Roman"/>
          <w:color w:val="7E7B79"/>
          <w:spacing w:val="-1"/>
          <w:w w:val="105"/>
          <w:sz w:val="14"/>
        </w:rPr>
        <w:t>ul\dt,.,."8</w:t>
      </w:r>
      <w:r>
        <w:rPr>
          <w:rFonts w:ascii="Times New Roman" w:hAnsi="Times New Roman"/>
          <w:color w:val="7E7B79"/>
          <w:spacing w:val="-21"/>
          <w:w w:val="105"/>
          <w:sz w:val="14"/>
        </w:rPr>
        <w:t> </w:t>
      </w:r>
      <w:r>
        <w:rPr>
          <w:rFonts w:ascii="Times New Roman" w:hAnsi="Times New Roman"/>
          <w:color w:val="6E6B6B"/>
          <w:w w:val="105"/>
          <w:sz w:val="14"/>
        </w:rPr>
        <w:t>ttans.action$</w:t>
      </w:r>
      <w:r>
        <w:rPr>
          <w:rFonts w:ascii="Times New Roman" w:hAnsi="Times New Roman"/>
          <w:color w:val="6E6B6B"/>
          <w:spacing w:val="8"/>
          <w:w w:val="105"/>
          <w:sz w:val="14"/>
        </w:rPr>
        <w:t> </w:t>
      </w:r>
      <w:r>
        <w:rPr>
          <w:rFonts w:ascii="Times New Roman" w:hAnsi="Times New Roman"/>
          <w:color w:val="7E7B79"/>
          <w:w w:val="105"/>
          <w:sz w:val="14"/>
        </w:rPr>
        <w:t>and</w:t>
      </w:r>
      <w:r>
        <w:rPr>
          <w:rFonts w:ascii="Times New Roman" w:hAnsi="Times New Roman"/>
          <w:color w:val="7E7B79"/>
          <w:spacing w:val="3"/>
          <w:w w:val="105"/>
          <w:sz w:val="14"/>
        </w:rPr>
        <w:t> </w:t>
      </w:r>
      <w:r>
        <w:rPr>
          <w:rFonts w:ascii="Arial" w:hAnsi="Arial"/>
          <w:color w:val="7E7B79"/>
          <w:w w:val="135"/>
          <w:sz w:val="11"/>
        </w:rPr>
        <w:t>t¥tt'lts</w:t>
      </w:r>
      <w:r>
        <w:rPr>
          <w:rFonts w:ascii="Arial" w:hAnsi="Arial"/>
          <w:color w:val="7E7B79"/>
          <w:spacing w:val="-5"/>
          <w:w w:val="135"/>
          <w:sz w:val="11"/>
        </w:rPr>
        <w:t> </w:t>
      </w:r>
      <w:r>
        <w:rPr>
          <w:rFonts w:ascii="Times New Roman" w:hAnsi="Times New Roman"/>
          <w:color w:val="6E6B6B"/>
          <w:w w:val="105"/>
          <w:sz w:val="14"/>
        </w:rPr>
        <w:t>In</w:t>
      </w:r>
      <w:r>
        <w:rPr>
          <w:rFonts w:ascii="Times New Roman" w:hAnsi="Times New Roman"/>
          <w:color w:val="6E6B6B"/>
          <w:spacing w:val="1"/>
          <w:w w:val="105"/>
          <w:sz w:val="14"/>
        </w:rPr>
        <w:t> </w:t>
      </w:r>
      <w:r>
        <w:rPr>
          <w:rFonts w:ascii="Times New Roman" w:hAnsi="Times New Roman"/>
          <w:color w:val="7E7B79"/>
          <w:w w:val="105"/>
          <w:sz w:val="14"/>
        </w:rPr>
        <w:t>a</w:t>
      </w:r>
      <w:r>
        <w:rPr>
          <w:rFonts w:ascii="Times New Roman" w:hAnsi="Times New Roman"/>
          <w:color w:val="7E7B79"/>
          <w:spacing w:val="-10"/>
          <w:w w:val="105"/>
          <w:sz w:val="14"/>
        </w:rPr>
        <w:t> </w:t>
      </w:r>
      <w:r>
        <w:rPr>
          <w:rFonts w:ascii="Times New Roman" w:hAnsi="Times New Roman"/>
          <w:color w:val="6E6B6B"/>
          <w:w w:val="105"/>
          <w:sz w:val="14"/>
        </w:rPr>
        <w:t>manner</w:t>
      </w:r>
      <w:r>
        <w:rPr>
          <w:rFonts w:ascii="Times New Roman" w:hAnsi="Times New Roman"/>
          <w:color w:val="6E6B6B"/>
          <w:spacing w:val="7"/>
          <w:w w:val="105"/>
          <w:sz w:val="14"/>
        </w:rPr>
        <w:t> </w:t>
      </w:r>
      <w:r>
        <w:rPr>
          <w:rFonts w:ascii="Times New Roman" w:hAnsi="Times New Roman"/>
          <w:color w:val="6E6B6B"/>
          <w:w w:val="105"/>
          <w:sz w:val="14"/>
        </w:rPr>
        <w:t>that</w:t>
      </w:r>
      <w:r>
        <w:rPr>
          <w:rFonts w:ascii="Times New Roman" w:hAnsi="Times New Roman"/>
          <w:color w:val="6E6B6B"/>
          <w:spacing w:val="25"/>
          <w:w w:val="107"/>
          <w:sz w:val="14"/>
        </w:rPr>
        <w:t> </w:t>
      </w:r>
      <w:r>
        <w:rPr>
          <w:rFonts w:ascii="Times New Roman" w:hAnsi="Times New Roman"/>
          <w:color w:val="7E7B79"/>
          <w:sz w:val="14"/>
        </w:rPr>
        <w:t>achie'!ff</w:t>
      </w:r>
      <w:r>
        <w:rPr>
          <w:rFonts w:ascii="Times New Roman" w:hAnsi="Times New Roman"/>
          <w:color w:val="7E7B79"/>
          <w:spacing w:val="27"/>
          <w:sz w:val="14"/>
        </w:rPr>
        <w:t> </w:t>
      </w:r>
      <w:r>
        <w:rPr>
          <w:rFonts w:ascii="Times New Roman" w:hAnsi="Times New Roman"/>
          <w:color w:val="6E6B6B"/>
          <w:sz w:val="14"/>
        </w:rPr>
        <w:t>fair</w:t>
      </w:r>
      <w:r>
        <w:rPr>
          <w:rFonts w:ascii="Times New Roman" w:hAnsi="Times New Roman"/>
          <w:color w:val="6E6B6B"/>
          <w:spacing w:val="-19"/>
          <w:sz w:val="14"/>
        </w:rPr>
        <w:t> </w:t>
      </w:r>
      <w:r>
        <w:rPr>
          <w:rFonts w:ascii="Times New Roman" w:hAnsi="Times New Roman"/>
          <w:color w:val="6E6B6B"/>
          <w:sz w:val="14"/>
        </w:rPr>
        <w:t>OttstnUtlon.</w:t>
      </w:r>
      <w:r>
        <w:rPr>
          <w:rFonts w:ascii="Times New Roman" w:hAnsi="Times New Roman"/>
          <w:sz w:val="14"/>
        </w:rPr>
      </w:r>
    </w:p>
    <w:p>
      <w:pPr>
        <w:spacing w:line="170" w:lineRule="exact" w:before="118"/>
        <w:ind w:left="1067" w:right="0" w:firstLine="0"/>
        <w:jc w:val="both"/>
        <w:rPr>
          <w:rFonts w:ascii="Times New Roman" w:hAnsi="Times New Roman" w:cs="Times New Roman" w:eastAsia="Times New Roman"/>
          <w:sz w:val="14"/>
          <w:szCs w:val="14"/>
        </w:rPr>
      </w:pPr>
      <w:r>
        <w:rPr>
          <w:rFonts w:ascii="Times New Roman"/>
          <w:color w:val="565454"/>
          <w:sz w:val="11"/>
        </w:rPr>
        <w:t>1</w:t>
      </w:r>
      <w:r>
        <w:rPr>
          <w:rFonts w:ascii="Times New Roman"/>
          <w:color w:val="6E6B6B"/>
          <w:sz w:val="14"/>
        </w:rPr>
        <w:t>()Qmll'WJne</w:t>
      </w:r>
      <w:r>
        <w:rPr>
          <w:rFonts w:ascii="Times New Roman"/>
          <w:color w:val="6E6B6B"/>
          <w:spacing w:val="-18"/>
          <w:sz w:val="14"/>
        </w:rPr>
        <w:t> </w:t>
      </w:r>
      <w:r>
        <w:rPr>
          <w:rFonts w:ascii="Times New Roman"/>
          <w:color w:val="6E6B6B"/>
          <w:sz w:val="14"/>
        </w:rPr>
        <w:t>with</w:t>
      </w:r>
      <w:r>
        <w:rPr>
          <w:rFonts w:ascii="Times New Roman"/>
          <w:color w:val="6E6B6B"/>
          <w:spacing w:val="-2"/>
          <w:sz w:val="14"/>
        </w:rPr>
        <w:t> </w:t>
      </w:r>
      <w:r>
        <w:rPr>
          <w:rFonts w:ascii="Times New Roman"/>
          <w:color w:val="6E6B6B"/>
          <w:sz w:val="14"/>
        </w:rPr>
        <w:t>ttie</w:t>
      </w:r>
      <w:r>
        <w:rPr>
          <w:rFonts w:ascii="Times New Roman"/>
          <w:color w:val="6E6B6B"/>
          <w:spacing w:val="-8"/>
          <w:sz w:val="14"/>
        </w:rPr>
        <w:t> </w:t>
      </w:r>
      <w:r>
        <w:rPr>
          <w:rFonts w:ascii="Times New Roman"/>
          <w:color w:val="7E7B79"/>
          <w:sz w:val="15"/>
        </w:rPr>
        <w:t>directors</w:t>
      </w:r>
      <w:r>
        <w:rPr>
          <w:rFonts w:ascii="Times New Roman"/>
          <w:color w:val="7E7B79"/>
          <w:spacing w:val="-8"/>
          <w:sz w:val="15"/>
        </w:rPr>
        <w:t> </w:t>
      </w:r>
      <w:r>
        <w:rPr>
          <w:rFonts w:ascii="Times New Roman"/>
          <w:color w:val="6E6B6B"/>
          <w:sz w:val="14"/>
        </w:rPr>
        <w:t>r('prdlna.</w:t>
      </w:r>
      <w:r>
        <w:rPr>
          <w:rFonts w:ascii="Times New Roman"/>
          <w:color w:val="6E6B6B"/>
          <w:spacing w:val="-6"/>
          <w:sz w:val="14"/>
        </w:rPr>
        <w:t> </w:t>
      </w:r>
      <w:r>
        <w:rPr>
          <w:rFonts w:ascii="Times New Roman"/>
          <w:color w:val="6E6B6B"/>
          <w:sz w:val="13"/>
        </w:rPr>
        <w:t>atnO"i</w:t>
      </w:r>
      <w:r>
        <w:rPr>
          <w:rFonts w:ascii="Times New Roman"/>
          <w:color w:val="6E6B6B"/>
          <w:spacing w:val="-4"/>
          <w:sz w:val="13"/>
        </w:rPr>
        <w:t> </w:t>
      </w:r>
      <w:r>
        <w:rPr>
          <w:rFonts w:ascii="Times New Roman"/>
          <w:color w:val="6E6B6B"/>
          <w:sz w:val="14"/>
        </w:rPr>
        <w:t>othcc</w:t>
      </w:r>
      <w:r>
        <w:rPr>
          <w:rFonts w:ascii="Times New Roman"/>
          <w:color w:val="6E6B6B"/>
          <w:spacing w:val="-10"/>
          <w:sz w:val="14"/>
        </w:rPr>
        <w:t> </w:t>
      </w:r>
      <w:r>
        <w:rPr>
          <w:rFonts w:ascii="Times New Roman"/>
          <w:color w:val="6E6B6B"/>
          <w:spacing w:val="-2"/>
          <w:w w:val="125"/>
          <w:sz w:val="14"/>
        </w:rPr>
        <w:t>matte,</w:t>
      </w:r>
      <w:r>
        <w:rPr>
          <w:rFonts w:ascii="Times New Roman"/>
          <w:color w:val="6E6B6B"/>
          <w:spacing w:val="-30"/>
          <w:w w:val="125"/>
          <w:sz w:val="14"/>
        </w:rPr>
        <w:t> </w:t>
      </w:r>
      <w:r>
        <w:rPr>
          <w:rFonts w:ascii="Times New Roman"/>
          <w:color w:val="6E6B6B"/>
          <w:sz w:val="14"/>
        </w:rPr>
        <w:t>t!Ht</w:t>
      </w:r>
      <w:r>
        <w:rPr>
          <w:rFonts w:ascii="Times New Roman"/>
          <w:color w:val="6E6B6B"/>
          <w:spacing w:val="-1"/>
          <w:sz w:val="14"/>
        </w:rPr>
        <w:t> </w:t>
      </w:r>
      <w:r>
        <w:rPr>
          <w:rFonts w:ascii="Times New Roman"/>
          <w:color w:val="6E6B6B"/>
          <w:sz w:val="14"/>
        </w:rPr>
        <w:t>plannC'd</w:t>
      </w:r>
      <w:r>
        <w:rPr>
          <w:rFonts w:ascii="Times New Roman"/>
          <w:color w:val="6E6B6B"/>
          <w:spacing w:val="6"/>
          <w:sz w:val="14"/>
        </w:rPr>
        <w:t> </w:t>
      </w:r>
      <w:r>
        <w:rPr>
          <w:rFonts w:ascii="Times New Roman"/>
          <w:color w:val="7E7B79"/>
          <w:sz w:val="14"/>
        </w:rPr>
        <w:t>Kopc::</w:t>
      </w:r>
      <w:r>
        <w:rPr>
          <w:rFonts w:ascii="Times New Roman"/>
          <w:color w:val="7E7B79"/>
          <w:spacing w:val="-10"/>
          <w:sz w:val="14"/>
        </w:rPr>
        <w:t> </w:t>
      </w:r>
      <w:r>
        <w:rPr>
          <w:rFonts w:ascii="Times New Roman"/>
          <w:color w:val="6E6B6B"/>
          <w:sz w:val="14"/>
        </w:rPr>
        <w:t>and</w:t>
      </w:r>
      <w:r>
        <w:rPr>
          <w:rFonts w:ascii="Times New Roman"/>
          <w:color w:val="6E6B6B"/>
          <w:spacing w:val="8"/>
          <w:sz w:val="14"/>
        </w:rPr>
        <w:t> </w:t>
      </w:r>
      <w:r>
        <w:rPr>
          <w:rFonts w:ascii="Times New Roman"/>
          <w:color w:val="6E6B6B"/>
          <w:sz w:val="14"/>
        </w:rPr>
        <w:t>timinc</w:t>
      </w:r>
      <w:r>
        <w:rPr>
          <w:rFonts w:ascii="Times New Roman"/>
          <w:color w:val="6E6B6B"/>
          <w:spacing w:val="-3"/>
          <w:sz w:val="14"/>
        </w:rPr>
        <w:t> </w:t>
      </w:r>
      <w:r>
        <w:rPr>
          <w:rFonts w:ascii="Arial"/>
          <w:color w:val="6E6B6B"/>
          <w:sz w:val="13"/>
        </w:rPr>
        <w:t>of</w:t>
      </w:r>
      <w:r>
        <w:rPr>
          <w:rFonts w:ascii="Arial"/>
          <w:color w:val="6E6B6B"/>
          <w:spacing w:val="-4"/>
          <w:sz w:val="13"/>
        </w:rPr>
        <w:t> </w:t>
      </w:r>
      <w:r>
        <w:rPr>
          <w:rFonts w:ascii="Times New Roman"/>
          <w:color w:val="6E6B6B"/>
          <w:sz w:val="14"/>
        </w:rPr>
        <w:t>the   </w:t>
      </w:r>
      <w:r>
        <w:rPr>
          <w:rFonts w:ascii="Times New Roman"/>
          <w:color w:val="6E6B6B"/>
          <w:spacing w:val="20"/>
          <w:sz w:val="14"/>
        </w:rPr>
        <w:t> </w:t>
      </w:r>
      <w:r>
        <w:rPr>
          <w:rFonts w:ascii="Times New Roman"/>
          <w:color w:val="7E7B79"/>
          <w:sz w:val="14"/>
        </w:rPr>
        <w:t>dft</w:t>
      </w:r>
      <w:r>
        <w:rPr>
          <w:rFonts w:ascii="Times New Roman"/>
          <w:sz w:val="14"/>
        </w:rPr>
      </w:r>
    </w:p>
    <w:p>
      <w:pPr>
        <w:spacing w:line="158" w:lineRule="exact" w:before="2"/>
        <w:ind w:left="1067" w:right="953" w:firstLine="0"/>
        <w:jc w:val="left"/>
        <w:rPr>
          <w:rFonts w:ascii="Times New Roman" w:hAnsi="Times New Roman" w:cs="Times New Roman" w:eastAsia="Times New Roman"/>
          <w:sz w:val="14"/>
          <w:szCs w:val="14"/>
        </w:rPr>
      </w:pPr>
      <w:r>
        <w:rPr>
          <w:rFonts w:ascii="Times New Roman" w:hAnsi="Times New Roman"/>
          <w:color w:val="6E6B6B"/>
          <w:sz w:val="14"/>
        </w:rPr>
        <w:t>.aind</w:t>
      </w:r>
      <w:r>
        <w:rPr>
          <w:rFonts w:ascii="Times New Roman" w:hAnsi="Times New Roman"/>
          <w:color w:val="6E6B6B"/>
          <w:spacing w:val="-21"/>
          <w:sz w:val="14"/>
        </w:rPr>
        <w:t> </w:t>
      </w:r>
      <w:r>
        <w:rPr>
          <w:rFonts w:ascii="Times New Roman" w:hAnsi="Times New Roman"/>
          <w:color w:val="6E6B6B"/>
          <w:sz w:val="14"/>
        </w:rPr>
        <w:t>slgntfkant</w:t>
      </w:r>
      <w:r>
        <w:rPr>
          <w:rFonts w:ascii="Times New Roman" w:hAnsi="Times New Roman"/>
          <w:color w:val="6E6B6B"/>
          <w:spacing w:val="-11"/>
          <w:sz w:val="14"/>
        </w:rPr>
        <w:t> </w:t>
      </w:r>
      <w:r>
        <w:rPr>
          <w:rFonts w:ascii="Times New Roman" w:hAnsi="Times New Roman"/>
          <w:color w:val="6E6B6B"/>
          <w:sz w:val="14"/>
        </w:rPr>
        <w:t>.aiudit</w:t>
      </w:r>
      <w:r>
        <w:rPr>
          <w:rFonts w:ascii="Times New Roman" w:hAnsi="Times New Roman"/>
          <w:color w:val="6E6B6B"/>
          <w:spacing w:val="-12"/>
          <w:sz w:val="14"/>
        </w:rPr>
        <w:t> </w:t>
      </w:r>
      <w:r>
        <w:rPr>
          <w:rFonts w:ascii="Arial" w:hAnsi="Arial"/>
          <w:color w:val="7E7B79"/>
          <w:sz w:val="13"/>
        </w:rPr>
        <w:t>ftnd</w:t>
      </w:r>
      <w:r>
        <w:rPr>
          <w:rFonts w:ascii="Arial" w:hAnsi="Arial"/>
          <w:color w:val="7E7B79"/>
          <w:spacing w:val="-7"/>
          <w:sz w:val="13"/>
        </w:rPr>
        <w:t>l</w:t>
      </w:r>
      <w:r>
        <w:rPr>
          <w:rFonts w:ascii="Arial" w:hAnsi="Arial"/>
          <w:color w:val="7E7B79"/>
          <w:spacing w:val="-17"/>
          <w:sz w:val="13"/>
        </w:rPr>
        <w:t>n</w:t>
      </w:r>
      <w:r>
        <w:rPr>
          <w:rFonts w:ascii="Arial" w:hAnsi="Arial"/>
          <w:color w:val="7E7B79"/>
          <w:spacing w:val="-26"/>
          <w:sz w:val="13"/>
        </w:rPr>
        <w:t>p</w:t>
      </w:r>
      <w:r>
        <w:rPr>
          <w:rFonts w:ascii="Arial" w:hAnsi="Arial"/>
          <w:color w:val="7E7B79"/>
          <w:spacing w:val="-18"/>
          <w:sz w:val="13"/>
        </w:rPr>
        <w:t>,</w:t>
      </w:r>
      <w:r>
        <w:rPr>
          <w:rFonts w:ascii="Times New Roman" w:hAnsi="Times New Roman"/>
          <w:color w:val="918E8E"/>
          <w:sz w:val="14"/>
        </w:rPr>
        <w:t>tn</w:t>
      </w:r>
      <w:r>
        <w:rPr>
          <w:rFonts w:ascii="Times New Roman" w:hAnsi="Times New Roman"/>
          <w:color w:val="6E6B6B"/>
          <w:sz w:val="14"/>
        </w:rPr>
        <w:t>clUdlng</w:t>
      </w:r>
      <w:r>
        <w:rPr>
          <w:rFonts w:ascii="Times New Roman" w:hAnsi="Times New Roman"/>
          <w:color w:val="6E6B6B"/>
          <w:spacing w:val="-19"/>
          <w:sz w:val="14"/>
        </w:rPr>
        <w:t> </w:t>
      </w:r>
      <w:r>
        <w:rPr>
          <w:rFonts w:ascii="Times New Roman" w:hAnsi="Times New Roman"/>
          <w:i/>
          <w:color w:val="7E7B79"/>
          <w:sz w:val="13"/>
        </w:rPr>
        <w:t>¥vt</w:t>
      </w:r>
      <w:r>
        <w:rPr>
          <w:rFonts w:ascii="Times New Roman" w:hAnsi="Times New Roman"/>
          <w:i/>
          <w:color w:val="7E7B79"/>
          <w:spacing w:val="-12"/>
          <w:sz w:val="13"/>
        </w:rPr>
        <w:t> </w:t>
      </w:r>
      <w:r>
        <w:rPr>
          <w:rFonts w:ascii="Times New Roman" w:hAnsi="Times New Roman"/>
          <w:color w:val="6E6B6B"/>
          <w:spacing w:val="-23"/>
          <w:sz w:val="14"/>
        </w:rPr>
        <w:t>s</w:t>
      </w:r>
      <w:r>
        <w:rPr>
          <w:rFonts w:ascii="Times New Roman" w:hAnsi="Times New Roman"/>
          <w:color w:val="6E6B6B"/>
          <w:sz w:val="14"/>
        </w:rPr>
        <w:t>1&amp;f'ltftcant</w:t>
      </w:r>
      <w:r>
        <w:rPr>
          <w:rFonts w:ascii="Times New Roman" w:hAnsi="Times New Roman"/>
          <w:color w:val="6E6B6B"/>
          <w:spacing w:val="-19"/>
          <w:sz w:val="14"/>
        </w:rPr>
        <w:t> </w:t>
      </w:r>
      <w:r>
        <w:rPr>
          <w:rFonts w:ascii="Times New Roman" w:hAnsi="Times New Roman"/>
          <w:color w:val="6E6B6B"/>
          <w:sz w:val="14"/>
        </w:rPr>
        <w:t>defklendes</w:t>
      </w:r>
      <w:r>
        <w:rPr>
          <w:rFonts w:ascii="Times New Roman" w:hAnsi="Times New Roman"/>
          <w:color w:val="6E6B6B"/>
          <w:spacing w:val="-20"/>
          <w:sz w:val="14"/>
        </w:rPr>
        <w:t> </w:t>
      </w:r>
      <w:r>
        <w:rPr>
          <w:rFonts w:ascii="Arial" w:hAnsi="Arial"/>
          <w:color w:val="7E7B79"/>
          <w:sz w:val="12"/>
        </w:rPr>
        <w:t>In</w:t>
      </w:r>
      <w:r>
        <w:rPr>
          <w:rFonts w:ascii="Arial" w:hAnsi="Arial"/>
          <w:color w:val="7E7B79"/>
          <w:spacing w:val="-22"/>
          <w:sz w:val="12"/>
        </w:rPr>
        <w:t> </w:t>
      </w:r>
      <w:r>
        <w:rPr>
          <w:rFonts w:ascii="Times New Roman" w:hAnsi="Times New Roman"/>
          <w:color w:val="7E7B79"/>
          <w:sz w:val="14"/>
        </w:rPr>
        <w:t>lnterl\al</w:t>
      </w:r>
      <w:r>
        <w:rPr>
          <w:rFonts w:ascii="Times New Roman" w:hAnsi="Times New Roman"/>
          <w:color w:val="7E7B79"/>
          <w:spacing w:val="-11"/>
          <w:sz w:val="14"/>
        </w:rPr>
        <w:t> </w:t>
      </w:r>
      <w:r>
        <w:rPr>
          <w:rFonts w:ascii="Times New Roman" w:hAnsi="Times New Roman"/>
          <w:color w:val="6E6B6B"/>
          <w:spacing w:val="-23"/>
          <w:sz w:val="14"/>
        </w:rPr>
        <w:t>c</w:t>
      </w:r>
      <w:r>
        <w:rPr>
          <w:rFonts w:ascii="Times New Roman" w:hAnsi="Times New Roman"/>
          <w:color w:val="6E6B6B"/>
          <w:sz w:val="14"/>
        </w:rPr>
        <w:t>ontrol</w:t>
      </w:r>
      <w:r>
        <w:rPr>
          <w:rFonts w:ascii="Times New Roman" w:hAnsi="Times New Roman"/>
          <w:color w:val="6E6B6B"/>
          <w:spacing w:val="-13"/>
          <w:sz w:val="14"/>
        </w:rPr>
        <w:t> </w:t>
      </w:r>
      <w:r>
        <w:rPr>
          <w:rFonts w:ascii="Times New Roman" w:hAnsi="Times New Roman"/>
          <w:color w:val="6E6B6B"/>
          <w:sz w:val="14"/>
        </w:rPr>
        <w:t>that</w:t>
      </w:r>
      <w:r>
        <w:rPr>
          <w:rFonts w:ascii="Times New Roman" w:hAnsi="Times New Roman"/>
          <w:color w:val="6E6B6B"/>
          <w:spacing w:val="-10"/>
          <w:sz w:val="14"/>
        </w:rPr>
        <w:t> </w:t>
      </w:r>
      <w:r>
        <w:rPr>
          <w:rFonts w:ascii="Arial" w:hAnsi="Arial"/>
          <w:color w:val="565454"/>
          <w:spacing w:val="-6"/>
          <w:sz w:val="13"/>
        </w:rPr>
        <w:t>I</w:t>
      </w:r>
      <w:r>
        <w:rPr>
          <w:rFonts w:ascii="Times New Roman" w:hAnsi="Times New Roman"/>
          <w:color w:val="7E7B79"/>
          <w:sz w:val="14"/>
        </w:rPr>
        <w:t>kfentify</w:t>
      </w:r>
      <w:r>
        <w:rPr>
          <w:rFonts w:ascii="Times New Roman" w:hAnsi="Times New Roman"/>
          <w:color w:val="7E7B79"/>
          <w:spacing w:val="-17"/>
          <w:sz w:val="14"/>
        </w:rPr>
        <w:t> </w:t>
      </w:r>
      <w:r>
        <w:rPr>
          <w:rFonts w:ascii="Times New Roman" w:hAnsi="Times New Roman"/>
          <w:color w:val="7E7B79"/>
          <w:sz w:val="14"/>
        </w:rPr>
        <w:t>durlna:</w:t>
      </w:r>
      <w:r>
        <w:rPr>
          <w:rFonts w:ascii="Times New Roman" w:hAnsi="Times New Roman"/>
          <w:color w:val="7E7B79"/>
          <w:spacing w:val="-24"/>
          <w:sz w:val="14"/>
        </w:rPr>
        <w:t> </w:t>
      </w:r>
      <w:r>
        <w:rPr>
          <w:rFonts w:ascii="Times New Roman" w:hAnsi="Times New Roman"/>
          <w:color w:val="6E6B6B"/>
          <w:sz w:val="14"/>
        </w:rPr>
        <w:t>my</w:t>
      </w:r>
      <w:r>
        <w:rPr>
          <w:rFonts w:ascii="Times New Roman" w:hAnsi="Times New Roman"/>
          <w:color w:val="6E6B6B"/>
          <w:w w:val="95"/>
          <w:sz w:val="14"/>
        </w:rPr>
        <w:t> </w:t>
      </w:r>
      <w:r>
        <w:rPr>
          <w:rFonts w:ascii="Times New Roman" w:hAnsi="Times New Roman"/>
          <w:color w:val="6E6B6B"/>
          <w:sz w:val="14"/>
        </w:rPr>
        <w:t>audit</w:t>
      </w:r>
      <w:r>
        <w:rPr>
          <w:rFonts w:ascii="Times New Roman" w:hAnsi="Times New Roman"/>
          <w:color w:val="918E8E"/>
          <w:sz w:val="14"/>
        </w:rPr>
        <w:t>.</w:t>
      </w:r>
      <w:r>
        <w:rPr>
          <w:rFonts w:ascii="Times New Roman" w:hAnsi="Times New Roman"/>
          <w:sz w:val="14"/>
        </w:rPr>
      </w:r>
    </w:p>
    <w:p>
      <w:pPr>
        <w:spacing w:line="240" w:lineRule="auto" w:before="0"/>
        <w:rPr>
          <w:rFonts w:ascii="Times New Roman" w:hAnsi="Times New Roman" w:cs="Times New Roman" w:eastAsia="Times New Roman"/>
          <w:sz w:val="14"/>
          <w:szCs w:val="14"/>
        </w:rPr>
      </w:pPr>
    </w:p>
    <w:p>
      <w:pPr>
        <w:spacing w:line="240" w:lineRule="auto" w:before="8"/>
        <w:rPr>
          <w:rFonts w:ascii="Times New Roman" w:hAnsi="Times New Roman" w:cs="Times New Roman" w:eastAsia="Times New Roman"/>
          <w:sz w:val="15"/>
          <w:szCs w:val="15"/>
        </w:rPr>
      </w:pPr>
    </w:p>
    <w:p>
      <w:pPr>
        <w:spacing w:before="0"/>
        <w:ind w:left="1053" w:right="0" w:firstLine="0"/>
        <w:jc w:val="both"/>
        <w:rPr>
          <w:rFonts w:ascii="Times New Roman" w:hAnsi="Times New Roman" w:cs="Times New Roman" w:eastAsia="Times New Roman"/>
          <w:sz w:val="14"/>
          <w:szCs w:val="14"/>
        </w:rPr>
      </w:pPr>
      <w:r>
        <w:rPr>
          <w:rFonts w:ascii="Times New Roman"/>
          <w:color w:val="6E6B6B"/>
          <w:w w:val="95"/>
          <w:sz w:val="14"/>
        </w:rPr>
        <w:t>Australian</w:t>
      </w:r>
      <w:r>
        <w:rPr>
          <w:rFonts w:ascii="Times New Roman"/>
          <w:color w:val="6E6B6B"/>
          <w:spacing w:val="-20"/>
          <w:w w:val="95"/>
          <w:sz w:val="14"/>
        </w:rPr>
        <w:t> </w:t>
      </w:r>
      <w:r>
        <w:rPr>
          <w:rFonts w:ascii="Times New Roman"/>
          <w:color w:val="6E6B6B"/>
          <w:w w:val="95"/>
          <w:sz w:val="14"/>
        </w:rPr>
        <w:t>NatlOnal</w:t>
      </w:r>
      <w:r>
        <w:rPr>
          <w:rFonts w:ascii="Times New Roman"/>
          <w:color w:val="6E6B6B"/>
          <w:spacing w:val="-19"/>
          <w:w w:val="95"/>
          <w:sz w:val="14"/>
        </w:rPr>
        <w:t> </w:t>
      </w:r>
      <w:r>
        <w:rPr>
          <w:rFonts w:ascii="Times New Roman"/>
          <w:color w:val="6E6B6B"/>
          <w:w w:val="95"/>
          <w:sz w:val="14"/>
        </w:rPr>
        <w:t>Audit</w:t>
      </w:r>
      <w:r>
        <w:rPr>
          <w:rFonts w:ascii="Times New Roman"/>
          <w:color w:val="6E6B6B"/>
          <w:spacing w:val="-20"/>
          <w:w w:val="95"/>
          <w:sz w:val="14"/>
        </w:rPr>
        <w:t> </w:t>
      </w:r>
      <w:r>
        <w:rPr>
          <w:rFonts w:ascii="Times New Roman"/>
          <w:color w:val="6E6B6B"/>
          <w:w w:val="95"/>
          <w:sz w:val="14"/>
        </w:rPr>
        <w:t>Office</w:t>
      </w:r>
      <w:r>
        <w:rPr>
          <w:rFonts w:ascii="Times New Roman"/>
          <w:sz w:val="14"/>
        </w:rPr>
      </w:r>
    </w:p>
    <w:p>
      <w:pPr>
        <w:spacing w:line="240" w:lineRule="auto" w:before="3"/>
        <w:rPr>
          <w:rFonts w:ascii="Times New Roman" w:hAnsi="Times New Roman" w:cs="Times New Roman" w:eastAsia="Times New Roman"/>
          <w:sz w:val="12"/>
          <w:szCs w:val="12"/>
        </w:rPr>
      </w:pPr>
    </w:p>
    <w:p>
      <w:pPr>
        <w:spacing w:before="0"/>
        <w:ind w:left="1168" w:right="0" w:firstLine="0"/>
        <w:jc w:val="both"/>
        <w:rPr>
          <w:rFonts w:ascii="Arial" w:hAnsi="Arial" w:cs="Arial" w:eastAsia="Arial"/>
          <w:sz w:val="63"/>
          <w:szCs w:val="63"/>
        </w:rPr>
      </w:pPr>
      <w:r>
        <w:rPr>
          <w:rFonts w:ascii="Arial" w:hAnsi="Arial"/>
          <w:i/>
          <w:color w:val="A8A5A3"/>
          <w:spacing w:val="1"/>
          <w:w w:val="70"/>
          <w:sz w:val="63"/>
        </w:rPr>
        <w:t>/</w:t>
      </w:r>
      <w:r>
        <w:rPr>
          <w:rFonts w:ascii="Arial" w:hAnsi="Arial"/>
          <w:i/>
          <w:color w:val="A8A5A3"/>
          <w:spacing w:val="3"/>
          <w:w w:val="70"/>
          <w:sz w:val="63"/>
        </w:rPr>
        <w:t>£Ml</w:t>
      </w:r>
      <w:r>
        <w:rPr>
          <w:rFonts w:ascii="Arial" w:hAnsi="Arial"/>
          <w:sz w:val="63"/>
        </w:rPr>
      </w:r>
    </w:p>
    <w:p>
      <w:pPr>
        <w:spacing w:line="160" w:lineRule="exact" w:before="81"/>
        <w:ind w:left="1067" w:right="0" w:firstLine="0"/>
        <w:jc w:val="both"/>
        <w:rPr>
          <w:rFonts w:ascii="Arial" w:hAnsi="Arial" w:cs="Arial" w:eastAsia="Arial"/>
          <w:sz w:val="12"/>
          <w:szCs w:val="12"/>
        </w:rPr>
      </w:pPr>
      <w:r>
        <w:rPr>
          <w:rFonts w:ascii="Times New Roman"/>
          <w:color w:val="7E7B79"/>
          <w:sz w:val="14"/>
        </w:rPr>
        <w:t>JosepMne</w:t>
      </w:r>
      <w:r>
        <w:rPr>
          <w:rFonts w:ascii="Times New Roman"/>
          <w:color w:val="7E7B79"/>
          <w:spacing w:val="-4"/>
          <w:sz w:val="14"/>
        </w:rPr>
        <w:t> </w:t>
      </w:r>
      <w:r>
        <w:rPr>
          <w:rFonts w:ascii="Arial"/>
          <w:color w:val="6E6B6B"/>
          <w:sz w:val="12"/>
        </w:rPr>
        <w:t>Bushel</w:t>
      </w:r>
      <w:r>
        <w:rPr>
          <w:rFonts w:ascii="Arial"/>
          <w:sz w:val="12"/>
        </w:rPr>
      </w:r>
    </w:p>
    <w:p>
      <w:pPr>
        <w:spacing w:line="160" w:lineRule="exact" w:before="0"/>
        <w:ind w:left="0" w:right="4951" w:firstLine="0"/>
        <w:jc w:val="center"/>
        <w:rPr>
          <w:rFonts w:ascii="Times New Roman" w:hAnsi="Times New Roman" w:cs="Times New Roman" w:eastAsia="Times New Roman"/>
          <w:sz w:val="14"/>
          <w:szCs w:val="14"/>
        </w:rPr>
      </w:pPr>
      <w:r>
        <w:rPr>
          <w:rFonts w:ascii="Times New Roman"/>
          <w:color w:val="6E6B6B"/>
          <w:w w:val="105"/>
          <w:sz w:val="14"/>
        </w:rPr>
        <w:t>Oirmor</w:t>
      </w:r>
      <w:r>
        <w:rPr>
          <w:rFonts w:ascii="Times New Roman"/>
          <w:sz w:val="14"/>
        </w:rPr>
      </w:r>
    </w:p>
    <w:p>
      <w:pPr>
        <w:spacing w:line="240" w:lineRule="auto" w:before="6"/>
        <w:rPr>
          <w:rFonts w:ascii="Times New Roman" w:hAnsi="Times New Roman" w:cs="Times New Roman" w:eastAsia="Times New Roman"/>
          <w:sz w:val="15"/>
          <w:szCs w:val="15"/>
        </w:rPr>
      </w:pPr>
    </w:p>
    <w:p>
      <w:pPr>
        <w:spacing w:before="0"/>
        <w:ind w:left="1067" w:right="0" w:firstLine="0"/>
        <w:jc w:val="both"/>
        <w:rPr>
          <w:rFonts w:ascii="Arial" w:hAnsi="Arial" w:cs="Arial" w:eastAsia="Arial"/>
          <w:sz w:val="12"/>
          <w:szCs w:val="12"/>
        </w:rPr>
      </w:pPr>
      <w:r>
        <w:rPr>
          <w:rFonts w:ascii="Arial"/>
          <w:color w:val="6E6B6B"/>
          <w:w w:val="120"/>
          <w:sz w:val="12"/>
        </w:rPr>
        <w:t>Ot</w:t>
      </w:r>
      <w:r>
        <w:rPr>
          <w:rFonts w:ascii="Arial"/>
          <w:color w:val="6E6B6B"/>
          <w:spacing w:val="-15"/>
          <w:w w:val="120"/>
          <w:sz w:val="12"/>
        </w:rPr>
        <w:t>l</w:t>
      </w:r>
      <w:r>
        <w:rPr>
          <w:rFonts w:ascii="Arial"/>
          <w:color w:val="6E6B6B"/>
          <w:spacing w:val="-26"/>
          <w:w w:val="120"/>
          <w:sz w:val="12"/>
        </w:rPr>
        <w:t>e</w:t>
      </w:r>
      <w:r>
        <w:rPr>
          <w:rFonts w:ascii="Arial"/>
          <w:color w:val="6E6B6B"/>
          <w:spacing w:val="-15"/>
          <w:w w:val="120"/>
          <w:sz w:val="12"/>
        </w:rPr>
        <w:t>p</w:t>
      </w:r>
      <w:r>
        <w:rPr>
          <w:rFonts w:ascii="Arial"/>
          <w:color w:val="6E6B6B"/>
          <w:w w:val="120"/>
          <w:sz w:val="12"/>
        </w:rPr>
        <w:t>t</w:t>
      </w:r>
      <w:r>
        <w:rPr>
          <w:rFonts w:ascii="Arial"/>
          <w:color w:val="6E6B6B"/>
          <w:spacing w:val="6"/>
          <w:w w:val="120"/>
          <w:sz w:val="12"/>
        </w:rPr>
        <w:t>e</w:t>
      </w:r>
      <w:r>
        <w:rPr>
          <w:rFonts w:ascii="Arial"/>
          <w:color w:val="6E6B6B"/>
          <w:w w:val="120"/>
          <w:sz w:val="13"/>
        </w:rPr>
        <w:t>of</w:t>
      </w:r>
      <w:r>
        <w:rPr>
          <w:rFonts w:ascii="Arial"/>
          <w:color w:val="6E6B6B"/>
          <w:spacing w:val="-31"/>
          <w:w w:val="120"/>
          <w:sz w:val="13"/>
        </w:rPr>
        <w:t> </w:t>
      </w:r>
      <w:r>
        <w:rPr>
          <w:rFonts w:ascii="Arial"/>
          <w:color w:val="7E7B79"/>
          <w:w w:val="120"/>
          <w:sz w:val="12"/>
        </w:rPr>
        <w:t>tf'le</w:t>
      </w:r>
      <w:r>
        <w:rPr>
          <w:rFonts w:ascii="Arial"/>
          <w:color w:val="7E7B79"/>
          <w:spacing w:val="-21"/>
          <w:w w:val="120"/>
          <w:sz w:val="12"/>
        </w:rPr>
        <w:t> </w:t>
      </w:r>
      <w:r>
        <w:rPr>
          <w:rFonts w:ascii="Arial"/>
          <w:color w:val="6E6B6B"/>
          <w:w w:val="120"/>
          <w:sz w:val="12"/>
        </w:rPr>
        <w:t>Auditor-</w:t>
      </w:r>
      <w:r>
        <w:rPr>
          <w:rFonts w:ascii="Arial"/>
          <w:color w:val="6E6B6B"/>
          <w:spacing w:val="-14"/>
          <w:w w:val="120"/>
          <w:sz w:val="12"/>
        </w:rPr>
        <w:t>G</w:t>
      </w:r>
      <w:r>
        <w:rPr>
          <w:rFonts w:ascii="Arial"/>
          <w:color w:val="6E6B6B"/>
          <w:w w:val="120"/>
          <w:sz w:val="12"/>
        </w:rPr>
        <w:t>enttal</w:t>
      </w:r>
      <w:r>
        <w:rPr>
          <w:rFonts w:ascii="Arial"/>
          <w:sz w:val="12"/>
        </w:rPr>
      </w:r>
    </w:p>
    <w:p>
      <w:pPr>
        <w:spacing w:before="0"/>
        <w:ind w:left="1067" w:right="0" w:firstLine="0"/>
        <w:jc w:val="both"/>
        <w:rPr>
          <w:rFonts w:ascii="Times New Roman" w:hAnsi="Times New Roman" w:cs="Times New Roman" w:eastAsia="Times New Roman"/>
          <w:sz w:val="14"/>
          <w:szCs w:val="14"/>
        </w:rPr>
      </w:pPr>
      <w:r>
        <w:rPr>
          <w:rFonts w:ascii="Times New Roman"/>
          <w:color w:val="6E6B6B"/>
          <w:sz w:val="14"/>
        </w:rPr>
        <w:t>Canberra</w:t>
      </w:r>
      <w:r>
        <w:rPr>
          <w:rFonts w:ascii="Times New Roman"/>
          <w:sz w:val="14"/>
        </w:rPr>
      </w:r>
    </w:p>
    <w:p>
      <w:pPr>
        <w:spacing w:line="240" w:lineRule="auto" w:before="7"/>
        <w:rPr>
          <w:rFonts w:ascii="Times New Roman" w:hAnsi="Times New Roman" w:cs="Times New Roman" w:eastAsia="Times New Roman"/>
          <w:sz w:val="12"/>
          <w:szCs w:val="12"/>
        </w:rPr>
      </w:pPr>
    </w:p>
    <w:p>
      <w:pPr>
        <w:tabs>
          <w:tab w:pos="4854" w:val="left" w:leader="none"/>
        </w:tabs>
        <w:spacing w:line="154" w:lineRule="exact" w:before="0"/>
        <w:ind w:left="1067" w:right="0" w:firstLine="0"/>
        <w:jc w:val="both"/>
        <w:rPr>
          <w:rFonts w:ascii="Arial" w:hAnsi="Arial" w:cs="Arial" w:eastAsia="Arial"/>
          <w:sz w:val="12"/>
          <w:szCs w:val="12"/>
        </w:rPr>
      </w:pPr>
      <w:r>
        <w:rPr>
          <w:rFonts w:ascii="Times New Roman"/>
          <w:color w:val="6E6B6B"/>
          <w:w w:val="105"/>
          <w:position w:val="-3"/>
          <w:sz w:val="14"/>
        </w:rPr>
        <w:t>80ctober</w:t>
      </w:r>
      <w:r>
        <w:rPr>
          <w:rFonts w:ascii="Times New Roman"/>
          <w:color w:val="6E6B6B"/>
          <w:spacing w:val="2"/>
          <w:w w:val="105"/>
          <w:position w:val="-3"/>
          <w:sz w:val="14"/>
        </w:rPr>
        <w:t> </w:t>
      </w:r>
      <w:r>
        <w:rPr>
          <w:rFonts w:ascii="Times New Roman"/>
          <w:color w:val="6E6B6B"/>
          <w:w w:val="105"/>
          <w:position w:val="-3"/>
          <w:sz w:val="14"/>
        </w:rPr>
        <w:t>2019</w:t>
        <w:tab/>
      </w:r>
      <w:r>
        <w:rPr>
          <w:rFonts w:ascii="Arial"/>
          <w:color w:val="7E7B79"/>
          <w:spacing w:val="-2"/>
          <w:w w:val="110"/>
          <w:sz w:val="11"/>
        </w:rPr>
        <w:t>Gf'OS0.101CNeERRA</w:t>
      </w:r>
      <w:r>
        <w:rPr>
          <w:rFonts w:ascii="Arial"/>
          <w:color w:val="7E7B79"/>
          <w:spacing w:val="-14"/>
          <w:w w:val="110"/>
          <w:sz w:val="11"/>
        </w:rPr>
        <w:t> </w:t>
      </w:r>
      <w:r>
        <w:rPr>
          <w:rFonts w:ascii="Arial"/>
          <w:color w:val="7E7B79"/>
          <w:w w:val="110"/>
          <w:sz w:val="11"/>
        </w:rPr>
        <w:t>ACT</w:t>
      </w:r>
      <w:r>
        <w:rPr>
          <w:rFonts w:ascii="Arial"/>
          <w:color w:val="7E7B79"/>
          <w:spacing w:val="-17"/>
          <w:w w:val="110"/>
          <w:sz w:val="11"/>
        </w:rPr>
        <w:t> </w:t>
      </w:r>
      <w:r>
        <w:rPr>
          <w:rFonts w:ascii="Arial"/>
          <w:color w:val="7E7B79"/>
          <w:w w:val="180"/>
          <w:sz w:val="12"/>
        </w:rPr>
        <w:t>*1</w:t>
      </w:r>
      <w:r>
        <w:rPr>
          <w:rFonts w:ascii="Arial"/>
          <w:sz w:val="12"/>
        </w:rPr>
      </w:r>
    </w:p>
    <w:p>
      <w:pPr>
        <w:spacing w:line="75" w:lineRule="exact" w:before="0"/>
        <w:ind w:left="4868" w:right="0" w:firstLine="0"/>
        <w:jc w:val="left"/>
        <w:rPr>
          <w:rFonts w:ascii="Times New Roman" w:hAnsi="Times New Roman" w:cs="Times New Roman" w:eastAsia="Times New Roman"/>
          <w:sz w:val="11"/>
          <w:szCs w:val="11"/>
        </w:rPr>
      </w:pPr>
      <w:r>
        <w:rPr>
          <w:rFonts w:ascii="Times New Roman"/>
          <w:color w:val="918E8E"/>
          <w:spacing w:val="-27"/>
          <w:w w:val="110"/>
          <w:sz w:val="10"/>
        </w:rPr>
        <w:t>1</w:t>
      </w:r>
      <w:r>
        <w:rPr>
          <w:rFonts w:ascii="Times New Roman"/>
          <w:color w:val="918E8E"/>
          <w:spacing w:val="-19"/>
          <w:w w:val="110"/>
          <w:sz w:val="10"/>
        </w:rPr>
        <w:t>1</w:t>
      </w:r>
      <w:r>
        <w:rPr>
          <w:rFonts w:ascii="Times New Roman"/>
          <w:color w:val="6E6B6B"/>
          <w:w w:val="110"/>
          <w:sz w:val="10"/>
        </w:rPr>
        <w:t>HllloNICNIAI8..t.RTON </w:t>
      </w:r>
      <w:r>
        <w:rPr>
          <w:rFonts w:ascii="Times New Roman"/>
          <w:color w:val="6E6B6B"/>
          <w:spacing w:val="21"/>
          <w:w w:val="110"/>
          <w:sz w:val="10"/>
        </w:rPr>
        <w:t> </w:t>
      </w:r>
      <w:r>
        <w:rPr>
          <w:rFonts w:ascii="Times New Roman"/>
          <w:i/>
          <w:color w:val="7E7B79"/>
          <w:w w:val="110"/>
          <w:sz w:val="11"/>
        </w:rPr>
        <w:t>/ltr</w:t>
      </w:r>
      <w:r>
        <w:rPr>
          <w:rFonts w:ascii="Times New Roman"/>
          <w:sz w:val="11"/>
        </w:rPr>
      </w:r>
    </w:p>
    <w:p>
      <w:pPr>
        <w:spacing w:line="127" w:lineRule="exact" w:before="0"/>
        <w:ind w:left="4854" w:right="0" w:firstLine="0"/>
        <w:jc w:val="left"/>
        <w:rPr>
          <w:rFonts w:ascii="Times New Roman" w:hAnsi="Times New Roman" w:cs="Times New Roman" w:eastAsia="Times New Roman"/>
          <w:sz w:val="12"/>
          <w:szCs w:val="12"/>
        </w:rPr>
      </w:pPr>
      <w:r>
        <w:rPr>
          <w:rFonts w:ascii="Times New Roman"/>
          <w:color w:val="6E6B6B"/>
          <w:w w:val="135"/>
          <w:sz w:val="13"/>
        </w:rPr>
        <w:t>,..,,._l02J9</w:t>
      </w:r>
      <w:r>
        <w:rPr>
          <w:rFonts w:ascii="Times New Roman"/>
          <w:color w:val="6E6B6B"/>
          <w:spacing w:val="6"/>
          <w:w w:val="135"/>
          <w:sz w:val="13"/>
        </w:rPr>
        <w:t>*</w:t>
      </w:r>
      <w:r>
        <w:rPr>
          <w:rFonts w:ascii="Times New Roman"/>
          <w:color w:val="6E6B6B"/>
          <w:w w:val="135"/>
          <w:sz w:val="13"/>
        </w:rPr>
        <w:t>1'00</w:t>
      </w:r>
      <w:r>
        <w:rPr>
          <w:rFonts w:ascii="Times New Roman"/>
          <w:color w:val="6E6B6B"/>
          <w:spacing w:val="-25"/>
          <w:w w:val="135"/>
          <w:sz w:val="13"/>
        </w:rPr>
        <w:t> </w:t>
      </w:r>
      <w:r>
        <w:rPr>
          <w:rFonts w:ascii="Times New Roman"/>
          <w:color w:val="565454"/>
          <w:spacing w:val="-9"/>
          <w:w w:val="140"/>
          <w:sz w:val="12"/>
        </w:rPr>
        <w:t>F</w:t>
      </w:r>
      <w:r>
        <w:rPr>
          <w:rFonts w:ascii="Times New Roman"/>
          <w:color w:val="6E6B6B"/>
          <w:w w:val="140"/>
          <w:sz w:val="12"/>
        </w:rPr>
        <w:t>.</w:t>
      </w:r>
      <w:r>
        <w:rPr>
          <w:rFonts w:ascii="Times New Roman"/>
          <w:color w:val="6E6B6B"/>
          <w:spacing w:val="-16"/>
          <w:w w:val="140"/>
          <w:sz w:val="12"/>
        </w:rPr>
        <w:t>.</w:t>
      </w:r>
      <w:r>
        <w:rPr>
          <w:rFonts w:ascii="Times New Roman"/>
          <w:color w:val="7E7B79"/>
          <w:w w:val="140"/>
          <w:sz w:val="12"/>
        </w:rPr>
        <w:t>(OQJ</w:t>
      </w:r>
      <w:r>
        <w:rPr>
          <w:rFonts w:ascii="Times New Roman"/>
          <w:color w:val="7E7B79"/>
          <w:spacing w:val="-39"/>
          <w:w w:val="140"/>
          <w:sz w:val="12"/>
        </w:rPr>
        <w:t> </w:t>
      </w:r>
      <w:r>
        <w:rPr>
          <w:rFonts w:ascii="Times New Roman"/>
          <w:color w:val="7E7B79"/>
          <w:w w:val="140"/>
          <w:sz w:val="12"/>
        </w:rPr>
        <w:t>ml</w:t>
      </w:r>
      <w:r>
        <w:rPr>
          <w:rFonts w:ascii="Times New Roman"/>
          <w:sz w:val="12"/>
        </w:rPr>
      </w:r>
    </w:p>
    <w:p>
      <w:pPr>
        <w:spacing w:after="0" w:line="127" w:lineRule="exact"/>
        <w:jc w:val="left"/>
        <w:rPr>
          <w:rFonts w:ascii="Times New Roman" w:hAnsi="Times New Roman" w:cs="Times New Roman" w:eastAsia="Times New Roman"/>
          <w:sz w:val="12"/>
          <w:szCs w:val="12"/>
        </w:rPr>
        <w:sectPr>
          <w:footerReference w:type="default" r:id="rId89"/>
          <w:footerReference w:type="even" r:id="rId90"/>
          <w:pgSz w:w="9980" w:h="14180"/>
          <w:pgMar w:footer="477" w:header="0" w:top="320" w:bottom="660" w:left="1020" w:right="680"/>
          <w:pgNumType w:start="51"/>
        </w:sectPr>
      </w:pPr>
    </w:p>
    <w:p>
      <w:pPr>
        <w:pStyle w:val="Heading5"/>
        <w:spacing w:line="283" w:lineRule="exact" w:before="42"/>
        <w:ind w:right="0"/>
        <w:jc w:val="left"/>
        <w:rPr>
          <w:b w:val="0"/>
          <w:bCs w:val="0"/>
        </w:rPr>
      </w:pPr>
      <w:r>
        <w:rPr>
          <w:color w:val="005E63"/>
          <w:spacing w:val="-2"/>
        </w:rPr>
        <w:t>STATEMENT</w:t>
      </w:r>
      <w:r>
        <w:rPr>
          <w:color w:val="005E63"/>
        </w:rPr>
        <w:t> OF COMPREHENSIVE INCOME</w:t>
      </w:r>
      <w:r>
        <w:rPr>
          <w:b w:val="0"/>
        </w:rPr>
      </w:r>
    </w:p>
    <w:p>
      <w:pPr>
        <w:pStyle w:val="Heading8"/>
        <w:spacing w:line="260" w:lineRule="exact" w:before="0"/>
        <w:ind w:right="0"/>
        <w:jc w:val="left"/>
      </w:pPr>
      <w:r>
        <w:rPr>
          <w:color w:val="00757A"/>
          <w:spacing w:val="-2"/>
        </w:rPr>
        <w:t>For</w:t>
      </w:r>
      <w:r>
        <w:rPr>
          <w:color w:val="00757A"/>
        </w:rPr>
        <w:t> the year ended 30 June 2019</w:t>
      </w:r>
      <w:r>
        <w:rPr/>
      </w:r>
    </w:p>
    <w:p>
      <w:pPr>
        <w:spacing w:line="240" w:lineRule="auto" w:before="3"/>
        <w:rPr>
          <w:rFonts w:ascii="Swis721 Md BT" w:hAnsi="Swis721 Md BT" w:cs="Swis721 Md BT" w:eastAsia="Swis721 Md BT"/>
          <w:sz w:val="21"/>
          <w:szCs w:val="21"/>
        </w:rPr>
      </w:pPr>
    </w:p>
    <w:tbl>
      <w:tblPr>
        <w:tblW w:w="0" w:type="auto"/>
        <w:jc w:val="left"/>
        <w:tblInd w:w="110" w:type="dxa"/>
        <w:tblLayout w:type="fixed"/>
        <w:tblCellMar>
          <w:top w:w="0" w:type="dxa"/>
          <w:left w:w="0" w:type="dxa"/>
          <w:bottom w:w="0" w:type="dxa"/>
          <w:right w:w="0" w:type="dxa"/>
        </w:tblCellMar>
        <w:tblLook w:val="01E0"/>
      </w:tblPr>
      <w:tblGrid>
        <w:gridCol w:w="3565"/>
        <w:gridCol w:w="776"/>
        <w:gridCol w:w="1248"/>
        <w:gridCol w:w="1183"/>
        <w:gridCol w:w="1222"/>
      </w:tblGrid>
      <w:tr>
        <w:trPr>
          <w:trHeight w:val="514" w:hRule="exact"/>
        </w:trPr>
        <w:tc>
          <w:tcPr>
            <w:tcW w:w="3565" w:type="dxa"/>
            <w:tcBorders>
              <w:top w:val="nil" w:sz="6" w:space="0" w:color="auto"/>
              <w:left w:val="nil" w:sz="6" w:space="0" w:color="auto"/>
              <w:bottom w:val="nil" w:sz="6" w:space="0" w:color="auto"/>
              <w:right w:val="nil" w:sz="6" w:space="0" w:color="auto"/>
            </w:tcBorders>
            <w:shd w:val="clear" w:color="auto" w:fill="BFD22B"/>
          </w:tcPr>
          <w:p>
            <w:pPr/>
          </w:p>
        </w:tc>
        <w:tc>
          <w:tcPr>
            <w:tcW w:w="77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212" w:right="0"/>
              <w:jc w:val="left"/>
              <w:rPr>
                <w:rFonts w:ascii="Swis721 Cn BT" w:hAnsi="Swis721 Cn BT" w:cs="Swis721 Cn BT" w:eastAsia="Swis721 Cn BT"/>
                <w:sz w:val="18"/>
                <w:szCs w:val="18"/>
              </w:rPr>
            </w:pPr>
            <w:r>
              <w:rPr>
                <w:rFonts w:ascii="Swis721 Cn BT"/>
                <w:color w:val="303B41"/>
                <w:sz w:val="18"/>
              </w:rPr>
              <w:t>Notes</w:t>
            </w:r>
            <w:r>
              <w:rPr>
                <w:rFonts w:ascii="Swis721 Cn BT"/>
                <w:sz w:val="18"/>
              </w:rPr>
            </w:r>
          </w:p>
        </w:tc>
        <w:tc>
          <w:tcPr>
            <w:tcW w:w="1248"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167"/>
              <w:jc w:val="right"/>
              <w:rPr>
                <w:rFonts w:ascii="Swis721 Cn BT" w:hAnsi="Swis721 Cn BT" w:cs="Swis721 Cn BT" w:eastAsia="Swis721 Cn BT"/>
                <w:sz w:val="18"/>
                <w:szCs w:val="18"/>
              </w:rPr>
            </w:pPr>
            <w:r>
              <w:rPr>
                <w:rFonts w:ascii="Swis721 Cn BT"/>
                <w:color w:val="303B41"/>
                <w:w w:val="95"/>
                <w:sz w:val="18"/>
              </w:rPr>
              <w:t>2019</w:t>
            </w:r>
            <w:r>
              <w:rPr>
                <w:rFonts w:ascii="Swis721 Cn BT"/>
                <w:sz w:val="18"/>
              </w:rPr>
            </w:r>
          </w:p>
          <w:p>
            <w:pPr>
              <w:pStyle w:val="TableParagraph"/>
              <w:spacing w:line="240" w:lineRule="auto"/>
              <w:ind w:right="167"/>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183"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103"/>
              <w:jc w:val="right"/>
              <w:rPr>
                <w:rFonts w:ascii="Swis721 Cn BT" w:hAnsi="Swis721 Cn BT" w:cs="Swis721 Cn BT" w:eastAsia="Swis721 Cn BT"/>
                <w:sz w:val="18"/>
                <w:szCs w:val="18"/>
              </w:rPr>
            </w:pPr>
            <w:r>
              <w:rPr>
                <w:rFonts w:ascii="Swis721 Cn BT"/>
                <w:color w:val="303B41"/>
                <w:w w:val="95"/>
                <w:sz w:val="18"/>
              </w:rPr>
              <w:t>2018</w:t>
            </w:r>
            <w:r>
              <w:rPr>
                <w:rFonts w:ascii="Swis721 Cn BT"/>
                <w:sz w:val="18"/>
              </w:rPr>
            </w:r>
          </w:p>
          <w:p>
            <w:pPr>
              <w:pStyle w:val="TableParagraph"/>
              <w:spacing w:line="240" w:lineRule="auto"/>
              <w:ind w:right="103"/>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222"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8"/>
              <w:jc w:val="right"/>
              <w:rPr>
                <w:rFonts w:ascii="Swis721 Cn BT" w:hAnsi="Swis721 Cn BT" w:cs="Swis721 Cn BT" w:eastAsia="Swis721 Cn BT"/>
                <w:sz w:val="18"/>
                <w:szCs w:val="18"/>
              </w:rPr>
            </w:pPr>
            <w:r>
              <w:rPr>
                <w:rFonts w:ascii="Swis721 Cn BT"/>
                <w:color w:val="303B41"/>
                <w:sz w:val="18"/>
              </w:rPr>
              <w:t>Original Budget</w:t>
            </w:r>
            <w:r>
              <w:rPr>
                <w:rFonts w:ascii="Swis721 Cn BT"/>
                <w:sz w:val="18"/>
              </w:rPr>
            </w:r>
          </w:p>
          <w:p>
            <w:pPr>
              <w:pStyle w:val="TableParagraph"/>
              <w:spacing w:line="240" w:lineRule="auto"/>
              <w:ind w:right="78"/>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r>
      <w:tr>
        <w:trPr>
          <w:trHeight w:val="819" w:hRule="exact"/>
        </w:trPr>
        <w:tc>
          <w:tcPr>
            <w:tcW w:w="3565" w:type="dxa"/>
            <w:tcBorders>
              <w:top w:val="nil" w:sz="6" w:space="0" w:color="auto"/>
              <w:left w:val="nil" w:sz="6" w:space="0" w:color="auto"/>
              <w:bottom w:val="single" w:sz="2" w:space="0" w:color="848B91"/>
              <w:right w:val="nil" w:sz="6" w:space="0" w:color="auto"/>
            </w:tcBorders>
          </w:tcPr>
          <w:p>
            <w:pPr>
              <w:pStyle w:val="TableParagraph"/>
              <w:spacing w:line="240" w:lineRule="auto" w:before="2"/>
              <w:ind w:right="0"/>
              <w:jc w:val="left"/>
              <w:rPr>
                <w:rFonts w:ascii="Swis721 Md BT" w:hAnsi="Swis721 Md BT" w:cs="Swis721 Md BT" w:eastAsia="Swis721 Md BT"/>
                <w:sz w:val="16"/>
                <w:szCs w:val="16"/>
              </w:rPr>
            </w:pPr>
          </w:p>
          <w:p>
            <w:pPr>
              <w:pStyle w:val="TableParagraph"/>
              <w:spacing w:line="240" w:lineRule="auto"/>
              <w:ind w:left="-1" w:right="0"/>
              <w:jc w:val="left"/>
              <w:rPr>
                <w:rFonts w:ascii="Swis721 BT" w:hAnsi="Swis721 BT" w:cs="Swis721 BT" w:eastAsia="Swis721 BT"/>
                <w:sz w:val="20"/>
                <w:szCs w:val="20"/>
              </w:rPr>
            </w:pPr>
            <w:r>
              <w:rPr>
                <w:rFonts w:ascii="Swis721 BT"/>
                <w:b/>
                <w:color w:val="00757A"/>
                <w:sz w:val="20"/>
              </w:rPr>
              <w:t>INCOME</w:t>
            </w:r>
            <w:r>
              <w:rPr>
                <w:rFonts w:ascii="Swis721 BT"/>
                <w:sz w:val="20"/>
              </w:rPr>
            </w:r>
          </w:p>
          <w:p>
            <w:pPr>
              <w:pStyle w:val="TableParagraph"/>
              <w:spacing w:line="240" w:lineRule="auto" w:before="121"/>
              <w:ind w:left="-1" w:right="0"/>
              <w:jc w:val="left"/>
              <w:rPr>
                <w:rFonts w:ascii="Swis721 Lt BT" w:hAnsi="Swis721 Lt BT" w:cs="Swis721 Lt BT" w:eastAsia="Swis721 Lt BT"/>
                <w:sz w:val="18"/>
                <w:szCs w:val="18"/>
              </w:rPr>
            </w:pPr>
            <w:r>
              <w:rPr>
                <w:rFonts w:ascii="Swis721 Lt BT"/>
                <w:color w:val="231F20"/>
                <w:sz w:val="18"/>
              </w:rPr>
              <w:t>Government funding</w:t>
            </w:r>
            <w:r>
              <w:rPr>
                <w:rFonts w:ascii="Swis721 Lt BT"/>
                <w:sz w:val="18"/>
              </w:rPr>
            </w:r>
          </w:p>
        </w:tc>
        <w:tc>
          <w:tcPr>
            <w:tcW w:w="776" w:type="dxa"/>
            <w:tcBorders>
              <w:top w:val="nil" w:sz="6" w:space="0" w:color="auto"/>
              <w:left w:val="nil" w:sz="6" w:space="0" w:color="auto"/>
              <w:bottom w:val="single" w:sz="2" w:space="0" w:color="848B91"/>
              <w:right w:val="nil" w:sz="6" w:space="0" w:color="auto"/>
            </w:tcBorders>
          </w:tcPr>
          <w:p>
            <w:pPr/>
          </w:p>
        </w:tc>
        <w:tc>
          <w:tcPr>
            <w:tcW w:w="1248" w:type="dxa"/>
            <w:tcBorders>
              <w:top w:val="nil" w:sz="6" w:space="0" w:color="auto"/>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113"/>
              <w:ind w:left="169" w:right="0"/>
              <w:jc w:val="left"/>
              <w:rPr>
                <w:rFonts w:ascii="Swis721 Lt BT" w:hAnsi="Swis721 Lt BT" w:cs="Swis721 Lt BT" w:eastAsia="Swis721 Lt BT"/>
                <w:sz w:val="19"/>
                <w:szCs w:val="19"/>
              </w:rPr>
            </w:pPr>
            <w:r>
              <w:rPr>
                <w:rFonts w:ascii="Swis721 Lt BT"/>
                <w:color w:val="231F20"/>
                <w:sz w:val="19"/>
              </w:rPr>
              <w:t>17,747,000</w:t>
            </w:r>
            <w:r>
              <w:rPr>
                <w:rFonts w:ascii="Swis721 Lt BT"/>
                <w:sz w:val="19"/>
              </w:rPr>
            </w:r>
          </w:p>
        </w:tc>
        <w:tc>
          <w:tcPr>
            <w:tcW w:w="1183" w:type="dxa"/>
            <w:tcBorders>
              <w:top w:val="nil" w:sz="6" w:space="0" w:color="auto"/>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123"/>
              <w:ind w:left="209" w:right="0"/>
              <w:jc w:val="left"/>
              <w:rPr>
                <w:rFonts w:ascii="Swis721 Lt BT" w:hAnsi="Swis721 Lt BT" w:cs="Swis721 Lt BT" w:eastAsia="Swis721 Lt BT"/>
                <w:sz w:val="18"/>
                <w:szCs w:val="18"/>
              </w:rPr>
            </w:pPr>
            <w:r>
              <w:rPr>
                <w:rFonts w:ascii="Swis721 Lt BT"/>
                <w:color w:val="231F20"/>
                <w:sz w:val="18"/>
              </w:rPr>
              <w:t>13,092,000</w:t>
            </w:r>
            <w:r>
              <w:rPr>
                <w:rFonts w:ascii="Swis721 Lt BT"/>
                <w:sz w:val="18"/>
              </w:rPr>
            </w:r>
          </w:p>
        </w:tc>
        <w:tc>
          <w:tcPr>
            <w:tcW w:w="1222" w:type="dxa"/>
            <w:tcBorders>
              <w:top w:val="nil" w:sz="6" w:space="0" w:color="auto"/>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113"/>
              <w:ind w:left="218" w:right="0"/>
              <w:jc w:val="left"/>
              <w:rPr>
                <w:rFonts w:ascii="Swis721 Lt BT" w:hAnsi="Swis721 Lt BT" w:cs="Swis721 Lt BT" w:eastAsia="Swis721 Lt BT"/>
                <w:sz w:val="19"/>
                <w:szCs w:val="19"/>
              </w:rPr>
            </w:pPr>
            <w:r>
              <w:rPr>
                <w:rFonts w:ascii="Swis721 Lt BT"/>
                <w:color w:val="231F20"/>
                <w:sz w:val="19"/>
              </w:rPr>
              <w:t>11,761,000</w:t>
            </w:r>
            <w:r>
              <w:rPr>
                <w:rFonts w:ascii="Swis721 Lt BT"/>
                <w:sz w:val="19"/>
              </w:rPr>
            </w:r>
          </w:p>
        </w:tc>
      </w:tr>
      <w:tr>
        <w:trPr>
          <w:trHeight w:val="341" w:hRule="exact"/>
        </w:trPr>
        <w:tc>
          <w:tcPr>
            <w:tcW w:w="3565"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1" w:right="0"/>
              <w:jc w:val="left"/>
              <w:rPr>
                <w:rFonts w:ascii="Swis721 Lt BT" w:hAnsi="Swis721 Lt BT" w:cs="Swis721 Lt BT" w:eastAsia="Swis721 Lt BT"/>
                <w:sz w:val="18"/>
                <w:szCs w:val="18"/>
              </w:rPr>
            </w:pPr>
            <w:r>
              <w:rPr>
                <w:rFonts w:ascii="Swis721 Lt BT"/>
                <w:color w:val="231F20"/>
                <w:sz w:val="18"/>
              </w:rPr>
              <w:t>Sales of services</w:t>
            </w:r>
            <w:r>
              <w:rPr>
                <w:rFonts w:ascii="Swis721 Lt BT"/>
                <w:sz w:val="18"/>
              </w:rPr>
            </w:r>
          </w:p>
        </w:tc>
        <w:tc>
          <w:tcPr>
            <w:tcW w:w="776" w:type="dxa"/>
            <w:tcBorders>
              <w:top w:val="single" w:sz="2" w:space="0" w:color="848B91"/>
              <w:left w:val="nil" w:sz="6" w:space="0" w:color="auto"/>
              <w:bottom w:val="single" w:sz="2" w:space="0" w:color="848B91"/>
              <w:right w:val="nil" w:sz="6" w:space="0" w:color="auto"/>
            </w:tcBorders>
          </w:tcPr>
          <w:p>
            <w:pPr/>
          </w:p>
        </w:tc>
        <w:tc>
          <w:tcPr>
            <w:tcW w:w="1248"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270" w:right="0"/>
              <w:jc w:val="left"/>
              <w:rPr>
                <w:rFonts w:ascii="Swis721 Lt BT" w:hAnsi="Swis721 Lt BT" w:cs="Swis721 Lt BT" w:eastAsia="Swis721 Lt BT"/>
                <w:sz w:val="19"/>
                <w:szCs w:val="19"/>
              </w:rPr>
            </w:pPr>
            <w:r>
              <w:rPr>
                <w:rFonts w:ascii="Swis721 Lt BT"/>
                <w:color w:val="231F20"/>
                <w:sz w:val="19"/>
              </w:rPr>
              <w:t>2,834,584</w:t>
            </w:r>
            <w:r>
              <w:rPr>
                <w:rFonts w:ascii="Swis721 Lt BT"/>
                <w:sz w:val="19"/>
              </w:rPr>
            </w:r>
          </w:p>
        </w:tc>
        <w:tc>
          <w:tcPr>
            <w:tcW w:w="1183"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305" w:right="0"/>
              <w:jc w:val="left"/>
              <w:rPr>
                <w:rFonts w:ascii="Swis721 Lt BT" w:hAnsi="Swis721 Lt BT" w:cs="Swis721 Lt BT" w:eastAsia="Swis721 Lt BT"/>
                <w:sz w:val="18"/>
                <w:szCs w:val="18"/>
              </w:rPr>
            </w:pPr>
            <w:r>
              <w:rPr>
                <w:rFonts w:ascii="Swis721 Lt BT"/>
                <w:color w:val="231F20"/>
                <w:sz w:val="18"/>
              </w:rPr>
              <w:t>2,448,101</w:t>
            </w:r>
            <w:r>
              <w:rPr>
                <w:rFonts w:ascii="Swis721 Lt BT"/>
                <w:sz w:val="18"/>
              </w:rPr>
            </w:r>
          </w:p>
        </w:tc>
        <w:tc>
          <w:tcPr>
            <w:tcW w:w="1222"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319" w:right="0"/>
              <w:jc w:val="left"/>
              <w:rPr>
                <w:rFonts w:ascii="Swis721 Lt BT" w:hAnsi="Swis721 Lt BT" w:cs="Swis721 Lt BT" w:eastAsia="Swis721 Lt BT"/>
                <w:sz w:val="19"/>
                <w:szCs w:val="19"/>
              </w:rPr>
            </w:pPr>
            <w:r>
              <w:rPr>
                <w:rFonts w:ascii="Swis721 Lt BT"/>
                <w:color w:val="231F20"/>
                <w:sz w:val="19"/>
              </w:rPr>
              <w:t>2,756,000</w:t>
            </w:r>
            <w:r>
              <w:rPr>
                <w:rFonts w:ascii="Swis721 Lt BT"/>
                <w:sz w:val="19"/>
              </w:rPr>
            </w:r>
          </w:p>
        </w:tc>
      </w:tr>
      <w:tr>
        <w:trPr>
          <w:trHeight w:val="341" w:hRule="exact"/>
        </w:trPr>
        <w:tc>
          <w:tcPr>
            <w:tcW w:w="3565"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1" w:right="0"/>
              <w:jc w:val="left"/>
              <w:rPr>
                <w:rFonts w:ascii="Swis721 Lt BT" w:hAnsi="Swis721 Lt BT" w:cs="Swis721 Lt BT" w:eastAsia="Swis721 Lt BT"/>
                <w:sz w:val="18"/>
                <w:szCs w:val="18"/>
              </w:rPr>
            </w:pPr>
            <w:r>
              <w:rPr>
                <w:rFonts w:ascii="Swis721 Lt BT"/>
                <w:color w:val="231F20"/>
                <w:sz w:val="18"/>
              </w:rPr>
              <w:t>Interest</w:t>
            </w:r>
            <w:r>
              <w:rPr>
                <w:rFonts w:ascii="Swis721 Lt BT"/>
                <w:sz w:val="18"/>
              </w:rPr>
            </w:r>
          </w:p>
        </w:tc>
        <w:tc>
          <w:tcPr>
            <w:tcW w:w="776" w:type="dxa"/>
            <w:tcBorders>
              <w:top w:val="single" w:sz="2" w:space="0" w:color="848B91"/>
              <w:left w:val="nil" w:sz="6" w:space="0" w:color="auto"/>
              <w:bottom w:val="single" w:sz="2" w:space="0" w:color="848B91"/>
              <w:right w:val="nil" w:sz="6" w:space="0" w:color="auto"/>
            </w:tcBorders>
          </w:tcPr>
          <w:p>
            <w:pPr/>
          </w:p>
        </w:tc>
        <w:tc>
          <w:tcPr>
            <w:tcW w:w="1248"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421" w:right="0"/>
              <w:jc w:val="left"/>
              <w:rPr>
                <w:rFonts w:ascii="Swis721 Lt BT" w:hAnsi="Swis721 Lt BT" w:cs="Swis721 Lt BT" w:eastAsia="Swis721 Lt BT"/>
                <w:sz w:val="19"/>
                <w:szCs w:val="19"/>
              </w:rPr>
            </w:pPr>
            <w:r>
              <w:rPr>
                <w:rFonts w:ascii="Swis721 Lt BT"/>
                <w:color w:val="231F20"/>
                <w:sz w:val="19"/>
              </w:rPr>
              <w:t>102,662</w:t>
            </w:r>
            <w:r>
              <w:rPr>
                <w:rFonts w:ascii="Swis721 Lt BT"/>
                <w:sz w:val="19"/>
              </w:rPr>
            </w:r>
          </w:p>
        </w:tc>
        <w:tc>
          <w:tcPr>
            <w:tcW w:w="1183"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544" w:right="0"/>
              <w:jc w:val="left"/>
              <w:rPr>
                <w:rFonts w:ascii="Swis721 Lt BT" w:hAnsi="Swis721 Lt BT" w:cs="Swis721 Lt BT" w:eastAsia="Swis721 Lt BT"/>
                <w:sz w:val="18"/>
                <w:szCs w:val="18"/>
              </w:rPr>
            </w:pPr>
            <w:r>
              <w:rPr>
                <w:rFonts w:ascii="Swis721 Lt BT"/>
                <w:color w:val="231F20"/>
                <w:sz w:val="18"/>
              </w:rPr>
              <w:t>50,701</w:t>
            </w:r>
            <w:r>
              <w:rPr>
                <w:rFonts w:ascii="Swis721 Lt BT"/>
                <w:sz w:val="18"/>
              </w:rPr>
            </w:r>
          </w:p>
        </w:tc>
        <w:tc>
          <w:tcPr>
            <w:tcW w:w="1222"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572" w:right="0"/>
              <w:jc w:val="left"/>
              <w:rPr>
                <w:rFonts w:ascii="Swis721 Lt BT" w:hAnsi="Swis721 Lt BT" w:cs="Swis721 Lt BT" w:eastAsia="Swis721 Lt BT"/>
                <w:sz w:val="19"/>
                <w:szCs w:val="19"/>
              </w:rPr>
            </w:pPr>
            <w:r>
              <w:rPr>
                <w:rFonts w:ascii="Swis721 Lt BT"/>
                <w:color w:val="231F20"/>
                <w:sz w:val="19"/>
              </w:rPr>
              <w:t>60,000</w:t>
            </w:r>
            <w:r>
              <w:rPr>
                <w:rFonts w:ascii="Swis721 Lt BT"/>
                <w:sz w:val="19"/>
              </w:rPr>
            </w:r>
          </w:p>
        </w:tc>
      </w:tr>
      <w:tr>
        <w:trPr>
          <w:trHeight w:val="341" w:hRule="exact"/>
        </w:trPr>
        <w:tc>
          <w:tcPr>
            <w:tcW w:w="3565"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1" w:right="0"/>
              <w:jc w:val="left"/>
              <w:rPr>
                <w:rFonts w:ascii="Swis721 Lt BT" w:hAnsi="Swis721 Lt BT" w:cs="Swis721 Lt BT" w:eastAsia="Swis721 Lt BT"/>
                <w:sz w:val="18"/>
                <w:szCs w:val="18"/>
              </w:rPr>
            </w:pPr>
            <w:r>
              <w:rPr>
                <w:rFonts w:ascii="Swis721 Lt BT"/>
                <w:color w:val="231F20"/>
                <w:sz w:val="18"/>
              </w:rPr>
              <w:t>Other revenue</w:t>
            </w:r>
            <w:r>
              <w:rPr>
                <w:rFonts w:ascii="Swis721 Lt BT"/>
                <w:sz w:val="18"/>
              </w:rPr>
            </w:r>
          </w:p>
        </w:tc>
        <w:tc>
          <w:tcPr>
            <w:tcW w:w="776" w:type="dxa"/>
            <w:tcBorders>
              <w:top w:val="single" w:sz="2" w:space="0" w:color="848B91"/>
              <w:left w:val="nil" w:sz="6" w:space="0" w:color="auto"/>
              <w:bottom w:val="single" w:sz="2" w:space="0" w:color="848B91"/>
              <w:right w:val="nil" w:sz="6" w:space="0" w:color="auto"/>
            </w:tcBorders>
          </w:tcPr>
          <w:p>
            <w:pPr/>
          </w:p>
        </w:tc>
        <w:tc>
          <w:tcPr>
            <w:tcW w:w="1248"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522" w:right="0"/>
              <w:jc w:val="left"/>
              <w:rPr>
                <w:rFonts w:ascii="Swis721 Lt BT" w:hAnsi="Swis721 Lt BT" w:cs="Swis721 Lt BT" w:eastAsia="Swis721 Lt BT"/>
                <w:sz w:val="19"/>
                <w:szCs w:val="19"/>
              </w:rPr>
            </w:pPr>
            <w:r>
              <w:rPr>
                <w:rFonts w:ascii="Swis721 Lt BT"/>
                <w:color w:val="231F20"/>
                <w:sz w:val="19"/>
              </w:rPr>
              <w:t>55,546</w:t>
            </w:r>
            <w:r>
              <w:rPr>
                <w:rFonts w:ascii="Swis721 Lt BT"/>
                <w:sz w:val="19"/>
              </w:rPr>
            </w:r>
          </w:p>
        </w:tc>
        <w:tc>
          <w:tcPr>
            <w:tcW w:w="1183"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544" w:right="0"/>
              <w:jc w:val="left"/>
              <w:rPr>
                <w:rFonts w:ascii="Swis721 Lt BT" w:hAnsi="Swis721 Lt BT" w:cs="Swis721 Lt BT" w:eastAsia="Swis721 Lt BT"/>
                <w:sz w:val="18"/>
                <w:szCs w:val="18"/>
              </w:rPr>
            </w:pPr>
            <w:r>
              <w:rPr>
                <w:rFonts w:ascii="Swis721 Lt BT"/>
                <w:color w:val="231F20"/>
                <w:sz w:val="18"/>
              </w:rPr>
              <w:t>99,186</w:t>
            </w:r>
            <w:r>
              <w:rPr>
                <w:rFonts w:ascii="Swis721 Lt BT"/>
                <w:sz w:val="18"/>
              </w:rPr>
            </w:r>
          </w:p>
        </w:tc>
        <w:tc>
          <w:tcPr>
            <w:tcW w:w="1222"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471" w:right="0"/>
              <w:jc w:val="left"/>
              <w:rPr>
                <w:rFonts w:ascii="Swis721 Lt BT" w:hAnsi="Swis721 Lt BT" w:cs="Swis721 Lt BT" w:eastAsia="Swis721 Lt BT"/>
                <w:sz w:val="19"/>
                <w:szCs w:val="19"/>
              </w:rPr>
            </w:pPr>
            <w:r>
              <w:rPr>
                <w:rFonts w:ascii="Swis721 Lt BT"/>
                <w:color w:val="231F20"/>
                <w:sz w:val="19"/>
              </w:rPr>
              <w:t>108,000</w:t>
            </w:r>
            <w:r>
              <w:rPr>
                <w:rFonts w:ascii="Swis721 Lt BT"/>
                <w:sz w:val="19"/>
              </w:rPr>
            </w:r>
          </w:p>
        </w:tc>
      </w:tr>
      <w:tr>
        <w:trPr>
          <w:trHeight w:val="341" w:hRule="exact"/>
        </w:trPr>
        <w:tc>
          <w:tcPr>
            <w:tcW w:w="3565"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Surplus on disposal of assets</w:t>
            </w:r>
            <w:r>
              <w:rPr>
                <w:rFonts w:ascii="Swis721 Lt BT"/>
                <w:sz w:val="18"/>
              </w:rPr>
            </w:r>
          </w:p>
        </w:tc>
        <w:tc>
          <w:tcPr>
            <w:tcW w:w="776" w:type="dxa"/>
            <w:tcBorders>
              <w:top w:val="single" w:sz="2" w:space="0" w:color="848B91"/>
              <w:left w:val="nil" w:sz="6" w:space="0" w:color="auto"/>
              <w:bottom w:val="single" w:sz="8" w:space="0" w:color="848B91"/>
              <w:right w:val="nil" w:sz="6" w:space="0" w:color="auto"/>
            </w:tcBorders>
          </w:tcPr>
          <w:p>
            <w:pPr/>
          </w:p>
        </w:tc>
        <w:tc>
          <w:tcPr>
            <w:tcW w:w="1248"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right="166"/>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118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783" w:right="0"/>
              <w:jc w:val="left"/>
              <w:rPr>
                <w:rFonts w:ascii="Swis721 Lt BT" w:hAnsi="Swis721 Lt BT" w:cs="Swis721 Lt BT" w:eastAsia="Swis721 Lt BT"/>
                <w:sz w:val="18"/>
                <w:szCs w:val="18"/>
              </w:rPr>
            </w:pPr>
            <w:r>
              <w:rPr>
                <w:rFonts w:ascii="Swis721 Lt BT"/>
                <w:color w:val="231F20"/>
                <w:sz w:val="18"/>
              </w:rPr>
              <w:t>430</w:t>
            </w:r>
            <w:r>
              <w:rPr>
                <w:rFonts w:ascii="Swis721 Lt BT"/>
                <w:sz w:val="18"/>
              </w:rPr>
            </w:r>
          </w:p>
        </w:tc>
        <w:tc>
          <w:tcPr>
            <w:tcW w:w="1222"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right="91"/>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r>
      <w:tr>
        <w:trPr>
          <w:trHeight w:val="349" w:hRule="exact"/>
        </w:trPr>
        <w:tc>
          <w:tcPr>
            <w:tcW w:w="3565"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pacing w:val="-2"/>
                <w:sz w:val="18"/>
              </w:rPr>
              <w:t>TOTAL</w:t>
            </w:r>
            <w:r>
              <w:rPr>
                <w:rFonts w:ascii="Swis721 Md BT"/>
                <w:color w:val="231F20"/>
                <w:sz w:val="18"/>
              </w:rPr>
              <w:t> INCOME</w:t>
            </w:r>
            <w:r>
              <w:rPr>
                <w:rFonts w:ascii="Swis721 Md BT"/>
                <w:sz w:val="18"/>
              </w:rPr>
            </w:r>
          </w:p>
        </w:tc>
        <w:tc>
          <w:tcPr>
            <w:tcW w:w="776" w:type="dxa"/>
            <w:tcBorders>
              <w:top w:val="single" w:sz="8" w:space="0" w:color="848B91"/>
              <w:left w:val="nil" w:sz="6" w:space="0" w:color="auto"/>
              <w:bottom w:val="single" w:sz="8" w:space="0" w:color="848B91"/>
              <w:right w:val="nil" w:sz="6" w:space="0" w:color="auto"/>
            </w:tcBorders>
          </w:tcPr>
          <w:p>
            <w:pPr/>
          </w:p>
        </w:tc>
        <w:tc>
          <w:tcPr>
            <w:tcW w:w="1248"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76" w:right="0"/>
              <w:jc w:val="left"/>
              <w:rPr>
                <w:rFonts w:ascii="Swis721 Md BT" w:hAnsi="Swis721 Md BT" w:cs="Swis721 Md BT" w:eastAsia="Swis721 Md BT"/>
                <w:sz w:val="18"/>
                <w:szCs w:val="18"/>
              </w:rPr>
            </w:pPr>
            <w:r>
              <w:rPr>
                <w:rFonts w:ascii="Swis721 Md BT"/>
                <w:color w:val="231F20"/>
                <w:sz w:val="18"/>
              </w:rPr>
              <w:t>20,739,792</w:t>
            </w:r>
            <w:r>
              <w:rPr>
                <w:rFonts w:ascii="Swis721 Md BT"/>
                <w:sz w:val="18"/>
              </w:rPr>
            </w:r>
          </w:p>
        </w:tc>
        <w:tc>
          <w:tcPr>
            <w:tcW w:w="118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68" w:right="0"/>
              <w:jc w:val="left"/>
              <w:rPr>
                <w:rFonts w:ascii="Swis721 Md BT" w:hAnsi="Swis721 Md BT" w:cs="Swis721 Md BT" w:eastAsia="Swis721 Md BT"/>
                <w:sz w:val="18"/>
                <w:szCs w:val="18"/>
              </w:rPr>
            </w:pPr>
            <w:r>
              <w:rPr>
                <w:rFonts w:ascii="Swis721 Md BT"/>
                <w:color w:val="231F20"/>
                <w:sz w:val="18"/>
              </w:rPr>
              <w:t>15,690,418</w:t>
            </w:r>
            <w:r>
              <w:rPr>
                <w:rFonts w:ascii="Swis721 Md BT"/>
                <w:sz w:val="18"/>
              </w:rPr>
            </w:r>
          </w:p>
        </w:tc>
        <w:tc>
          <w:tcPr>
            <w:tcW w:w="122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26" w:right="0"/>
              <w:jc w:val="left"/>
              <w:rPr>
                <w:rFonts w:ascii="Swis721 Md BT" w:hAnsi="Swis721 Md BT" w:cs="Swis721 Md BT" w:eastAsia="Swis721 Md BT"/>
                <w:sz w:val="18"/>
                <w:szCs w:val="18"/>
              </w:rPr>
            </w:pPr>
            <w:r>
              <w:rPr>
                <w:rFonts w:ascii="Swis721 Md BT"/>
                <w:color w:val="231F20"/>
                <w:sz w:val="18"/>
              </w:rPr>
              <w:t>14,685,000</w:t>
            </w:r>
            <w:r>
              <w:rPr>
                <w:rFonts w:ascii="Swis721 Md BT"/>
                <w:sz w:val="18"/>
              </w:rPr>
            </w:r>
          </w:p>
        </w:tc>
      </w:tr>
      <w:tr>
        <w:trPr>
          <w:trHeight w:val="797" w:hRule="exact"/>
        </w:trPr>
        <w:tc>
          <w:tcPr>
            <w:tcW w:w="3565" w:type="dxa"/>
            <w:tcBorders>
              <w:top w:val="single" w:sz="8" w:space="0" w:color="848B91"/>
              <w:left w:val="nil" w:sz="6" w:space="0" w:color="auto"/>
              <w:bottom w:val="single" w:sz="2" w:space="0" w:color="848B91"/>
              <w:right w:val="nil" w:sz="6" w:space="0" w:color="auto"/>
            </w:tcBorders>
          </w:tcPr>
          <w:p>
            <w:pPr>
              <w:pStyle w:val="TableParagraph"/>
              <w:spacing w:line="240" w:lineRule="auto" w:before="172"/>
              <w:ind w:left="-1" w:right="0"/>
              <w:jc w:val="left"/>
              <w:rPr>
                <w:rFonts w:ascii="Swis721 BT" w:hAnsi="Swis721 BT" w:cs="Swis721 BT" w:eastAsia="Swis721 BT"/>
                <w:sz w:val="20"/>
                <w:szCs w:val="20"/>
              </w:rPr>
            </w:pPr>
            <w:r>
              <w:rPr>
                <w:rFonts w:ascii="Swis721 BT"/>
                <w:b/>
                <w:color w:val="00757A"/>
                <w:sz w:val="20"/>
              </w:rPr>
              <w:t>EXPENSES</w:t>
            </w:r>
            <w:r>
              <w:rPr>
                <w:rFonts w:ascii="Swis721 BT"/>
                <w:sz w:val="20"/>
              </w:rPr>
            </w:r>
          </w:p>
          <w:p>
            <w:pPr>
              <w:pStyle w:val="TableParagraph"/>
              <w:spacing w:line="240" w:lineRule="auto" w:before="121"/>
              <w:ind w:left="-1" w:right="0"/>
              <w:jc w:val="left"/>
              <w:rPr>
                <w:rFonts w:ascii="Swis721 Lt BT" w:hAnsi="Swis721 Lt BT" w:cs="Swis721 Lt BT" w:eastAsia="Swis721 Lt BT"/>
                <w:sz w:val="18"/>
                <w:szCs w:val="18"/>
              </w:rPr>
            </w:pPr>
            <w:r>
              <w:rPr>
                <w:rFonts w:ascii="Swis721 Lt BT"/>
                <w:color w:val="231F20"/>
                <w:sz w:val="18"/>
              </w:rPr>
              <w:t>Board of Directors</w:t>
            </w:r>
            <w:r>
              <w:rPr>
                <w:rFonts w:ascii="Swis721 Lt BT"/>
                <w:sz w:val="18"/>
              </w:rPr>
            </w:r>
          </w:p>
        </w:tc>
        <w:tc>
          <w:tcPr>
            <w:tcW w:w="776" w:type="dxa"/>
            <w:tcBorders>
              <w:top w:val="single" w:sz="8" w:space="0" w:color="848B91"/>
              <w:left w:val="nil" w:sz="6" w:space="0" w:color="auto"/>
              <w:bottom w:val="single" w:sz="2" w:space="0" w:color="848B91"/>
              <w:right w:val="nil" w:sz="6" w:space="0" w:color="auto"/>
            </w:tcBorders>
          </w:tcPr>
          <w:p>
            <w:pPr/>
          </w:p>
        </w:tc>
        <w:tc>
          <w:tcPr>
            <w:tcW w:w="1248" w:type="dxa"/>
            <w:tcBorders>
              <w:top w:val="single" w:sz="8" w:space="0" w:color="848B91"/>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8"/>
              <w:ind w:right="0"/>
              <w:jc w:val="left"/>
              <w:rPr>
                <w:rFonts w:ascii="Swis721 Md BT" w:hAnsi="Swis721 Md BT" w:cs="Swis721 Md BT" w:eastAsia="Swis721 Md BT"/>
                <w:sz w:val="25"/>
                <w:szCs w:val="25"/>
              </w:rPr>
            </w:pPr>
          </w:p>
          <w:p>
            <w:pPr>
              <w:pStyle w:val="TableParagraph"/>
              <w:spacing w:line="240" w:lineRule="auto"/>
              <w:ind w:left="421" w:right="0"/>
              <w:jc w:val="left"/>
              <w:rPr>
                <w:rFonts w:ascii="Swis721 Lt BT" w:hAnsi="Swis721 Lt BT" w:cs="Swis721 Lt BT" w:eastAsia="Swis721 Lt BT"/>
                <w:sz w:val="19"/>
                <w:szCs w:val="19"/>
              </w:rPr>
            </w:pPr>
            <w:r>
              <w:rPr>
                <w:rFonts w:ascii="Swis721 Lt BT"/>
                <w:color w:val="231F20"/>
                <w:sz w:val="19"/>
              </w:rPr>
              <w:t>446,930</w:t>
            </w:r>
            <w:r>
              <w:rPr>
                <w:rFonts w:ascii="Swis721 Lt BT"/>
                <w:sz w:val="19"/>
              </w:rPr>
            </w:r>
          </w:p>
        </w:tc>
        <w:tc>
          <w:tcPr>
            <w:tcW w:w="1183" w:type="dxa"/>
            <w:tcBorders>
              <w:top w:val="single" w:sz="8" w:space="0" w:color="848B91"/>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5"/>
              <w:ind w:right="0"/>
              <w:jc w:val="left"/>
              <w:rPr>
                <w:rFonts w:ascii="Swis721 Md BT" w:hAnsi="Swis721 Md BT" w:cs="Swis721 Md BT" w:eastAsia="Swis721 Md BT"/>
                <w:sz w:val="26"/>
                <w:szCs w:val="26"/>
              </w:rPr>
            </w:pPr>
          </w:p>
          <w:p>
            <w:pPr>
              <w:pStyle w:val="TableParagraph"/>
              <w:spacing w:line="240" w:lineRule="auto"/>
              <w:ind w:left="448" w:right="0"/>
              <w:jc w:val="left"/>
              <w:rPr>
                <w:rFonts w:ascii="Swis721 Lt BT" w:hAnsi="Swis721 Lt BT" w:cs="Swis721 Lt BT" w:eastAsia="Swis721 Lt BT"/>
                <w:sz w:val="18"/>
                <w:szCs w:val="18"/>
              </w:rPr>
            </w:pPr>
            <w:r>
              <w:rPr>
                <w:rFonts w:ascii="Swis721 Lt BT"/>
                <w:color w:val="231F20"/>
                <w:sz w:val="18"/>
              </w:rPr>
              <w:t>359,079</w:t>
            </w:r>
            <w:r>
              <w:rPr>
                <w:rFonts w:ascii="Swis721 Lt BT"/>
                <w:sz w:val="18"/>
              </w:rPr>
            </w:r>
          </w:p>
        </w:tc>
        <w:tc>
          <w:tcPr>
            <w:tcW w:w="1222" w:type="dxa"/>
            <w:tcBorders>
              <w:top w:val="single" w:sz="8" w:space="0" w:color="848B91"/>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8"/>
              <w:ind w:right="0"/>
              <w:jc w:val="left"/>
              <w:rPr>
                <w:rFonts w:ascii="Swis721 Md BT" w:hAnsi="Swis721 Md BT" w:cs="Swis721 Md BT" w:eastAsia="Swis721 Md BT"/>
                <w:sz w:val="25"/>
                <w:szCs w:val="25"/>
              </w:rPr>
            </w:pPr>
          </w:p>
          <w:p>
            <w:pPr>
              <w:pStyle w:val="TableParagraph"/>
              <w:spacing w:line="240" w:lineRule="auto"/>
              <w:ind w:left="471" w:right="0"/>
              <w:jc w:val="left"/>
              <w:rPr>
                <w:rFonts w:ascii="Swis721 Lt BT" w:hAnsi="Swis721 Lt BT" w:cs="Swis721 Lt BT" w:eastAsia="Swis721 Lt BT"/>
                <w:sz w:val="19"/>
                <w:szCs w:val="19"/>
              </w:rPr>
            </w:pPr>
            <w:r>
              <w:rPr>
                <w:rFonts w:ascii="Swis721 Lt BT"/>
                <w:color w:val="231F20"/>
                <w:sz w:val="19"/>
              </w:rPr>
              <w:t>499,000</w:t>
            </w:r>
            <w:r>
              <w:rPr>
                <w:rFonts w:ascii="Swis721 Lt BT"/>
                <w:sz w:val="19"/>
              </w:rPr>
            </w:r>
          </w:p>
        </w:tc>
      </w:tr>
      <w:tr>
        <w:trPr>
          <w:trHeight w:val="341" w:hRule="exact"/>
        </w:trPr>
        <w:tc>
          <w:tcPr>
            <w:tcW w:w="3565"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1" w:right="0"/>
              <w:jc w:val="left"/>
              <w:rPr>
                <w:rFonts w:ascii="Swis721 Lt BT" w:hAnsi="Swis721 Lt BT" w:cs="Swis721 Lt BT" w:eastAsia="Swis721 Lt BT"/>
                <w:sz w:val="18"/>
                <w:szCs w:val="18"/>
              </w:rPr>
            </w:pPr>
            <w:r>
              <w:rPr>
                <w:rFonts w:ascii="Swis721 Lt BT"/>
                <w:color w:val="231F20"/>
                <w:sz w:val="18"/>
              </w:rPr>
              <w:t>Employee</w:t>
            </w:r>
            <w:r>
              <w:rPr>
                <w:rFonts w:ascii="Swis721 Lt BT"/>
                <w:color w:val="231F20"/>
                <w:spacing w:val="-7"/>
                <w:sz w:val="18"/>
              </w:rPr>
              <w:t> </w:t>
            </w:r>
            <w:r>
              <w:rPr>
                <w:rFonts w:ascii="Swis721 Lt BT"/>
                <w:color w:val="231F20"/>
                <w:sz w:val="18"/>
              </w:rPr>
              <w:t>benefits</w:t>
            </w:r>
            <w:r>
              <w:rPr>
                <w:rFonts w:ascii="Swis721 Lt BT"/>
                <w:sz w:val="18"/>
              </w:rPr>
            </w:r>
          </w:p>
        </w:tc>
        <w:tc>
          <w:tcPr>
            <w:tcW w:w="776" w:type="dxa"/>
            <w:tcBorders>
              <w:top w:val="single" w:sz="2" w:space="0" w:color="848B91"/>
              <w:left w:val="nil" w:sz="6" w:space="0" w:color="auto"/>
              <w:bottom w:val="single" w:sz="2" w:space="0" w:color="848B91"/>
              <w:right w:val="nil" w:sz="6" w:space="0" w:color="auto"/>
            </w:tcBorders>
          </w:tcPr>
          <w:p>
            <w:pPr/>
          </w:p>
        </w:tc>
        <w:tc>
          <w:tcPr>
            <w:tcW w:w="1248"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270" w:right="0"/>
              <w:jc w:val="left"/>
              <w:rPr>
                <w:rFonts w:ascii="Swis721 Lt BT" w:hAnsi="Swis721 Lt BT" w:cs="Swis721 Lt BT" w:eastAsia="Swis721 Lt BT"/>
                <w:sz w:val="19"/>
                <w:szCs w:val="19"/>
              </w:rPr>
            </w:pPr>
            <w:r>
              <w:rPr>
                <w:rFonts w:ascii="Swis721 Lt BT"/>
                <w:color w:val="231F20"/>
                <w:sz w:val="19"/>
              </w:rPr>
              <w:t>8,675,646</w:t>
            </w:r>
            <w:r>
              <w:rPr>
                <w:rFonts w:ascii="Swis721 Lt BT"/>
                <w:sz w:val="19"/>
              </w:rPr>
            </w:r>
          </w:p>
        </w:tc>
        <w:tc>
          <w:tcPr>
            <w:tcW w:w="1183"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305" w:right="0"/>
              <w:jc w:val="left"/>
              <w:rPr>
                <w:rFonts w:ascii="Swis721 Lt BT" w:hAnsi="Swis721 Lt BT" w:cs="Swis721 Lt BT" w:eastAsia="Swis721 Lt BT"/>
                <w:sz w:val="18"/>
                <w:szCs w:val="18"/>
              </w:rPr>
            </w:pPr>
            <w:r>
              <w:rPr>
                <w:rFonts w:ascii="Swis721 Lt BT"/>
                <w:color w:val="231F20"/>
                <w:sz w:val="18"/>
              </w:rPr>
              <w:t>7,531,216</w:t>
            </w:r>
            <w:r>
              <w:rPr>
                <w:rFonts w:ascii="Swis721 Lt BT"/>
                <w:sz w:val="18"/>
              </w:rPr>
            </w:r>
          </w:p>
        </w:tc>
        <w:tc>
          <w:tcPr>
            <w:tcW w:w="1222"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319" w:right="0"/>
              <w:jc w:val="left"/>
              <w:rPr>
                <w:rFonts w:ascii="Swis721 Lt BT" w:hAnsi="Swis721 Lt BT" w:cs="Swis721 Lt BT" w:eastAsia="Swis721 Lt BT"/>
                <w:sz w:val="19"/>
                <w:szCs w:val="19"/>
              </w:rPr>
            </w:pPr>
            <w:r>
              <w:rPr>
                <w:rFonts w:ascii="Swis721 Lt BT"/>
                <w:color w:val="231F20"/>
                <w:sz w:val="19"/>
              </w:rPr>
              <w:t>7,930,000</w:t>
            </w:r>
            <w:r>
              <w:rPr>
                <w:rFonts w:ascii="Swis721 Lt BT"/>
                <w:sz w:val="19"/>
              </w:rPr>
            </w:r>
          </w:p>
        </w:tc>
      </w:tr>
      <w:tr>
        <w:trPr>
          <w:trHeight w:val="341" w:hRule="exact"/>
        </w:trPr>
        <w:tc>
          <w:tcPr>
            <w:tcW w:w="3565"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1" w:right="0"/>
              <w:jc w:val="left"/>
              <w:rPr>
                <w:rFonts w:ascii="Swis721 Lt BT" w:hAnsi="Swis721 Lt BT" w:cs="Swis721 Lt BT" w:eastAsia="Swis721 Lt BT"/>
                <w:sz w:val="18"/>
                <w:szCs w:val="18"/>
              </w:rPr>
            </w:pPr>
            <w:r>
              <w:rPr>
                <w:rFonts w:ascii="Swis721 Lt BT"/>
                <w:color w:val="231F20"/>
                <w:sz w:val="18"/>
              </w:rPr>
              <w:t>Administration</w:t>
            </w:r>
            <w:r>
              <w:rPr>
                <w:rFonts w:ascii="Swis721 Lt BT"/>
                <w:sz w:val="18"/>
              </w:rPr>
            </w:r>
          </w:p>
        </w:tc>
        <w:tc>
          <w:tcPr>
            <w:tcW w:w="776" w:type="dxa"/>
            <w:tcBorders>
              <w:top w:val="single" w:sz="2" w:space="0" w:color="848B91"/>
              <w:left w:val="nil" w:sz="6" w:space="0" w:color="auto"/>
              <w:bottom w:val="single" w:sz="2" w:space="0" w:color="848B91"/>
              <w:right w:val="nil" w:sz="6" w:space="0" w:color="auto"/>
            </w:tcBorders>
          </w:tcPr>
          <w:p>
            <w:pPr/>
          </w:p>
        </w:tc>
        <w:tc>
          <w:tcPr>
            <w:tcW w:w="1248"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270" w:right="0"/>
              <w:jc w:val="left"/>
              <w:rPr>
                <w:rFonts w:ascii="Swis721 Lt BT" w:hAnsi="Swis721 Lt BT" w:cs="Swis721 Lt BT" w:eastAsia="Swis721 Lt BT"/>
                <w:sz w:val="19"/>
                <w:szCs w:val="19"/>
              </w:rPr>
            </w:pPr>
            <w:r>
              <w:rPr>
                <w:rFonts w:ascii="Swis721 Lt BT"/>
                <w:color w:val="231F20"/>
                <w:sz w:val="19"/>
              </w:rPr>
              <w:t>2,653,212</w:t>
            </w:r>
            <w:r>
              <w:rPr>
                <w:rFonts w:ascii="Swis721 Lt BT"/>
                <w:sz w:val="19"/>
              </w:rPr>
            </w:r>
          </w:p>
        </w:tc>
        <w:tc>
          <w:tcPr>
            <w:tcW w:w="1183"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305" w:right="0"/>
              <w:jc w:val="left"/>
              <w:rPr>
                <w:rFonts w:ascii="Swis721 Lt BT" w:hAnsi="Swis721 Lt BT" w:cs="Swis721 Lt BT" w:eastAsia="Swis721 Lt BT"/>
                <w:sz w:val="18"/>
                <w:szCs w:val="18"/>
              </w:rPr>
            </w:pPr>
            <w:r>
              <w:rPr>
                <w:rFonts w:ascii="Swis721 Lt BT"/>
                <w:color w:val="231F20"/>
                <w:sz w:val="18"/>
              </w:rPr>
              <w:t>2,682,672</w:t>
            </w:r>
            <w:r>
              <w:rPr>
                <w:rFonts w:ascii="Swis721 Lt BT"/>
                <w:sz w:val="18"/>
              </w:rPr>
            </w:r>
          </w:p>
        </w:tc>
        <w:tc>
          <w:tcPr>
            <w:tcW w:w="1222"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319" w:right="0"/>
              <w:jc w:val="left"/>
              <w:rPr>
                <w:rFonts w:ascii="Swis721 Lt BT" w:hAnsi="Swis721 Lt BT" w:cs="Swis721 Lt BT" w:eastAsia="Swis721 Lt BT"/>
                <w:sz w:val="19"/>
                <w:szCs w:val="19"/>
              </w:rPr>
            </w:pPr>
            <w:r>
              <w:rPr>
                <w:rFonts w:ascii="Swis721 Lt BT"/>
                <w:color w:val="231F20"/>
                <w:sz w:val="19"/>
              </w:rPr>
              <w:t>2,828,000</w:t>
            </w:r>
            <w:r>
              <w:rPr>
                <w:rFonts w:ascii="Swis721 Lt BT"/>
                <w:sz w:val="19"/>
              </w:rPr>
            </w:r>
          </w:p>
        </w:tc>
      </w:tr>
      <w:tr>
        <w:trPr>
          <w:trHeight w:val="341" w:hRule="exact"/>
        </w:trPr>
        <w:tc>
          <w:tcPr>
            <w:tcW w:w="3565"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1" w:right="0"/>
              <w:jc w:val="left"/>
              <w:rPr>
                <w:rFonts w:ascii="Swis721 Lt BT" w:hAnsi="Swis721 Lt BT" w:cs="Swis721 Lt BT" w:eastAsia="Swis721 Lt BT"/>
                <w:sz w:val="18"/>
                <w:szCs w:val="18"/>
              </w:rPr>
            </w:pPr>
            <w:r>
              <w:rPr>
                <w:rFonts w:ascii="Swis721 Lt BT"/>
                <w:color w:val="231F20"/>
                <w:sz w:val="18"/>
              </w:rPr>
              <w:t>Programs</w:t>
            </w:r>
            <w:r>
              <w:rPr>
                <w:rFonts w:ascii="Swis721 Lt BT"/>
                <w:sz w:val="18"/>
              </w:rPr>
            </w:r>
          </w:p>
        </w:tc>
        <w:tc>
          <w:tcPr>
            <w:tcW w:w="776" w:type="dxa"/>
            <w:tcBorders>
              <w:top w:val="single" w:sz="2" w:space="0" w:color="848B91"/>
              <w:left w:val="nil" w:sz="6" w:space="0" w:color="auto"/>
              <w:bottom w:val="single" w:sz="2" w:space="0" w:color="848B91"/>
              <w:right w:val="nil" w:sz="6" w:space="0" w:color="auto"/>
            </w:tcBorders>
          </w:tcPr>
          <w:p>
            <w:pPr/>
          </w:p>
        </w:tc>
        <w:tc>
          <w:tcPr>
            <w:tcW w:w="1248"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270" w:right="0"/>
              <w:jc w:val="left"/>
              <w:rPr>
                <w:rFonts w:ascii="Swis721 Lt BT" w:hAnsi="Swis721 Lt BT" w:cs="Swis721 Lt BT" w:eastAsia="Swis721 Lt BT"/>
                <w:sz w:val="19"/>
                <w:szCs w:val="19"/>
              </w:rPr>
            </w:pPr>
            <w:r>
              <w:rPr>
                <w:rFonts w:ascii="Swis721 Lt BT"/>
                <w:color w:val="231F20"/>
                <w:sz w:val="19"/>
              </w:rPr>
              <w:t>4,738,237</w:t>
            </w:r>
            <w:r>
              <w:rPr>
                <w:rFonts w:ascii="Swis721 Lt BT"/>
                <w:sz w:val="19"/>
              </w:rPr>
            </w:r>
          </w:p>
        </w:tc>
        <w:tc>
          <w:tcPr>
            <w:tcW w:w="1183"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305" w:right="0"/>
              <w:jc w:val="left"/>
              <w:rPr>
                <w:rFonts w:ascii="Swis721 Lt BT" w:hAnsi="Swis721 Lt BT" w:cs="Swis721 Lt BT" w:eastAsia="Swis721 Lt BT"/>
                <w:sz w:val="18"/>
                <w:szCs w:val="18"/>
              </w:rPr>
            </w:pPr>
            <w:r>
              <w:rPr>
                <w:rFonts w:ascii="Swis721 Lt BT"/>
                <w:color w:val="231F20"/>
                <w:sz w:val="18"/>
              </w:rPr>
              <w:t>3,370,904</w:t>
            </w:r>
            <w:r>
              <w:rPr>
                <w:rFonts w:ascii="Swis721 Lt BT"/>
                <w:sz w:val="18"/>
              </w:rPr>
            </w:r>
          </w:p>
        </w:tc>
        <w:tc>
          <w:tcPr>
            <w:tcW w:w="1222"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319" w:right="0"/>
              <w:jc w:val="left"/>
              <w:rPr>
                <w:rFonts w:ascii="Swis721 Lt BT" w:hAnsi="Swis721 Lt BT" w:cs="Swis721 Lt BT" w:eastAsia="Swis721 Lt BT"/>
                <w:sz w:val="19"/>
                <w:szCs w:val="19"/>
              </w:rPr>
            </w:pPr>
            <w:r>
              <w:rPr>
                <w:rFonts w:ascii="Swis721 Lt BT"/>
                <w:color w:val="231F20"/>
                <w:sz w:val="19"/>
              </w:rPr>
              <w:t>3,080,000</w:t>
            </w:r>
            <w:r>
              <w:rPr>
                <w:rFonts w:ascii="Swis721 Lt BT"/>
                <w:sz w:val="19"/>
              </w:rPr>
            </w:r>
          </w:p>
        </w:tc>
      </w:tr>
      <w:tr>
        <w:trPr>
          <w:trHeight w:val="341" w:hRule="exact"/>
        </w:trPr>
        <w:tc>
          <w:tcPr>
            <w:tcW w:w="3565"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1" w:right="0"/>
              <w:jc w:val="left"/>
              <w:rPr>
                <w:rFonts w:ascii="Swis721 Lt BT" w:hAnsi="Swis721 Lt BT" w:cs="Swis721 Lt BT" w:eastAsia="Swis721 Lt BT"/>
                <w:sz w:val="18"/>
                <w:szCs w:val="18"/>
              </w:rPr>
            </w:pPr>
            <w:r>
              <w:rPr>
                <w:rFonts w:ascii="Swis721 Lt BT"/>
                <w:color w:val="231F20"/>
                <w:sz w:val="18"/>
              </w:rPr>
              <w:t>Depreciation and amortisation</w:t>
            </w:r>
            <w:r>
              <w:rPr>
                <w:rFonts w:ascii="Swis721 Lt BT"/>
                <w:sz w:val="18"/>
              </w:rPr>
            </w:r>
          </w:p>
        </w:tc>
        <w:tc>
          <w:tcPr>
            <w:tcW w:w="776"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499" w:right="0"/>
              <w:jc w:val="left"/>
              <w:rPr>
                <w:rFonts w:ascii="Swis721 Lt BT" w:hAnsi="Swis721 Lt BT" w:cs="Swis721 Lt BT" w:eastAsia="Swis721 Lt BT"/>
                <w:sz w:val="18"/>
                <w:szCs w:val="18"/>
              </w:rPr>
            </w:pPr>
            <w:r>
              <w:rPr>
                <w:rFonts w:ascii="Swis721 Lt BT"/>
                <w:color w:val="231F20"/>
                <w:sz w:val="18"/>
              </w:rPr>
              <w:t>4</w:t>
            </w:r>
            <w:r>
              <w:rPr>
                <w:rFonts w:ascii="Swis721 Lt BT"/>
                <w:sz w:val="18"/>
              </w:rPr>
            </w:r>
          </w:p>
        </w:tc>
        <w:tc>
          <w:tcPr>
            <w:tcW w:w="1248"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421" w:right="0"/>
              <w:jc w:val="left"/>
              <w:rPr>
                <w:rFonts w:ascii="Swis721 Lt BT" w:hAnsi="Swis721 Lt BT" w:cs="Swis721 Lt BT" w:eastAsia="Swis721 Lt BT"/>
                <w:sz w:val="19"/>
                <w:szCs w:val="19"/>
              </w:rPr>
            </w:pPr>
            <w:r>
              <w:rPr>
                <w:rFonts w:ascii="Swis721 Lt BT"/>
                <w:color w:val="231F20"/>
                <w:sz w:val="19"/>
              </w:rPr>
              <w:t>220,779</w:t>
            </w:r>
            <w:r>
              <w:rPr>
                <w:rFonts w:ascii="Swis721 Lt BT"/>
                <w:sz w:val="19"/>
              </w:rPr>
            </w:r>
          </w:p>
        </w:tc>
        <w:tc>
          <w:tcPr>
            <w:tcW w:w="1183" w:type="dxa"/>
            <w:tcBorders>
              <w:top w:val="single" w:sz="2" w:space="0" w:color="848B91"/>
              <w:left w:val="nil" w:sz="6" w:space="0" w:color="auto"/>
              <w:bottom w:val="single" w:sz="2" w:space="0" w:color="848B91"/>
              <w:right w:val="nil" w:sz="6" w:space="0" w:color="auto"/>
            </w:tcBorders>
          </w:tcPr>
          <w:p>
            <w:pPr>
              <w:pStyle w:val="TableParagraph"/>
              <w:spacing w:line="240" w:lineRule="auto" w:before="77"/>
              <w:ind w:left="448" w:right="0"/>
              <w:jc w:val="left"/>
              <w:rPr>
                <w:rFonts w:ascii="Swis721 Lt BT" w:hAnsi="Swis721 Lt BT" w:cs="Swis721 Lt BT" w:eastAsia="Swis721 Lt BT"/>
                <w:sz w:val="18"/>
                <w:szCs w:val="18"/>
              </w:rPr>
            </w:pPr>
            <w:r>
              <w:rPr>
                <w:rFonts w:ascii="Swis721 Lt BT"/>
                <w:color w:val="231F20"/>
                <w:sz w:val="18"/>
              </w:rPr>
              <w:t>141,898</w:t>
            </w:r>
            <w:r>
              <w:rPr>
                <w:rFonts w:ascii="Swis721 Lt BT"/>
                <w:sz w:val="18"/>
              </w:rPr>
            </w:r>
          </w:p>
        </w:tc>
        <w:tc>
          <w:tcPr>
            <w:tcW w:w="1222" w:type="dxa"/>
            <w:tcBorders>
              <w:top w:val="single" w:sz="2" w:space="0" w:color="848B91"/>
              <w:left w:val="nil" w:sz="6" w:space="0" w:color="auto"/>
              <w:bottom w:val="single" w:sz="2" w:space="0" w:color="848B91"/>
              <w:right w:val="nil" w:sz="6" w:space="0" w:color="auto"/>
            </w:tcBorders>
          </w:tcPr>
          <w:p>
            <w:pPr>
              <w:pStyle w:val="TableParagraph"/>
              <w:spacing w:line="240" w:lineRule="auto" w:before="67"/>
              <w:ind w:left="471" w:right="0"/>
              <w:jc w:val="left"/>
              <w:rPr>
                <w:rFonts w:ascii="Swis721 Lt BT" w:hAnsi="Swis721 Lt BT" w:cs="Swis721 Lt BT" w:eastAsia="Swis721 Lt BT"/>
                <w:sz w:val="19"/>
                <w:szCs w:val="19"/>
              </w:rPr>
            </w:pPr>
            <w:r>
              <w:rPr>
                <w:rFonts w:ascii="Swis721 Lt BT"/>
                <w:color w:val="231F20"/>
                <w:sz w:val="19"/>
              </w:rPr>
              <w:t>348,000</w:t>
            </w:r>
            <w:r>
              <w:rPr>
                <w:rFonts w:ascii="Swis721 Lt BT"/>
                <w:sz w:val="19"/>
              </w:rPr>
            </w:r>
          </w:p>
        </w:tc>
      </w:tr>
      <w:tr>
        <w:trPr>
          <w:trHeight w:val="353" w:hRule="exact"/>
        </w:trPr>
        <w:tc>
          <w:tcPr>
            <w:tcW w:w="3565" w:type="dxa"/>
            <w:tcBorders>
              <w:top w:val="single" w:sz="2" w:space="0" w:color="848B91"/>
              <w:left w:val="nil" w:sz="6" w:space="0" w:color="auto"/>
              <w:bottom w:val="single" w:sz="8" w:space="0" w:color="848B91"/>
              <w:right w:val="nil" w:sz="6" w:space="0" w:color="auto"/>
            </w:tcBorders>
          </w:tcPr>
          <w:p>
            <w:pPr>
              <w:pStyle w:val="TableParagraph"/>
              <w:spacing w:line="240" w:lineRule="auto" w:before="67"/>
              <w:ind w:left="-1" w:right="0"/>
              <w:jc w:val="left"/>
              <w:rPr>
                <w:rFonts w:ascii="Swis721 Lt BT" w:hAnsi="Swis721 Lt BT" w:cs="Swis721 Lt BT" w:eastAsia="Swis721 Lt BT"/>
                <w:sz w:val="19"/>
                <w:szCs w:val="19"/>
              </w:rPr>
            </w:pPr>
            <w:r>
              <w:rPr>
                <w:rFonts w:ascii="Swis721 Lt BT"/>
                <w:color w:val="231F20"/>
                <w:sz w:val="19"/>
              </w:rPr>
              <w:t>Loss on sale and disposal of assets</w:t>
            </w:r>
            <w:r>
              <w:rPr>
                <w:rFonts w:ascii="Swis721 Lt BT"/>
                <w:sz w:val="19"/>
              </w:rPr>
            </w:r>
          </w:p>
        </w:tc>
        <w:tc>
          <w:tcPr>
            <w:tcW w:w="776" w:type="dxa"/>
            <w:tcBorders>
              <w:top w:val="single" w:sz="2" w:space="0" w:color="848B91"/>
              <w:left w:val="nil" w:sz="6" w:space="0" w:color="auto"/>
              <w:bottom w:val="single" w:sz="8" w:space="0" w:color="848B91"/>
              <w:right w:val="nil" w:sz="6" w:space="0" w:color="auto"/>
            </w:tcBorders>
          </w:tcPr>
          <w:p>
            <w:pPr/>
          </w:p>
        </w:tc>
        <w:tc>
          <w:tcPr>
            <w:tcW w:w="1248" w:type="dxa"/>
            <w:tcBorders>
              <w:top w:val="single" w:sz="2" w:space="0" w:color="848B91"/>
              <w:left w:val="nil" w:sz="6" w:space="0" w:color="auto"/>
              <w:bottom w:val="single" w:sz="8" w:space="0" w:color="848B91"/>
              <w:right w:val="nil" w:sz="6" w:space="0" w:color="auto"/>
            </w:tcBorders>
          </w:tcPr>
          <w:p>
            <w:pPr>
              <w:pStyle w:val="TableParagraph"/>
              <w:spacing w:line="240" w:lineRule="auto" w:before="67"/>
              <w:ind w:left="624" w:right="0"/>
              <w:jc w:val="left"/>
              <w:rPr>
                <w:rFonts w:ascii="Swis721 Lt BT" w:hAnsi="Swis721 Lt BT" w:cs="Swis721 Lt BT" w:eastAsia="Swis721 Lt BT"/>
                <w:sz w:val="19"/>
                <w:szCs w:val="19"/>
              </w:rPr>
            </w:pPr>
            <w:r>
              <w:rPr>
                <w:rFonts w:ascii="Swis721 Lt BT"/>
                <w:color w:val="231F20"/>
                <w:sz w:val="19"/>
              </w:rPr>
              <w:t>4,395</w:t>
            </w:r>
            <w:r>
              <w:rPr>
                <w:rFonts w:ascii="Swis721 Lt BT"/>
                <w:sz w:val="19"/>
              </w:rPr>
            </w:r>
          </w:p>
        </w:tc>
        <w:tc>
          <w:tcPr>
            <w:tcW w:w="1183" w:type="dxa"/>
            <w:tcBorders>
              <w:top w:val="single" w:sz="2" w:space="0" w:color="848B91"/>
              <w:left w:val="nil" w:sz="6" w:space="0" w:color="auto"/>
              <w:bottom w:val="single" w:sz="8" w:space="0" w:color="848B91"/>
              <w:right w:val="nil" w:sz="6" w:space="0" w:color="auto"/>
            </w:tcBorders>
          </w:tcPr>
          <w:p>
            <w:pPr>
              <w:pStyle w:val="TableParagraph"/>
              <w:spacing w:line="240" w:lineRule="auto" w:before="67"/>
              <w:ind w:right="109"/>
              <w:jc w:val="right"/>
              <w:rPr>
                <w:rFonts w:ascii="Swis721 Lt BT" w:hAnsi="Swis721 Lt BT" w:cs="Swis721 Lt BT" w:eastAsia="Swis721 Lt BT"/>
                <w:sz w:val="19"/>
                <w:szCs w:val="19"/>
              </w:rPr>
            </w:pPr>
            <w:r>
              <w:rPr>
                <w:rFonts w:ascii="Swis721 Lt BT"/>
                <w:color w:val="231F20"/>
                <w:w w:val="95"/>
                <w:sz w:val="19"/>
              </w:rPr>
              <w:t>-</w:t>
            </w:r>
            <w:r>
              <w:rPr>
                <w:rFonts w:ascii="Swis721 Lt BT"/>
                <w:sz w:val="19"/>
              </w:rPr>
            </w:r>
          </w:p>
        </w:tc>
        <w:tc>
          <w:tcPr>
            <w:tcW w:w="1222" w:type="dxa"/>
            <w:tcBorders>
              <w:top w:val="single" w:sz="2" w:space="0" w:color="848B91"/>
              <w:left w:val="nil" w:sz="6" w:space="0" w:color="auto"/>
              <w:bottom w:val="single" w:sz="8" w:space="0" w:color="848B91"/>
              <w:right w:val="nil" w:sz="6" w:space="0" w:color="auto"/>
            </w:tcBorders>
          </w:tcPr>
          <w:p>
            <w:pPr>
              <w:pStyle w:val="TableParagraph"/>
              <w:spacing w:line="240" w:lineRule="auto" w:before="67"/>
              <w:ind w:right="91"/>
              <w:jc w:val="right"/>
              <w:rPr>
                <w:rFonts w:ascii="Swis721 Lt BT" w:hAnsi="Swis721 Lt BT" w:cs="Swis721 Lt BT" w:eastAsia="Swis721 Lt BT"/>
                <w:sz w:val="19"/>
                <w:szCs w:val="19"/>
              </w:rPr>
            </w:pPr>
            <w:r>
              <w:rPr>
                <w:rFonts w:ascii="Swis721 Lt BT"/>
                <w:color w:val="231F20"/>
                <w:w w:val="95"/>
                <w:sz w:val="19"/>
              </w:rPr>
              <w:t>-</w:t>
            </w:r>
            <w:r>
              <w:rPr>
                <w:rFonts w:ascii="Swis721 Lt BT"/>
                <w:sz w:val="19"/>
              </w:rPr>
            </w:r>
          </w:p>
        </w:tc>
      </w:tr>
      <w:tr>
        <w:trPr>
          <w:trHeight w:val="349" w:hRule="exact"/>
        </w:trPr>
        <w:tc>
          <w:tcPr>
            <w:tcW w:w="3565"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pacing w:val="-2"/>
                <w:sz w:val="18"/>
              </w:rPr>
              <w:t>TOTAL</w:t>
            </w:r>
            <w:r>
              <w:rPr>
                <w:rFonts w:ascii="Swis721 Md BT"/>
                <w:color w:val="231F20"/>
                <w:sz w:val="18"/>
              </w:rPr>
              <w:t> EXPENSES</w:t>
            </w:r>
            <w:r>
              <w:rPr>
                <w:rFonts w:ascii="Swis721 Md BT"/>
                <w:sz w:val="18"/>
              </w:rPr>
            </w:r>
          </w:p>
        </w:tc>
        <w:tc>
          <w:tcPr>
            <w:tcW w:w="776" w:type="dxa"/>
            <w:tcBorders>
              <w:top w:val="single" w:sz="8" w:space="0" w:color="848B91"/>
              <w:left w:val="nil" w:sz="6" w:space="0" w:color="auto"/>
              <w:bottom w:val="single" w:sz="8" w:space="0" w:color="848B91"/>
              <w:right w:val="nil" w:sz="6" w:space="0" w:color="auto"/>
            </w:tcBorders>
          </w:tcPr>
          <w:p>
            <w:pPr/>
          </w:p>
        </w:tc>
        <w:tc>
          <w:tcPr>
            <w:tcW w:w="1248"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76" w:right="0"/>
              <w:jc w:val="left"/>
              <w:rPr>
                <w:rFonts w:ascii="Swis721 Md BT" w:hAnsi="Swis721 Md BT" w:cs="Swis721 Md BT" w:eastAsia="Swis721 Md BT"/>
                <w:sz w:val="18"/>
                <w:szCs w:val="18"/>
              </w:rPr>
            </w:pPr>
            <w:r>
              <w:rPr>
                <w:rFonts w:ascii="Swis721 Md BT"/>
                <w:color w:val="231F20"/>
                <w:sz w:val="18"/>
              </w:rPr>
              <w:t>16,739,199</w:t>
            </w:r>
            <w:r>
              <w:rPr>
                <w:rFonts w:ascii="Swis721 Md BT"/>
                <w:sz w:val="18"/>
              </w:rPr>
            </w:r>
          </w:p>
        </w:tc>
        <w:tc>
          <w:tcPr>
            <w:tcW w:w="118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68" w:right="0"/>
              <w:jc w:val="left"/>
              <w:rPr>
                <w:rFonts w:ascii="Swis721 Md BT" w:hAnsi="Swis721 Md BT" w:cs="Swis721 Md BT" w:eastAsia="Swis721 Md BT"/>
                <w:sz w:val="18"/>
                <w:szCs w:val="18"/>
              </w:rPr>
            </w:pPr>
            <w:r>
              <w:rPr>
                <w:rFonts w:ascii="Swis721 Md BT"/>
                <w:color w:val="231F20"/>
                <w:sz w:val="18"/>
              </w:rPr>
              <w:t>14,085,769</w:t>
            </w:r>
            <w:r>
              <w:rPr>
                <w:rFonts w:ascii="Swis721 Md BT"/>
                <w:sz w:val="18"/>
              </w:rPr>
            </w:r>
          </w:p>
        </w:tc>
        <w:tc>
          <w:tcPr>
            <w:tcW w:w="122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26" w:right="0"/>
              <w:jc w:val="left"/>
              <w:rPr>
                <w:rFonts w:ascii="Swis721 Md BT" w:hAnsi="Swis721 Md BT" w:cs="Swis721 Md BT" w:eastAsia="Swis721 Md BT"/>
                <w:sz w:val="18"/>
                <w:szCs w:val="18"/>
              </w:rPr>
            </w:pPr>
            <w:r>
              <w:rPr>
                <w:rFonts w:ascii="Swis721 Md BT"/>
                <w:color w:val="231F20"/>
                <w:sz w:val="18"/>
              </w:rPr>
              <w:t>14,685,000</w:t>
            </w:r>
            <w:r>
              <w:rPr>
                <w:rFonts w:ascii="Swis721 Md BT"/>
                <w:sz w:val="18"/>
              </w:rPr>
            </w:r>
          </w:p>
        </w:tc>
      </w:tr>
      <w:tr>
        <w:trPr>
          <w:trHeight w:val="349" w:hRule="exact"/>
        </w:trPr>
        <w:tc>
          <w:tcPr>
            <w:tcW w:w="3565"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z w:val="18"/>
              </w:rPr>
              <w:t>Surplus from ordinary activities</w:t>
            </w:r>
            <w:r>
              <w:rPr>
                <w:rFonts w:ascii="Swis721 Md BT"/>
                <w:sz w:val="18"/>
              </w:rPr>
            </w:r>
          </w:p>
        </w:tc>
        <w:tc>
          <w:tcPr>
            <w:tcW w:w="776" w:type="dxa"/>
            <w:tcBorders>
              <w:top w:val="single" w:sz="8" w:space="0" w:color="848B91"/>
              <w:left w:val="nil" w:sz="6" w:space="0" w:color="auto"/>
              <w:bottom w:val="single" w:sz="8" w:space="0" w:color="848B91"/>
              <w:right w:val="nil" w:sz="6" w:space="0" w:color="auto"/>
            </w:tcBorders>
          </w:tcPr>
          <w:p>
            <w:pPr/>
          </w:p>
        </w:tc>
        <w:tc>
          <w:tcPr>
            <w:tcW w:w="1248"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76" w:right="0"/>
              <w:jc w:val="left"/>
              <w:rPr>
                <w:rFonts w:ascii="Swis721 Md BT" w:hAnsi="Swis721 Md BT" w:cs="Swis721 Md BT" w:eastAsia="Swis721 Md BT"/>
                <w:sz w:val="18"/>
                <w:szCs w:val="18"/>
              </w:rPr>
            </w:pPr>
            <w:r>
              <w:rPr>
                <w:rFonts w:ascii="Swis721 Md BT"/>
                <w:color w:val="231F20"/>
                <w:sz w:val="18"/>
              </w:rPr>
              <w:t>4,000,593</w:t>
            </w:r>
            <w:r>
              <w:rPr>
                <w:rFonts w:ascii="Swis721 Md BT"/>
                <w:sz w:val="18"/>
              </w:rPr>
            </w:r>
          </w:p>
        </w:tc>
        <w:tc>
          <w:tcPr>
            <w:tcW w:w="118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69" w:right="0"/>
              <w:jc w:val="left"/>
              <w:rPr>
                <w:rFonts w:ascii="Swis721 Md BT" w:hAnsi="Swis721 Md BT" w:cs="Swis721 Md BT" w:eastAsia="Swis721 Md BT"/>
                <w:sz w:val="18"/>
                <w:szCs w:val="18"/>
              </w:rPr>
            </w:pPr>
            <w:r>
              <w:rPr>
                <w:rFonts w:ascii="Swis721 Md BT"/>
                <w:color w:val="231F20"/>
                <w:sz w:val="18"/>
              </w:rPr>
              <w:t>1,604,649</w:t>
            </w:r>
            <w:r>
              <w:rPr>
                <w:rFonts w:ascii="Swis721 Md BT"/>
                <w:sz w:val="18"/>
              </w:rPr>
            </w:r>
          </w:p>
        </w:tc>
        <w:tc>
          <w:tcPr>
            <w:tcW w:w="122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right="91"/>
              <w:jc w:val="right"/>
              <w:rPr>
                <w:rFonts w:ascii="Swis721 Md BT" w:hAnsi="Swis721 Md BT" w:cs="Swis721 Md BT" w:eastAsia="Swis721 Md BT"/>
                <w:sz w:val="18"/>
                <w:szCs w:val="18"/>
              </w:rPr>
            </w:pPr>
            <w:r>
              <w:rPr>
                <w:rFonts w:ascii="Swis721 Md BT"/>
                <w:color w:val="231F20"/>
                <w:sz w:val="18"/>
              </w:rPr>
              <w:t>-</w:t>
            </w:r>
            <w:r>
              <w:rPr>
                <w:rFonts w:ascii="Swis721 Md BT"/>
                <w:sz w:val="18"/>
              </w:rPr>
            </w:r>
          </w:p>
        </w:tc>
      </w:tr>
      <w:tr>
        <w:trPr>
          <w:trHeight w:val="349" w:hRule="exact"/>
        </w:trPr>
        <w:tc>
          <w:tcPr>
            <w:tcW w:w="3565"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comprehensive income for the year</w:t>
            </w:r>
            <w:r>
              <w:rPr>
                <w:rFonts w:ascii="Swis721 Md BT"/>
                <w:sz w:val="18"/>
              </w:rPr>
            </w:r>
          </w:p>
        </w:tc>
        <w:tc>
          <w:tcPr>
            <w:tcW w:w="776" w:type="dxa"/>
            <w:tcBorders>
              <w:top w:val="single" w:sz="8" w:space="0" w:color="848B91"/>
              <w:left w:val="nil" w:sz="6" w:space="0" w:color="auto"/>
              <w:bottom w:val="single" w:sz="8" w:space="0" w:color="848B91"/>
              <w:right w:val="nil" w:sz="6" w:space="0" w:color="auto"/>
            </w:tcBorders>
          </w:tcPr>
          <w:p>
            <w:pPr/>
          </w:p>
        </w:tc>
        <w:tc>
          <w:tcPr>
            <w:tcW w:w="1248"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76" w:right="0"/>
              <w:jc w:val="left"/>
              <w:rPr>
                <w:rFonts w:ascii="Swis721 Md BT" w:hAnsi="Swis721 Md BT" w:cs="Swis721 Md BT" w:eastAsia="Swis721 Md BT"/>
                <w:sz w:val="18"/>
                <w:szCs w:val="18"/>
              </w:rPr>
            </w:pPr>
            <w:r>
              <w:rPr>
                <w:rFonts w:ascii="Swis721 Md BT"/>
                <w:color w:val="231F20"/>
                <w:sz w:val="18"/>
              </w:rPr>
              <w:t>4,000,593</w:t>
            </w:r>
            <w:r>
              <w:rPr>
                <w:rFonts w:ascii="Swis721 Md BT"/>
                <w:sz w:val="18"/>
              </w:rPr>
            </w:r>
          </w:p>
        </w:tc>
        <w:tc>
          <w:tcPr>
            <w:tcW w:w="118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69" w:right="0"/>
              <w:jc w:val="left"/>
              <w:rPr>
                <w:rFonts w:ascii="Swis721 Md BT" w:hAnsi="Swis721 Md BT" w:cs="Swis721 Md BT" w:eastAsia="Swis721 Md BT"/>
                <w:sz w:val="18"/>
                <w:szCs w:val="18"/>
              </w:rPr>
            </w:pPr>
            <w:r>
              <w:rPr>
                <w:rFonts w:ascii="Swis721 Md BT"/>
                <w:color w:val="231F20"/>
                <w:sz w:val="18"/>
              </w:rPr>
              <w:t>1,604,649</w:t>
            </w:r>
            <w:r>
              <w:rPr>
                <w:rFonts w:ascii="Swis721 Md BT"/>
                <w:sz w:val="18"/>
              </w:rPr>
            </w:r>
          </w:p>
        </w:tc>
        <w:tc>
          <w:tcPr>
            <w:tcW w:w="122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right="91"/>
              <w:jc w:val="right"/>
              <w:rPr>
                <w:rFonts w:ascii="Swis721 Md BT" w:hAnsi="Swis721 Md BT" w:cs="Swis721 Md BT" w:eastAsia="Swis721 Md BT"/>
                <w:sz w:val="18"/>
                <w:szCs w:val="18"/>
              </w:rPr>
            </w:pPr>
            <w:r>
              <w:rPr>
                <w:rFonts w:ascii="Swis721 Md BT"/>
                <w:color w:val="231F20"/>
                <w:sz w:val="18"/>
              </w:rPr>
              <w:t>-</w:t>
            </w:r>
            <w:r>
              <w:rPr>
                <w:rFonts w:ascii="Swis721 Md BT"/>
                <w:sz w:val="18"/>
              </w:rPr>
            </w:r>
          </w:p>
        </w:tc>
      </w:tr>
    </w:tbl>
    <w:p>
      <w:pPr>
        <w:spacing w:line="311" w:lineRule="auto" w:before="29"/>
        <w:ind w:left="110" w:right="868" w:firstLine="0"/>
        <w:jc w:val="left"/>
        <w:rPr>
          <w:rFonts w:ascii="Swis721 Lt BT" w:hAnsi="Swis721 Lt BT" w:cs="Swis721 Lt BT" w:eastAsia="Swis721 Lt BT"/>
          <w:sz w:val="16"/>
          <w:szCs w:val="16"/>
        </w:rPr>
      </w:pPr>
      <w:r>
        <w:rPr>
          <w:rFonts w:ascii="Swis721 Lt BT" w:hAnsi="Swis721 Lt BT" w:cs="Swis721 Lt BT" w:eastAsia="Swis721 Lt BT"/>
          <w:i/>
          <w:color w:val="231F20"/>
          <w:sz w:val="16"/>
          <w:szCs w:val="16"/>
        </w:rPr>
        <w:t>The original budget was reported in the 2018–2019 Portfolio Budget Statements published in May 2018.</w:t>
      </w:r>
      <w:r>
        <w:rPr>
          <w:rFonts w:ascii="Swis721 Lt BT" w:hAnsi="Swis721 Lt BT" w:cs="Swis721 Lt BT" w:eastAsia="Swis721 Lt BT"/>
          <w:i/>
          <w:color w:val="231F20"/>
          <w:spacing w:val="21"/>
          <w:sz w:val="16"/>
          <w:szCs w:val="16"/>
        </w:rPr>
        <w:t> </w:t>
      </w:r>
      <w:r>
        <w:rPr>
          <w:rFonts w:ascii="Swis721 Lt BT" w:hAnsi="Swis721 Lt BT" w:cs="Swis721 Lt BT" w:eastAsia="Swis721 Lt BT"/>
          <w:i/>
          <w:color w:val="231F20"/>
          <w:sz w:val="16"/>
          <w:szCs w:val="16"/>
        </w:rPr>
        <w:t>This statement should be read in conjunction with the accompanying notes.</w:t>
      </w:r>
      <w:r>
        <w:rPr>
          <w:rFonts w:ascii="Swis721 Lt BT" w:hAnsi="Swis721 Lt BT" w:cs="Swis721 Lt BT" w:eastAsia="Swis721 Lt BT"/>
          <w:sz w:val="16"/>
          <w:szCs w:val="16"/>
        </w:rPr>
      </w:r>
    </w:p>
    <w:p>
      <w:pPr>
        <w:spacing w:before="0"/>
        <w:ind w:left="110" w:right="0" w:firstLine="0"/>
        <w:jc w:val="left"/>
        <w:rPr>
          <w:rFonts w:ascii="Swis721 BT" w:hAnsi="Swis721 BT" w:cs="Swis721 BT" w:eastAsia="Swis721 BT"/>
          <w:sz w:val="16"/>
          <w:szCs w:val="16"/>
        </w:rPr>
      </w:pPr>
      <w:r>
        <w:rPr>
          <w:rFonts w:ascii="Swis721 BT"/>
          <w:b/>
          <w:i/>
          <w:color w:val="231F20"/>
          <w:sz w:val="16"/>
        </w:rPr>
        <w:t>Budget </w:t>
      </w:r>
      <w:r>
        <w:rPr>
          <w:rFonts w:ascii="Swis721 BT"/>
          <w:b/>
          <w:i/>
          <w:color w:val="231F20"/>
          <w:spacing w:val="-1"/>
          <w:sz w:val="16"/>
        </w:rPr>
        <w:t>Variance</w:t>
      </w:r>
      <w:r>
        <w:rPr>
          <w:rFonts w:ascii="Swis721 BT"/>
          <w:b/>
          <w:i/>
          <w:color w:val="231F20"/>
          <w:sz w:val="16"/>
        </w:rPr>
        <w:t> Commentary</w:t>
      </w:r>
      <w:r>
        <w:rPr>
          <w:rFonts w:ascii="Swis721 BT"/>
          <w:sz w:val="16"/>
        </w:rPr>
      </w:r>
    </w:p>
    <w:p>
      <w:pPr>
        <w:spacing w:before="0"/>
        <w:ind w:left="110" w:right="0" w:firstLine="0"/>
        <w:jc w:val="left"/>
        <w:rPr>
          <w:rFonts w:ascii="Swis721 Lt BT" w:hAnsi="Swis721 Lt BT" w:cs="Swis721 Lt BT" w:eastAsia="Swis721 Lt BT"/>
          <w:sz w:val="16"/>
          <w:szCs w:val="16"/>
        </w:rPr>
      </w:pPr>
      <w:r>
        <w:rPr>
          <w:rFonts w:ascii="Swis721 Lt BT"/>
          <w:i/>
          <w:color w:val="231F20"/>
          <w:sz w:val="16"/>
        </w:rPr>
        <w:t>Budget variance explanations are outlined in Note 12.</w:t>
      </w:r>
      <w:r>
        <w:rPr>
          <w:rFonts w:ascii="Swis721 Lt BT"/>
          <w:sz w:val="16"/>
        </w:rPr>
      </w:r>
    </w:p>
    <w:p>
      <w:pPr>
        <w:spacing w:after="0"/>
        <w:jc w:val="left"/>
        <w:rPr>
          <w:rFonts w:ascii="Swis721 Lt BT" w:hAnsi="Swis721 Lt BT" w:cs="Swis721 Lt BT" w:eastAsia="Swis721 Lt BT"/>
          <w:sz w:val="16"/>
          <w:szCs w:val="16"/>
        </w:rPr>
        <w:sectPr>
          <w:pgSz w:w="9980" w:h="14180"/>
          <w:pgMar w:header="0" w:footer="452" w:top="1040" w:bottom="640" w:left="740" w:right="1020"/>
        </w:sectPr>
      </w:pPr>
    </w:p>
    <w:p>
      <w:pPr>
        <w:spacing w:before="58"/>
        <w:ind w:left="0" w:right="108" w:firstLine="0"/>
        <w:jc w:val="right"/>
        <w:rPr>
          <w:rFonts w:ascii="Swis721 Lt BT" w:hAnsi="Swis721 Lt BT" w:cs="Swis721 Lt BT" w:eastAsia="Swis721 Lt BT"/>
          <w:sz w:val="14"/>
          <w:szCs w:val="14"/>
        </w:rPr>
      </w:pPr>
      <w:bookmarkStart w:name="STATEMENT OF FINANCIAL POSITION" w:id="23"/>
      <w:bookmarkEnd w:id="23"/>
      <w:r>
        <w:rPr/>
      </w:r>
      <w:bookmarkStart w:name="STATEMENT OF CHANGES IN EQUITY" w:id="24"/>
      <w:bookmarkEnd w:id="24"/>
      <w:r>
        <w:rPr/>
      </w: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16"/>
          <w:szCs w:val="16"/>
        </w:rPr>
      </w:pPr>
    </w:p>
    <w:p>
      <w:pPr>
        <w:pStyle w:val="Heading5"/>
        <w:spacing w:line="283" w:lineRule="exact" w:before="61"/>
        <w:ind w:left="113" w:right="0"/>
        <w:jc w:val="left"/>
        <w:rPr>
          <w:b w:val="0"/>
          <w:bCs w:val="0"/>
        </w:rPr>
      </w:pPr>
      <w:r>
        <w:rPr>
          <w:color w:val="005E63"/>
          <w:spacing w:val="-2"/>
        </w:rPr>
        <w:t>STATEMENT</w:t>
      </w:r>
      <w:r>
        <w:rPr>
          <w:color w:val="005E63"/>
        </w:rPr>
        <w:t> OF FINANCIAL POSITION</w:t>
      </w:r>
      <w:r>
        <w:rPr>
          <w:b w:val="0"/>
        </w:rPr>
      </w:r>
    </w:p>
    <w:p>
      <w:pPr>
        <w:pStyle w:val="Heading8"/>
        <w:spacing w:line="260" w:lineRule="exact" w:before="0"/>
        <w:ind w:left="113" w:right="0"/>
        <w:jc w:val="left"/>
      </w:pPr>
      <w:r>
        <w:rPr>
          <w:color w:val="00757A"/>
        </w:rPr>
        <w:t>As at 30 June 2019</w:t>
      </w:r>
      <w:r>
        <w:rPr/>
      </w:r>
    </w:p>
    <w:p>
      <w:pPr>
        <w:spacing w:line="240" w:lineRule="auto" w:before="3"/>
        <w:rPr>
          <w:rFonts w:ascii="Swis721 Md BT" w:hAnsi="Swis721 Md BT" w:cs="Swis721 Md BT" w:eastAsia="Swis721 Md BT"/>
          <w:sz w:val="21"/>
          <w:szCs w:val="21"/>
        </w:rPr>
      </w:pPr>
    </w:p>
    <w:tbl>
      <w:tblPr>
        <w:tblW w:w="0" w:type="auto"/>
        <w:jc w:val="left"/>
        <w:tblInd w:w="113" w:type="dxa"/>
        <w:tblLayout w:type="fixed"/>
        <w:tblCellMar>
          <w:top w:w="0" w:type="dxa"/>
          <w:left w:w="0" w:type="dxa"/>
          <w:bottom w:w="0" w:type="dxa"/>
          <w:right w:w="0" w:type="dxa"/>
        </w:tblCellMar>
        <w:tblLook w:val="01E0"/>
      </w:tblPr>
      <w:tblGrid>
        <w:gridCol w:w="3547"/>
        <w:gridCol w:w="802"/>
        <w:gridCol w:w="1277"/>
        <w:gridCol w:w="1146"/>
        <w:gridCol w:w="1222"/>
      </w:tblGrid>
      <w:tr>
        <w:trPr>
          <w:trHeight w:val="514" w:hRule="exact"/>
        </w:trPr>
        <w:tc>
          <w:tcPr>
            <w:tcW w:w="3547" w:type="dxa"/>
            <w:tcBorders>
              <w:top w:val="nil" w:sz="6" w:space="0" w:color="auto"/>
              <w:left w:val="nil" w:sz="6" w:space="0" w:color="auto"/>
              <w:bottom w:val="nil" w:sz="6" w:space="0" w:color="auto"/>
              <w:right w:val="nil" w:sz="6" w:space="0" w:color="auto"/>
            </w:tcBorders>
            <w:shd w:val="clear" w:color="auto" w:fill="BFD22B"/>
          </w:tcPr>
          <w:p>
            <w:pPr/>
          </w:p>
        </w:tc>
        <w:tc>
          <w:tcPr>
            <w:tcW w:w="802"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230" w:right="0"/>
              <w:jc w:val="left"/>
              <w:rPr>
                <w:rFonts w:ascii="Swis721 Cn BT" w:hAnsi="Swis721 Cn BT" w:cs="Swis721 Cn BT" w:eastAsia="Swis721 Cn BT"/>
                <w:sz w:val="18"/>
                <w:szCs w:val="18"/>
              </w:rPr>
            </w:pPr>
            <w:r>
              <w:rPr>
                <w:rFonts w:ascii="Swis721 Cn BT"/>
                <w:color w:val="303B41"/>
                <w:sz w:val="18"/>
              </w:rPr>
              <w:t>Notes</w:t>
            </w:r>
            <w:r>
              <w:rPr>
                <w:rFonts w:ascii="Swis721 Cn BT"/>
                <w:sz w:val="18"/>
              </w:rPr>
            </w:r>
          </w:p>
        </w:tc>
        <w:tc>
          <w:tcPr>
            <w:tcW w:w="1277"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204"/>
              <w:jc w:val="right"/>
              <w:rPr>
                <w:rFonts w:ascii="Swis721 Cn BT" w:hAnsi="Swis721 Cn BT" w:cs="Swis721 Cn BT" w:eastAsia="Swis721 Cn BT"/>
                <w:sz w:val="18"/>
                <w:szCs w:val="18"/>
              </w:rPr>
            </w:pPr>
            <w:r>
              <w:rPr>
                <w:rFonts w:ascii="Swis721 Cn BT"/>
                <w:color w:val="303B41"/>
                <w:w w:val="95"/>
                <w:sz w:val="18"/>
              </w:rPr>
              <w:t>2019</w:t>
            </w:r>
            <w:r>
              <w:rPr>
                <w:rFonts w:ascii="Swis721 Cn BT"/>
                <w:sz w:val="18"/>
              </w:rPr>
            </w:r>
          </w:p>
          <w:p>
            <w:pPr>
              <w:pStyle w:val="TableParagraph"/>
              <w:spacing w:line="240" w:lineRule="auto"/>
              <w:ind w:right="204"/>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14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103"/>
              <w:jc w:val="right"/>
              <w:rPr>
                <w:rFonts w:ascii="Swis721 Cn BT" w:hAnsi="Swis721 Cn BT" w:cs="Swis721 Cn BT" w:eastAsia="Swis721 Cn BT"/>
                <w:sz w:val="18"/>
                <w:szCs w:val="18"/>
              </w:rPr>
            </w:pPr>
            <w:r>
              <w:rPr>
                <w:rFonts w:ascii="Swis721 Cn BT"/>
                <w:color w:val="303B41"/>
                <w:w w:val="95"/>
                <w:sz w:val="18"/>
              </w:rPr>
              <w:t>2018</w:t>
            </w:r>
            <w:r>
              <w:rPr>
                <w:rFonts w:ascii="Swis721 Cn BT"/>
                <w:sz w:val="18"/>
              </w:rPr>
            </w:r>
          </w:p>
          <w:p>
            <w:pPr>
              <w:pStyle w:val="TableParagraph"/>
              <w:spacing w:line="240" w:lineRule="auto"/>
              <w:ind w:right="103"/>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222"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8"/>
              <w:jc w:val="right"/>
              <w:rPr>
                <w:rFonts w:ascii="Swis721 Cn BT" w:hAnsi="Swis721 Cn BT" w:cs="Swis721 Cn BT" w:eastAsia="Swis721 Cn BT"/>
                <w:sz w:val="18"/>
                <w:szCs w:val="18"/>
              </w:rPr>
            </w:pPr>
            <w:r>
              <w:rPr>
                <w:rFonts w:ascii="Swis721 Cn BT"/>
                <w:color w:val="303B41"/>
                <w:sz w:val="18"/>
              </w:rPr>
              <w:t>Original Budget</w:t>
            </w:r>
            <w:r>
              <w:rPr>
                <w:rFonts w:ascii="Swis721 Cn BT"/>
                <w:sz w:val="18"/>
              </w:rPr>
            </w:r>
          </w:p>
          <w:p>
            <w:pPr>
              <w:pStyle w:val="TableParagraph"/>
              <w:spacing w:line="240" w:lineRule="auto"/>
              <w:ind w:right="78"/>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r>
      <w:tr>
        <w:trPr>
          <w:trHeight w:val="552" w:hRule="exact"/>
        </w:trPr>
        <w:tc>
          <w:tcPr>
            <w:tcW w:w="3547" w:type="dxa"/>
            <w:tcBorders>
              <w:top w:val="nil" w:sz="6" w:space="0" w:color="auto"/>
              <w:left w:val="nil" w:sz="6" w:space="0" w:color="auto"/>
              <w:bottom w:val="nil" w:sz="6" w:space="0" w:color="auto"/>
              <w:right w:val="nil" w:sz="6" w:space="0" w:color="auto"/>
            </w:tcBorders>
          </w:tcPr>
          <w:p>
            <w:pPr>
              <w:pStyle w:val="TableParagraph"/>
              <w:spacing w:line="240" w:lineRule="auto" w:before="2"/>
              <w:ind w:right="0"/>
              <w:jc w:val="left"/>
              <w:rPr>
                <w:rFonts w:ascii="Swis721 Md BT" w:hAnsi="Swis721 Md BT" w:cs="Swis721 Md BT" w:eastAsia="Swis721 Md BT"/>
                <w:sz w:val="16"/>
                <w:szCs w:val="16"/>
              </w:rPr>
            </w:pPr>
          </w:p>
          <w:p>
            <w:pPr>
              <w:pStyle w:val="TableParagraph"/>
              <w:spacing w:line="240" w:lineRule="auto"/>
              <w:ind w:left="-1" w:right="0"/>
              <w:jc w:val="left"/>
              <w:rPr>
                <w:rFonts w:ascii="Swis721 BT" w:hAnsi="Swis721 BT" w:cs="Swis721 BT" w:eastAsia="Swis721 BT"/>
                <w:sz w:val="20"/>
                <w:szCs w:val="20"/>
              </w:rPr>
            </w:pPr>
            <w:r>
              <w:rPr>
                <w:rFonts w:ascii="Swis721 BT"/>
                <w:b/>
                <w:color w:val="00757A"/>
                <w:sz w:val="20"/>
              </w:rPr>
              <w:t>ASSETS</w:t>
            </w:r>
            <w:r>
              <w:rPr>
                <w:rFonts w:ascii="Swis721 BT"/>
                <w:sz w:val="20"/>
              </w:rPr>
            </w:r>
          </w:p>
        </w:tc>
        <w:tc>
          <w:tcPr>
            <w:tcW w:w="802" w:type="dxa"/>
            <w:tcBorders>
              <w:top w:val="nil" w:sz="6" w:space="0" w:color="auto"/>
              <w:left w:val="nil" w:sz="6" w:space="0" w:color="auto"/>
              <w:bottom w:val="nil" w:sz="6" w:space="0" w:color="auto"/>
              <w:right w:val="nil" w:sz="6" w:space="0" w:color="auto"/>
            </w:tcBorders>
          </w:tcPr>
          <w:p>
            <w:pPr/>
          </w:p>
        </w:tc>
        <w:tc>
          <w:tcPr>
            <w:tcW w:w="1277" w:type="dxa"/>
            <w:tcBorders>
              <w:top w:val="nil" w:sz="6" w:space="0" w:color="auto"/>
              <w:left w:val="nil" w:sz="6" w:space="0" w:color="auto"/>
              <w:bottom w:val="nil" w:sz="6" w:space="0" w:color="auto"/>
              <w:right w:val="nil" w:sz="6" w:space="0" w:color="auto"/>
            </w:tcBorders>
          </w:tcPr>
          <w:p>
            <w:pPr/>
          </w:p>
        </w:tc>
        <w:tc>
          <w:tcPr>
            <w:tcW w:w="1146" w:type="dxa"/>
            <w:tcBorders>
              <w:top w:val="nil" w:sz="6" w:space="0" w:color="auto"/>
              <w:left w:val="nil" w:sz="6" w:space="0" w:color="auto"/>
              <w:bottom w:val="nil" w:sz="6" w:space="0" w:color="auto"/>
              <w:right w:val="nil" w:sz="6" w:space="0" w:color="auto"/>
            </w:tcBorders>
          </w:tcPr>
          <w:p>
            <w:pPr/>
          </w:p>
        </w:tc>
        <w:tc>
          <w:tcPr>
            <w:tcW w:w="1222" w:type="dxa"/>
            <w:tcBorders>
              <w:top w:val="nil" w:sz="6" w:space="0" w:color="auto"/>
              <w:left w:val="nil" w:sz="6" w:space="0" w:color="auto"/>
              <w:bottom w:val="nil" w:sz="6" w:space="0" w:color="auto"/>
              <w:right w:val="nil" w:sz="6" w:space="0" w:color="auto"/>
            </w:tcBorders>
          </w:tcPr>
          <w:p>
            <w:pPr/>
          </w:p>
        </w:tc>
      </w:tr>
      <w:tr>
        <w:trPr>
          <w:trHeight w:val="698" w:hRule="exact"/>
        </w:trPr>
        <w:tc>
          <w:tcPr>
            <w:tcW w:w="3547" w:type="dxa"/>
            <w:tcBorders>
              <w:top w:val="nil" w:sz="6" w:space="0" w:color="auto"/>
              <w:left w:val="nil" w:sz="6" w:space="0" w:color="auto"/>
              <w:bottom w:val="single" w:sz="2" w:space="0" w:color="848B91"/>
              <w:right w:val="nil" w:sz="6" w:space="0" w:color="auto"/>
            </w:tcBorders>
          </w:tcPr>
          <w:p>
            <w:pPr>
              <w:pStyle w:val="TableParagraph"/>
              <w:spacing w:line="240" w:lineRule="auto" w:before="95"/>
              <w:ind w:left="-1" w:right="0"/>
              <w:jc w:val="left"/>
              <w:rPr>
                <w:rFonts w:ascii="Swis721 Md BT" w:hAnsi="Swis721 Md BT" w:cs="Swis721 Md BT" w:eastAsia="Swis721 Md BT"/>
                <w:sz w:val="19"/>
                <w:szCs w:val="19"/>
              </w:rPr>
            </w:pPr>
            <w:r>
              <w:rPr>
                <w:rFonts w:ascii="Swis721 Md BT"/>
                <w:color w:val="303B41"/>
                <w:sz w:val="19"/>
              </w:rPr>
              <w:t>Current</w:t>
            </w:r>
            <w:r>
              <w:rPr>
                <w:rFonts w:ascii="Swis721 Md BT"/>
                <w:sz w:val="19"/>
              </w:rPr>
            </w:r>
          </w:p>
          <w:p>
            <w:pPr>
              <w:pStyle w:val="TableParagraph"/>
              <w:spacing w:line="240" w:lineRule="auto" w:before="111"/>
              <w:ind w:left="-1" w:right="0"/>
              <w:jc w:val="left"/>
              <w:rPr>
                <w:rFonts w:ascii="Swis721 Lt BT" w:hAnsi="Swis721 Lt BT" w:cs="Swis721 Lt BT" w:eastAsia="Swis721 Lt BT"/>
                <w:sz w:val="18"/>
                <w:szCs w:val="18"/>
              </w:rPr>
            </w:pPr>
            <w:r>
              <w:rPr>
                <w:rFonts w:ascii="Swis721 Lt BT"/>
                <w:color w:val="231F20"/>
                <w:sz w:val="18"/>
              </w:rPr>
              <w:t>Cash and cash equivalents</w:t>
            </w:r>
            <w:r>
              <w:rPr>
                <w:rFonts w:ascii="Swis721 Lt BT"/>
                <w:sz w:val="18"/>
              </w:rPr>
            </w:r>
          </w:p>
        </w:tc>
        <w:tc>
          <w:tcPr>
            <w:tcW w:w="802" w:type="dxa"/>
            <w:tcBorders>
              <w:top w:val="nil" w:sz="6" w:space="0" w:color="auto"/>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3"/>
              <w:ind w:right="0"/>
              <w:jc w:val="left"/>
              <w:rPr>
                <w:rFonts w:ascii="Swis721 Md BT" w:hAnsi="Swis721 Md BT" w:cs="Swis721 Md BT" w:eastAsia="Swis721 Md BT"/>
                <w:sz w:val="18"/>
                <w:szCs w:val="18"/>
              </w:rPr>
            </w:pPr>
          </w:p>
          <w:p>
            <w:pPr>
              <w:pStyle w:val="TableParagraph"/>
              <w:spacing w:line="240" w:lineRule="auto"/>
              <w:ind w:left="517" w:right="0"/>
              <w:jc w:val="left"/>
              <w:rPr>
                <w:rFonts w:ascii="Swis721 Lt BT" w:hAnsi="Swis721 Lt BT" w:cs="Swis721 Lt BT" w:eastAsia="Swis721 Lt BT"/>
                <w:sz w:val="18"/>
                <w:szCs w:val="18"/>
              </w:rPr>
            </w:pPr>
            <w:r>
              <w:rPr>
                <w:rFonts w:ascii="Swis721 Lt BT"/>
                <w:color w:val="231F20"/>
                <w:sz w:val="18"/>
              </w:rPr>
              <w:t>7</w:t>
            </w:r>
            <w:r>
              <w:rPr>
                <w:rFonts w:ascii="Swis721 Lt BT"/>
                <w:sz w:val="18"/>
              </w:rPr>
            </w:r>
          </w:p>
        </w:tc>
        <w:tc>
          <w:tcPr>
            <w:tcW w:w="1277" w:type="dxa"/>
            <w:tcBorders>
              <w:top w:val="nil" w:sz="6" w:space="0" w:color="auto"/>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3"/>
              <w:ind w:right="0"/>
              <w:jc w:val="left"/>
              <w:rPr>
                <w:rFonts w:ascii="Swis721 Md BT" w:hAnsi="Swis721 Md BT" w:cs="Swis721 Md BT" w:eastAsia="Swis721 Md BT"/>
                <w:sz w:val="18"/>
                <w:szCs w:val="18"/>
              </w:rPr>
            </w:pPr>
          </w:p>
          <w:p>
            <w:pPr>
              <w:pStyle w:val="TableParagraph"/>
              <w:spacing w:line="240" w:lineRule="auto"/>
              <w:ind w:left="305" w:right="0"/>
              <w:jc w:val="left"/>
              <w:rPr>
                <w:rFonts w:ascii="Swis721 Lt BT" w:hAnsi="Swis721 Lt BT" w:cs="Swis721 Lt BT" w:eastAsia="Swis721 Lt BT"/>
                <w:sz w:val="18"/>
                <w:szCs w:val="18"/>
              </w:rPr>
            </w:pPr>
            <w:r>
              <w:rPr>
                <w:rFonts w:ascii="Swis721 Lt BT"/>
                <w:color w:val="231F20"/>
                <w:sz w:val="18"/>
              </w:rPr>
              <w:t>6,377,094</w:t>
            </w:r>
            <w:r>
              <w:rPr>
                <w:rFonts w:ascii="Swis721 Lt BT"/>
                <w:sz w:val="18"/>
              </w:rPr>
            </w:r>
          </w:p>
        </w:tc>
        <w:tc>
          <w:tcPr>
            <w:tcW w:w="1146" w:type="dxa"/>
            <w:tcBorders>
              <w:top w:val="nil" w:sz="6" w:space="0" w:color="auto"/>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3"/>
              <w:ind w:right="0"/>
              <w:jc w:val="left"/>
              <w:rPr>
                <w:rFonts w:ascii="Swis721 Md BT" w:hAnsi="Swis721 Md BT" w:cs="Swis721 Md BT" w:eastAsia="Swis721 Md BT"/>
                <w:sz w:val="18"/>
                <w:szCs w:val="18"/>
              </w:rPr>
            </w:pPr>
          </w:p>
          <w:p>
            <w:pPr>
              <w:pStyle w:val="TableParagraph"/>
              <w:spacing w:line="240" w:lineRule="auto"/>
              <w:ind w:left="268" w:right="0"/>
              <w:jc w:val="left"/>
              <w:rPr>
                <w:rFonts w:ascii="Swis721 Lt BT" w:hAnsi="Swis721 Lt BT" w:cs="Swis721 Lt BT" w:eastAsia="Swis721 Lt BT"/>
                <w:sz w:val="18"/>
                <w:szCs w:val="18"/>
              </w:rPr>
            </w:pPr>
            <w:r>
              <w:rPr>
                <w:rFonts w:ascii="Swis721 Lt BT"/>
                <w:color w:val="231F20"/>
                <w:sz w:val="18"/>
              </w:rPr>
              <w:t>5,978,503</w:t>
            </w:r>
            <w:r>
              <w:rPr>
                <w:rFonts w:ascii="Swis721 Lt BT"/>
                <w:sz w:val="18"/>
              </w:rPr>
            </w:r>
          </w:p>
        </w:tc>
        <w:tc>
          <w:tcPr>
            <w:tcW w:w="1222" w:type="dxa"/>
            <w:tcBorders>
              <w:top w:val="nil" w:sz="6" w:space="0" w:color="auto"/>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3"/>
              <w:ind w:right="0"/>
              <w:jc w:val="left"/>
              <w:rPr>
                <w:rFonts w:ascii="Swis721 Md BT" w:hAnsi="Swis721 Md BT" w:cs="Swis721 Md BT" w:eastAsia="Swis721 Md BT"/>
                <w:sz w:val="18"/>
                <w:szCs w:val="18"/>
              </w:rPr>
            </w:pPr>
          </w:p>
          <w:p>
            <w:pPr>
              <w:pStyle w:val="TableParagraph"/>
              <w:spacing w:line="240" w:lineRule="auto"/>
              <w:ind w:left="362" w:right="0"/>
              <w:jc w:val="left"/>
              <w:rPr>
                <w:rFonts w:ascii="Swis721 Lt BT" w:hAnsi="Swis721 Lt BT" w:cs="Swis721 Lt BT" w:eastAsia="Swis721 Lt BT"/>
                <w:sz w:val="18"/>
                <w:szCs w:val="18"/>
              </w:rPr>
            </w:pPr>
            <w:r>
              <w:rPr>
                <w:rFonts w:ascii="Swis721 Lt BT"/>
                <w:color w:val="231F20"/>
                <w:sz w:val="18"/>
              </w:rPr>
              <w:t>4,466,000</w:t>
            </w:r>
            <w:r>
              <w:rPr>
                <w:rFonts w:ascii="Swis721 Lt BT"/>
                <w:sz w:val="18"/>
              </w:rPr>
            </w:r>
          </w:p>
        </w:tc>
      </w:tr>
      <w:tr>
        <w:trPr>
          <w:trHeight w:val="329" w:hRule="exact"/>
        </w:trPr>
        <w:tc>
          <w:tcPr>
            <w:tcW w:w="3547"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Financial assets at amortised cost</w:t>
            </w:r>
            <w:r>
              <w:rPr>
                <w:rFonts w:ascii="Swis721 Lt BT"/>
                <w:sz w:val="18"/>
              </w:rPr>
            </w:r>
          </w:p>
        </w:tc>
        <w:tc>
          <w:tcPr>
            <w:tcW w:w="802" w:type="dxa"/>
            <w:tcBorders>
              <w:top w:val="single" w:sz="2" w:space="0" w:color="848B91"/>
              <w:left w:val="nil" w:sz="6" w:space="0" w:color="auto"/>
              <w:bottom w:val="single" w:sz="2" w:space="0" w:color="848B91"/>
              <w:right w:val="nil" w:sz="6" w:space="0" w:color="auto"/>
            </w:tcBorders>
          </w:tcPr>
          <w:p>
            <w:pPr/>
          </w:p>
        </w:tc>
        <w:tc>
          <w:tcPr>
            <w:tcW w:w="1277"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05" w:right="0"/>
              <w:jc w:val="left"/>
              <w:rPr>
                <w:rFonts w:ascii="Swis721 Lt BT" w:hAnsi="Swis721 Lt BT" w:cs="Swis721 Lt BT" w:eastAsia="Swis721 Lt BT"/>
                <w:sz w:val="18"/>
                <w:szCs w:val="18"/>
              </w:rPr>
            </w:pPr>
            <w:r>
              <w:rPr>
                <w:rFonts w:ascii="Swis721 Lt BT"/>
                <w:color w:val="231F20"/>
                <w:sz w:val="18"/>
              </w:rPr>
              <w:t>4,478,155</w:t>
            </w:r>
            <w:r>
              <w:rPr>
                <w:rFonts w:ascii="Swis721 Lt BT"/>
                <w:sz w:val="18"/>
              </w:rPr>
            </w:r>
          </w:p>
        </w:tc>
        <w:tc>
          <w:tcPr>
            <w:tcW w:w="11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68" w:right="0"/>
              <w:jc w:val="left"/>
              <w:rPr>
                <w:rFonts w:ascii="Swis721 Lt BT" w:hAnsi="Swis721 Lt BT" w:cs="Swis721 Lt BT" w:eastAsia="Swis721 Lt BT"/>
                <w:sz w:val="18"/>
                <w:szCs w:val="18"/>
              </w:rPr>
            </w:pPr>
            <w:r>
              <w:rPr>
                <w:rFonts w:ascii="Swis721 Lt BT"/>
                <w:color w:val="231F20"/>
                <w:sz w:val="18"/>
              </w:rPr>
              <w:t>1,336,381</w:t>
            </w:r>
            <w:r>
              <w:rPr>
                <w:rFonts w:ascii="Swis721 Lt BT"/>
                <w:sz w:val="18"/>
              </w:rPr>
            </w:r>
          </w:p>
        </w:tc>
        <w:tc>
          <w:tcPr>
            <w:tcW w:w="122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62" w:right="0"/>
              <w:jc w:val="left"/>
              <w:rPr>
                <w:rFonts w:ascii="Swis721 Lt BT" w:hAnsi="Swis721 Lt BT" w:cs="Swis721 Lt BT" w:eastAsia="Swis721 Lt BT"/>
                <w:sz w:val="18"/>
                <w:szCs w:val="18"/>
              </w:rPr>
            </w:pPr>
            <w:r>
              <w:rPr>
                <w:rFonts w:ascii="Swis721 Lt BT"/>
                <w:color w:val="231F20"/>
                <w:sz w:val="18"/>
              </w:rPr>
              <w:t>1,316,000</w:t>
            </w:r>
            <w:r>
              <w:rPr>
                <w:rFonts w:ascii="Swis721 Lt BT"/>
                <w:sz w:val="18"/>
              </w:rPr>
            </w:r>
          </w:p>
        </w:tc>
      </w:tr>
      <w:tr>
        <w:trPr>
          <w:trHeight w:val="329" w:hRule="exact"/>
        </w:trPr>
        <w:tc>
          <w:tcPr>
            <w:tcW w:w="3547"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pacing w:val="-4"/>
                <w:sz w:val="18"/>
              </w:rPr>
              <w:t>Trade</w:t>
            </w:r>
            <w:r>
              <w:rPr>
                <w:rFonts w:ascii="Swis721 Lt BT"/>
                <w:color w:val="231F20"/>
                <w:sz w:val="18"/>
              </w:rPr>
              <w:t> and other receivables</w:t>
            </w:r>
            <w:r>
              <w:rPr>
                <w:rFonts w:ascii="Swis721 Lt BT"/>
                <w:sz w:val="18"/>
              </w:rPr>
            </w:r>
          </w:p>
        </w:tc>
        <w:tc>
          <w:tcPr>
            <w:tcW w:w="802" w:type="dxa"/>
            <w:tcBorders>
              <w:top w:val="single" w:sz="2" w:space="0" w:color="848B91"/>
              <w:left w:val="nil" w:sz="6" w:space="0" w:color="auto"/>
              <w:bottom w:val="single" w:sz="2" w:space="0" w:color="848B91"/>
              <w:right w:val="nil" w:sz="6" w:space="0" w:color="auto"/>
            </w:tcBorders>
          </w:tcPr>
          <w:p>
            <w:pPr/>
          </w:p>
        </w:tc>
        <w:tc>
          <w:tcPr>
            <w:tcW w:w="1277"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448" w:right="0"/>
              <w:jc w:val="left"/>
              <w:rPr>
                <w:rFonts w:ascii="Swis721 Lt BT" w:hAnsi="Swis721 Lt BT" w:cs="Swis721 Lt BT" w:eastAsia="Swis721 Lt BT"/>
                <w:sz w:val="18"/>
                <w:szCs w:val="18"/>
              </w:rPr>
            </w:pPr>
            <w:r>
              <w:rPr>
                <w:rFonts w:ascii="Swis721 Lt BT"/>
                <w:color w:val="231F20"/>
                <w:sz w:val="18"/>
              </w:rPr>
              <w:t>206,262</w:t>
            </w:r>
            <w:r>
              <w:rPr>
                <w:rFonts w:ascii="Swis721 Lt BT"/>
                <w:sz w:val="18"/>
              </w:rPr>
            </w:r>
          </w:p>
        </w:tc>
        <w:tc>
          <w:tcPr>
            <w:tcW w:w="11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412" w:right="0"/>
              <w:jc w:val="left"/>
              <w:rPr>
                <w:rFonts w:ascii="Swis721 Lt BT" w:hAnsi="Swis721 Lt BT" w:cs="Swis721 Lt BT" w:eastAsia="Swis721 Lt BT"/>
                <w:sz w:val="18"/>
                <w:szCs w:val="18"/>
              </w:rPr>
            </w:pPr>
            <w:r>
              <w:rPr>
                <w:rFonts w:ascii="Swis721 Lt BT"/>
                <w:color w:val="231F20"/>
                <w:sz w:val="18"/>
              </w:rPr>
              <w:t>102,635</w:t>
            </w:r>
            <w:r>
              <w:rPr>
                <w:rFonts w:ascii="Swis721 Lt BT"/>
                <w:sz w:val="18"/>
              </w:rPr>
            </w:r>
          </w:p>
        </w:tc>
        <w:tc>
          <w:tcPr>
            <w:tcW w:w="122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05" w:right="0"/>
              <w:jc w:val="left"/>
              <w:rPr>
                <w:rFonts w:ascii="Swis721 Lt BT" w:hAnsi="Swis721 Lt BT" w:cs="Swis721 Lt BT" w:eastAsia="Swis721 Lt BT"/>
                <w:sz w:val="18"/>
                <w:szCs w:val="18"/>
              </w:rPr>
            </w:pPr>
            <w:r>
              <w:rPr>
                <w:rFonts w:ascii="Swis721 Lt BT"/>
                <w:color w:val="231F20"/>
                <w:sz w:val="18"/>
              </w:rPr>
              <w:t>238,000</w:t>
            </w:r>
            <w:r>
              <w:rPr>
                <w:rFonts w:ascii="Swis721 Lt BT"/>
                <w:sz w:val="18"/>
              </w:rPr>
            </w:r>
          </w:p>
        </w:tc>
      </w:tr>
      <w:tr>
        <w:trPr>
          <w:trHeight w:val="360" w:hRule="exact"/>
        </w:trPr>
        <w:tc>
          <w:tcPr>
            <w:tcW w:w="3547"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Other assets</w:t>
            </w:r>
            <w:r>
              <w:rPr>
                <w:rFonts w:ascii="Swis721 Lt BT"/>
                <w:sz w:val="18"/>
              </w:rPr>
            </w:r>
          </w:p>
        </w:tc>
        <w:tc>
          <w:tcPr>
            <w:tcW w:w="802" w:type="dxa"/>
            <w:tcBorders>
              <w:top w:val="single" w:sz="2" w:space="0" w:color="848B91"/>
              <w:left w:val="nil" w:sz="6" w:space="0" w:color="auto"/>
              <w:bottom w:val="single" w:sz="8" w:space="0" w:color="848B91"/>
              <w:right w:val="nil" w:sz="6" w:space="0" w:color="auto"/>
            </w:tcBorders>
          </w:tcPr>
          <w:p>
            <w:pPr/>
          </w:p>
        </w:tc>
        <w:tc>
          <w:tcPr>
            <w:tcW w:w="1277"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448" w:right="0"/>
              <w:jc w:val="left"/>
              <w:rPr>
                <w:rFonts w:ascii="Swis721 Lt BT" w:hAnsi="Swis721 Lt BT" w:cs="Swis721 Lt BT" w:eastAsia="Swis721 Lt BT"/>
                <w:sz w:val="18"/>
                <w:szCs w:val="18"/>
              </w:rPr>
            </w:pPr>
            <w:r>
              <w:rPr>
                <w:rFonts w:ascii="Swis721 Lt BT"/>
                <w:color w:val="231F20"/>
                <w:sz w:val="18"/>
              </w:rPr>
              <w:t>141,293</w:t>
            </w:r>
            <w:r>
              <w:rPr>
                <w:rFonts w:ascii="Swis721 Lt BT"/>
                <w:sz w:val="18"/>
              </w:rPr>
            </w:r>
          </w:p>
        </w:tc>
        <w:tc>
          <w:tcPr>
            <w:tcW w:w="1146"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07" w:right="0"/>
              <w:jc w:val="left"/>
              <w:rPr>
                <w:rFonts w:ascii="Swis721 Lt BT" w:hAnsi="Swis721 Lt BT" w:cs="Swis721 Lt BT" w:eastAsia="Swis721 Lt BT"/>
                <w:sz w:val="18"/>
                <w:szCs w:val="18"/>
              </w:rPr>
            </w:pPr>
            <w:r>
              <w:rPr>
                <w:rFonts w:ascii="Swis721 Lt BT"/>
                <w:color w:val="231F20"/>
                <w:sz w:val="18"/>
              </w:rPr>
              <w:t>93,800</w:t>
            </w:r>
            <w:r>
              <w:rPr>
                <w:rFonts w:ascii="Swis721 Lt BT"/>
                <w:sz w:val="18"/>
              </w:rPr>
            </w:r>
          </w:p>
        </w:tc>
        <w:tc>
          <w:tcPr>
            <w:tcW w:w="1222"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right="111"/>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r>
      <w:tr>
        <w:trPr>
          <w:trHeight w:val="318" w:hRule="exact"/>
        </w:trPr>
        <w:tc>
          <w:tcPr>
            <w:tcW w:w="3547"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1" w:right="0"/>
              <w:jc w:val="left"/>
              <w:rPr>
                <w:rFonts w:ascii="Swis721 Md BT" w:hAnsi="Swis721 Md BT" w:cs="Swis721 Md BT" w:eastAsia="Swis721 Md BT"/>
                <w:sz w:val="18"/>
                <w:szCs w:val="18"/>
              </w:rPr>
            </w:pPr>
            <w:r>
              <w:rPr>
                <w:rFonts w:ascii="Swis721 Md BT"/>
                <w:color w:val="231F20"/>
                <w:sz w:val="18"/>
              </w:rPr>
              <w:t>Current assets</w:t>
            </w:r>
            <w:r>
              <w:rPr>
                <w:rFonts w:ascii="Swis721 Md BT"/>
                <w:sz w:val="18"/>
              </w:rPr>
            </w:r>
          </w:p>
        </w:tc>
        <w:tc>
          <w:tcPr>
            <w:tcW w:w="802" w:type="dxa"/>
            <w:tcBorders>
              <w:top w:val="single" w:sz="8" w:space="0" w:color="848B91"/>
              <w:left w:val="nil" w:sz="6" w:space="0" w:color="auto"/>
              <w:bottom w:val="single" w:sz="2" w:space="0" w:color="848B91"/>
              <w:right w:val="nil" w:sz="6" w:space="0" w:color="auto"/>
            </w:tcBorders>
          </w:tcPr>
          <w:p>
            <w:pPr/>
          </w:p>
        </w:tc>
        <w:tc>
          <w:tcPr>
            <w:tcW w:w="1277"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168" w:right="0"/>
              <w:jc w:val="left"/>
              <w:rPr>
                <w:rFonts w:ascii="Swis721 Md BT" w:hAnsi="Swis721 Md BT" w:cs="Swis721 Md BT" w:eastAsia="Swis721 Md BT"/>
                <w:sz w:val="18"/>
                <w:szCs w:val="18"/>
              </w:rPr>
            </w:pPr>
            <w:r>
              <w:rPr>
                <w:rFonts w:ascii="Swis721 Md BT"/>
                <w:color w:val="231F20"/>
                <w:sz w:val="18"/>
              </w:rPr>
              <w:t>11,202,804</w:t>
            </w:r>
            <w:r>
              <w:rPr>
                <w:rFonts w:ascii="Swis721 Md BT"/>
                <w:sz w:val="18"/>
              </w:rPr>
            </w:r>
          </w:p>
        </w:tc>
        <w:tc>
          <w:tcPr>
            <w:tcW w:w="1146"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232" w:right="0"/>
              <w:jc w:val="left"/>
              <w:rPr>
                <w:rFonts w:ascii="Swis721 Md BT" w:hAnsi="Swis721 Md BT" w:cs="Swis721 Md BT" w:eastAsia="Swis721 Md BT"/>
                <w:sz w:val="18"/>
                <w:szCs w:val="18"/>
              </w:rPr>
            </w:pPr>
            <w:r>
              <w:rPr>
                <w:rFonts w:ascii="Swis721 Md BT"/>
                <w:color w:val="231F20"/>
                <w:sz w:val="18"/>
              </w:rPr>
              <w:t>7,511,319</w:t>
            </w:r>
            <w:r>
              <w:rPr>
                <w:rFonts w:ascii="Swis721 Md BT"/>
                <w:sz w:val="18"/>
              </w:rPr>
            </w:r>
          </w:p>
        </w:tc>
        <w:tc>
          <w:tcPr>
            <w:tcW w:w="1222"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326" w:right="0"/>
              <w:jc w:val="left"/>
              <w:rPr>
                <w:rFonts w:ascii="Swis721 Md BT" w:hAnsi="Swis721 Md BT" w:cs="Swis721 Md BT" w:eastAsia="Swis721 Md BT"/>
                <w:sz w:val="18"/>
                <w:szCs w:val="18"/>
              </w:rPr>
            </w:pPr>
            <w:r>
              <w:rPr>
                <w:rFonts w:ascii="Swis721 Md BT"/>
                <w:color w:val="231F20"/>
                <w:sz w:val="18"/>
              </w:rPr>
              <w:t>6,020,000</w:t>
            </w:r>
            <w:r>
              <w:rPr>
                <w:rFonts w:ascii="Swis721 Md BT"/>
                <w:sz w:val="18"/>
              </w:rPr>
            </w:r>
          </w:p>
        </w:tc>
      </w:tr>
      <w:tr>
        <w:trPr>
          <w:trHeight w:val="784" w:hRule="exact"/>
        </w:trPr>
        <w:tc>
          <w:tcPr>
            <w:tcW w:w="3547" w:type="dxa"/>
            <w:tcBorders>
              <w:top w:val="single" w:sz="2" w:space="0" w:color="848B91"/>
              <w:left w:val="nil" w:sz="6" w:space="0" w:color="auto"/>
              <w:bottom w:val="single" w:sz="8" w:space="0" w:color="848B91"/>
              <w:right w:val="nil" w:sz="6" w:space="0" w:color="auto"/>
            </w:tcBorders>
          </w:tcPr>
          <w:p>
            <w:pPr>
              <w:pStyle w:val="TableParagraph"/>
              <w:spacing w:line="240" w:lineRule="auto" w:before="1"/>
              <w:ind w:right="0"/>
              <w:jc w:val="left"/>
              <w:rPr>
                <w:rFonts w:ascii="Swis721 Md BT" w:hAnsi="Swis721 Md BT" w:cs="Swis721 Md BT" w:eastAsia="Swis721 Md BT"/>
                <w:sz w:val="14"/>
                <w:szCs w:val="14"/>
              </w:rPr>
            </w:pPr>
          </w:p>
          <w:p>
            <w:pPr>
              <w:pStyle w:val="TableParagraph"/>
              <w:spacing w:line="240" w:lineRule="auto"/>
              <w:ind w:left="-1" w:right="0"/>
              <w:jc w:val="left"/>
              <w:rPr>
                <w:rFonts w:ascii="Swis721 Md BT" w:hAnsi="Swis721 Md BT" w:cs="Swis721 Md BT" w:eastAsia="Swis721 Md BT"/>
                <w:sz w:val="19"/>
                <w:szCs w:val="19"/>
              </w:rPr>
            </w:pPr>
            <w:r>
              <w:rPr>
                <w:rFonts w:ascii="Swis721 Md BT"/>
                <w:color w:val="303B41"/>
                <w:sz w:val="19"/>
              </w:rPr>
              <w:t>Non-current</w:t>
            </w:r>
            <w:r>
              <w:rPr>
                <w:rFonts w:ascii="Swis721 Md BT"/>
                <w:sz w:val="19"/>
              </w:rPr>
            </w:r>
          </w:p>
          <w:p>
            <w:pPr>
              <w:pStyle w:val="TableParagraph"/>
              <w:spacing w:line="240" w:lineRule="auto" w:before="111"/>
              <w:ind w:left="-1" w:right="0"/>
              <w:jc w:val="left"/>
              <w:rPr>
                <w:rFonts w:ascii="Swis721 Lt BT" w:hAnsi="Swis721 Lt BT" w:cs="Swis721 Lt BT" w:eastAsia="Swis721 Lt BT"/>
                <w:sz w:val="18"/>
                <w:szCs w:val="18"/>
              </w:rPr>
            </w:pPr>
            <w:r>
              <w:rPr>
                <w:rFonts w:ascii="Swis721 Lt BT"/>
                <w:color w:val="231F20"/>
                <w:spacing w:val="-1"/>
                <w:sz w:val="18"/>
              </w:rPr>
              <w:t>Furniture,</w:t>
            </w:r>
            <w:r>
              <w:rPr>
                <w:rFonts w:ascii="Swis721 Lt BT"/>
                <w:color w:val="231F20"/>
                <w:sz w:val="18"/>
              </w:rPr>
              <w:t> equipment, software and cultural</w:t>
            </w:r>
            <w:r>
              <w:rPr>
                <w:rFonts w:ascii="Swis721 Lt BT"/>
                <w:sz w:val="18"/>
              </w:rPr>
            </w:r>
          </w:p>
        </w:tc>
        <w:tc>
          <w:tcPr>
            <w:tcW w:w="802" w:type="dxa"/>
            <w:tcBorders>
              <w:top w:val="single" w:sz="2" w:space="0" w:color="848B91"/>
              <w:left w:val="nil" w:sz="6" w:space="0" w:color="auto"/>
              <w:bottom w:val="single" w:sz="8"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4"/>
              <w:ind w:right="0"/>
              <w:jc w:val="left"/>
              <w:rPr>
                <w:rFonts w:ascii="Swis721 Md BT" w:hAnsi="Swis721 Md BT" w:cs="Swis721 Md BT" w:eastAsia="Swis721 Md BT"/>
                <w:sz w:val="24"/>
                <w:szCs w:val="24"/>
              </w:rPr>
            </w:pPr>
          </w:p>
          <w:p>
            <w:pPr>
              <w:pStyle w:val="TableParagraph"/>
              <w:spacing w:line="240" w:lineRule="auto"/>
              <w:ind w:left="517" w:right="0"/>
              <w:jc w:val="left"/>
              <w:rPr>
                <w:rFonts w:ascii="Swis721 Lt BT" w:hAnsi="Swis721 Lt BT" w:cs="Swis721 Lt BT" w:eastAsia="Swis721 Lt BT"/>
                <w:sz w:val="18"/>
                <w:szCs w:val="18"/>
              </w:rPr>
            </w:pPr>
            <w:r>
              <w:rPr>
                <w:rFonts w:ascii="Swis721 Lt BT"/>
                <w:color w:val="231F20"/>
                <w:sz w:val="18"/>
              </w:rPr>
              <w:t>4</w:t>
            </w:r>
            <w:r>
              <w:rPr>
                <w:rFonts w:ascii="Swis721 Lt BT"/>
                <w:sz w:val="18"/>
              </w:rPr>
            </w:r>
          </w:p>
        </w:tc>
        <w:tc>
          <w:tcPr>
            <w:tcW w:w="1277" w:type="dxa"/>
            <w:tcBorders>
              <w:top w:val="single" w:sz="2" w:space="0" w:color="848B91"/>
              <w:left w:val="nil" w:sz="6" w:space="0" w:color="auto"/>
              <w:bottom w:val="single" w:sz="8"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4"/>
              <w:ind w:right="0"/>
              <w:jc w:val="left"/>
              <w:rPr>
                <w:rFonts w:ascii="Swis721 Md BT" w:hAnsi="Swis721 Md BT" w:cs="Swis721 Md BT" w:eastAsia="Swis721 Md BT"/>
                <w:sz w:val="24"/>
                <w:szCs w:val="24"/>
              </w:rPr>
            </w:pPr>
          </w:p>
          <w:p>
            <w:pPr>
              <w:pStyle w:val="TableParagraph"/>
              <w:spacing w:line="240" w:lineRule="auto"/>
              <w:ind w:left="448" w:right="0"/>
              <w:jc w:val="left"/>
              <w:rPr>
                <w:rFonts w:ascii="Swis721 Lt BT" w:hAnsi="Swis721 Lt BT" w:cs="Swis721 Lt BT" w:eastAsia="Swis721 Lt BT"/>
                <w:sz w:val="18"/>
                <w:szCs w:val="18"/>
              </w:rPr>
            </w:pPr>
            <w:r>
              <w:rPr>
                <w:rFonts w:ascii="Swis721 Lt BT"/>
                <w:color w:val="231F20"/>
                <w:sz w:val="18"/>
              </w:rPr>
              <w:t>967,383</w:t>
            </w:r>
            <w:r>
              <w:rPr>
                <w:rFonts w:ascii="Swis721 Lt BT"/>
                <w:sz w:val="18"/>
              </w:rPr>
            </w:r>
          </w:p>
        </w:tc>
        <w:tc>
          <w:tcPr>
            <w:tcW w:w="1146" w:type="dxa"/>
            <w:tcBorders>
              <w:top w:val="single" w:sz="2" w:space="0" w:color="848B91"/>
              <w:left w:val="nil" w:sz="6" w:space="0" w:color="auto"/>
              <w:bottom w:val="single" w:sz="8"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4"/>
              <w:ind w:right="0"/>
              <w:jc w:val="left"/>
              <w:rPr>
                <w:rFonts w:ascii="Swis721 Md BT" w:hAnsi="Swis721 Md BT" w:cs="Swis721 Md BT" w:eastAsia="Swis721 Md BT"/>
                <w:sz w:val="24"/>
                <w:szCs w:val="24"/>
              </w:rPr>
            </w:pPr>
          </w:p>
          <w:p>
            <w:pPr>
              <w:pStyle w:val="TableParagraph"/>
              <w:spacing w:line="240" w:lineRule="auto"/>
              <w:ind w:left="412" w:right="0"/>
              <w:jc w:val="left"/>
              <w:rPr>
                <w:rFonts w:ascii="Swis721 Lt BT" w:hAnsi="Swis721 Lt BT" w:cs="Swis721 Lt BT" w:eastAsia="Swis721 Lt BT"/>
                <w:sz w:val="18"/>
                <w:szCs w:val="18"/>
              </w:rPr>
            </w:pPr>
            <w:r>
              <w:rPr>
                <w:rFonts w:ascii="Swis721 Lt BT"/>
                <w:color w:val="231F20"/>
                <w:sz w:val="18"/>
              </w:rPr>
              <w:t>792,510</w:t>
            </w:r>
            <w:r>
              <w:rPr>
                <w:rFonts w:ascii="Swis721 Lt BT"/>
                <w:sz w:val="18"/>
              </w:rPr>
            </w:r>
          </w:p>
        </w:tc>
        <w:tc>
          <w:tcPr>
            <w:tcW w:w="1222" w:type="dxa"/>
            <w:tcBorders>
              <w:top w:val="single" w:sz="2" w:space="0" w:color="848B91"/>
              <w:left w:val="nil" w:sz="6" w:space="0" w:color="auto"/>
              <w:bottom w:val="single" w:sz="8"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4"/>
              <w:ind w:right="0"/>
              <w:jc w:val="left"/>
              <w:rPr>
                <w:rFonts w:ascii="Swis721 Md BT" w:hAnsi="Swis721 Md BT" w:cs="Swis721 Md BT" w:eastAsia="Swis721 Md BT"/>
                <w:sz w:val="24"/>
                <w:szCs w:val="24"/>
              </w:rPr>
            </w:pPr>
          </w:p>
          <w:p>
            <w:pPr>
              <w:pStyle w:val="TableParagraph"/>
              <w:spacing w:line="240" w:lineRule="auto"/>
              <w:ind w:left="505" w:right="0"/>
              <w:jc w:val="left"/>
              <w:rPr>
                <w:rFonts w:ascii="Swis721 Lt BT" w:hAnsi="Swis721 Lt BT" w:cs="Swis721 Lt BT" w:eastAsia="Swis721 Lt BT"/>
                <w:sz w:val="18"/>
                <w:szCs w:val="18"/>
              </w:rPr>
            </w:pPr>
            <w:r>
              <w:rPr>
                <w:rFonts w:ascii="Swis721 Lt BT"/>
                <w:color w:val="231F20"/>
                <w:sz w:val="18"/>
              </w:rPr>
              <w:t>308,000</w:t>
            </w:r>
            <w:r>
              <w:rPr>
                <w:rFonts w:ascii="Swis721 Lt BT"/>
                <w:sz w:val="18"/>
              </w:rPr>
            </w:r>
          </w:p>
        </w:tc>
      </w:tr>
      <w:tr>
        <w:trPr>
          <w:trHeight w:val="349" w:hRule="exact"/>
        </w:trPr>
        <w:tc>
          <w:tcPr>
            <w:tcW w:w="3547" w:type="dxa"/>
            <w:tcBorders>
              <w:top w:val="single" w:sz="8" w:space="0" w:color="848B91"/>
              <w:left w:val="nil" w:sz="6" w:space="0" w:color="auto"/>
              <w:bottom w:val="single" w:sz="8" w:space="0" w:color="71797F"/>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z w:val="18"/>
              </w:rPr>
              <w:t>Non-current assets</w:t>
            </w:r>
            <w:r>
              <w:rPr>
                <w:rFonts w:ascii="Swis721 Md BT"/>
                <w:sz w:val="18"/>
              </w:rPr>
            </w:r>
          </w:p>
        </w:tc>
        <w:tc>
          <w:tcPr>
            <w:tcW w:w="802" w:type="dxa"/>
            <w:tcBorders>
              <w:top w:val="single" w:sz="8" w:space="0" w:color="848B91"/>
              <w:left w:val="nil" w:sz="6" w:space="0" w:color="auto"/>
              <w:bottom w:val="single" w:sz="8" w:space="0" w:color="71797F"/>
              <w:right w:val="nil" w:sz="6" w:space="0" w:color="auto"/>
            </w:tcBorders>
          </w:tcPr>
          <w:p>
            <w:pPr/>
          </w:p>
        </w:tc>
        <w:tc>
          <w:tcPr>
            <w:tcW w:w="1277" w:type="dxa"/>
            <w:tcBorders>
              <w:top w:val="single" w:sz="8" w:space="0" w:color="848B91"/>
              <w:left w:val="nil" w:sz="6" w:space="0" w:color="auto"/>
              <w:bottom w:val="single" w:sz="8" w:space="0" w:color="71797F"/>
              <w:right w:val="nil" w:sz="6" w:space="0" w:color="auto"/>
            </w:tcBorders>
          </w:tcPr>
          <w:p>
            <w:pPr>
              <w:pStyle w:val="TableParagraph"/>
              <w:spacing w:line="240" w:lineRule="auto" w:before="53"/>
              <w:ind w:left="419" w:right="0"/>
              <w:jc w:val="left"/>
              <w:rPr>
                <w:rFonts w:ascii="Swis721 Md BT" w:hAnsi="Swis721 Md BT" w:cs="Swis721 Md BT" w:eastAsia="Swis721 Md BT"/>
                <w:sz w:val="18"/>
                <w:szCs w:val="18"/>
              </w:rPr>
            </w:pPr>
            <w:r>
              <w:rPr>
                <w:rFonts w:ascii="Swis721 Md BT"/>
                <w:color w:val="231F20"/>
                <w:sz w:val="18"/>
              </w:rPr>
              <w:t>967,383</w:t>
            </w:r>
            <w:r>
              <w:rPr>
                <w:rFonts w:ascii="Swis721 Md BT"/>
                <w:sz w:val="18"/>
              </w:rPr>
            </w:r>
          </w:p>
        </w:tc>
        <w:tc>
          <w:tcPr>
            <w:tcW w:w="1146" w:type="dxa"/>
            <w:tcBorders>
              <w:top w:val="single" w:sz="8" w:space="0" w:color="848B91"/>
              <w:left w:val="nil" w:sz="6" w:space="0" w:color="auto"/>
              <w:bottom w:val="single" w:sz="8" w:space="0" w:color="71797F"/>
              <w:right w:val="nil" w:sz="6" w:space="0" w:color="auto"/>
            </w:tcBorders>
          </w:tcPr>
          <w:p>
            <w:pPr>
              <w:pStyle w:val="TableParagraph"/>
              <w:spacing w:line="240" w:lineRule="auto" w:before="53"/>
              <w:ind w:left="382" w:right="0"/>
              <w:jc w:val="left"/>
              <w:rPr>
                <w:rFonts w:ascii="Swis721 Md BT" w:hAnsi="Swis721 Md BT" w:cs="Swis721 Md BT" w:eastAsia="Swis721 Md BT"/>
                <w:sz w:val="18"/>
                <w:szCs w:val="18"/>
              </w:rPr>
            </w:pPr>
            <w:r>
              <w:rPr>
                <w:rFonts w:ascii="Swis721 Md BT"/>
                <w:color w:val="231F20"/>
                <w:sz w:val="18"/>
              </w:rPr>
              <w:t>792,510</w:t>
            </w:r>
            <w:r>
              <w:rPr>
                <w:rFonts w:ascii="Swis721 Md BT"/>
                <w:sz w:val="18"/>
              </w:rPr>
            </w:r>
          </w:p>
        </w:tc>
        <w:tc>
          <w:tcPr>
            <w:tcW w:w="1222" w:type="dxa"/>
            <w:tcBorders>
              <w:top w:val="single" w:sz="8" w:space="0" w:color="848B91"/>
              <w:left w:val="nil" w:sz="6" w:space="0" w:color="auto"/>
              <w:bottom w:val="single" w:sz="8" w:space="0" w:color="71797F"/>
              <w:right w:val="nil" w:sz="6" w:space="0" w:color="auto"/>
            </w:tcBorders>
          </w:tcPr>
          <w:p>
            <w:pPr>
              <w:pStyle w:val="TableParagraph"/>
              <w:spacing w:line="240" w:lineRule="auto" w:before="53"/>
              <w:ind w:left="476" w:right="0"/>
              <w:jc w:val="left"/>
              <w:rPr>
                <w:rFonts w:ascii="Swis721 Md BT" w:hAnsi="Swis721 Md BT" w:cs="Swis721 Md BT" w:eastAsia="Swis721 Md BT"/>
                <w:sz w:val="18"/>
                <w:szCs w:val="18"/>
              </w:rPr>
            </w:pPr>
            <w:r>
              <w:rPr>
                <w:rFonts w:ascii="Swis721 Md BT"/>
                <w:color w:val="231F20"/>
                <w:sz w:val="18"/>
              </w:rPr>
              <w:t>308,000</w:t>
            </w:r>
            <w:r>
              <w:rPr>
                <w:rFonts w:ascii="Swis721 Md BT"/>
                <w:sz w:val="18"/>
              </w:rPr>
            </w:r>
          </w:p>
        </w:tc>
      </w:tr>
      <w:tr>
        <w:trPr>
          <w:trHeight w:val="349" w:hRule="exact"/>
        </w:trPr>
        <w:tc>
          <w:tcPr>
            <w:tcW w:w="3547" w:type="dxa"/>
            <w:tcBorders>
              <w:top w:val="single" w:sz="8" w:space="0" w:color="71797F"/>
              <w:left w:val="nil" w:sz="6" w:space="0" w:color="auto"/>
              <w:bottom w:val="single" w:sz="8" w:space="0" w:color="71797F"/>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pacing w:val="-2"/>
                <w:sz w:val="18"/>
              </w:rPr>
              <w:t>TOTAL</w:t>
            </w:r>
            <w:r>
              <w:rPr>
                <w:rFonts w:ascii="Swis721 Md BT"/>
                <w:color w:val="231F20"/>
                <w:sz w:val="18"/>
              </w:rPr>
              <w:t> ASSETS</w:t>
            </w:r>
            <w:r>
              <w:rPr>
                <w:rFonts w:ascii="Swis721 Md BT"/>
                <w:sz w:val="18"/>
              </w:rPr>
            </w:r>
          </w:p>
        </w:tc>
        <w:tc>
          <w:tcPr>
            <w:tcW w:w="802" w:type="dxa"/>
            <w:tcBorders>
              <w:top w:val="single" w:sz="8" w:space="0" w:color="71797F"/>
              <w:left w:val="nil" w:sz="6" w:space="0" w:color="auto"/>
              <w:bottom w:val="single" w:sz="8" w:space="0" w:color="71797F"/>
              <w:right w:val="nil" w:sz="6" w:space="0" w:color="auto"/>
            </w:tcBorders>
          </w:tcPr>
          <w:p>
            <w:pPr/>
          </w:p>
        </w:tc>
        <w:tc>
          <w:tcPr>
            <w:tcW w:w="1277" w:type="dxa"/>
            <w:tcBorders>
              <w:top w:val="single" w:sz="8" w:space="0" w:color="71797F"/>
              <w:left w:val="nil" w:sz="6" w:space="0" w:color="auto"/>
              <w:bottom w:val="single" w:sz="8" w:space="0" w:color="71797F"/>
              <w:right w:val="nil" w:sz="6" w:space="0" w:color="auto"/>
            </w:tcBorders>
          </w:tcPr>
          <w:p>
            <w:pPr>
              <w:pStyle w:val="TableParagraph"/>
              <w:spacing w:line="240" w:lineRule="auto" w:before="53"/>
              <w:ind w:left="168" w:right="0"/>
              <w:jc w:val="left"/>
              <w:rPr>
                <w:rFonts w:ascii="Swis721 Md BT" w:hAnsi="Swis721 Md BT" w:cs="Swis721 Md BT" w:eastAsia="Swis721 Md BT"/>
                <w:sz w:val="18"/>
                <w:szCs w:val="18"/>
              </w:rPr>
            </w:pPr>
            <w:r>
              <w:rPr>
                <w:rFonts w:ascii="Swis721 Md BT"/>
                <w:color w:val="231F20"/>
                <w:sz w:val="18"/>
              </w:rPr>
              <w:t>12,170,187</w:t>
            </w:r>
            <w:r>
              <w:rPr>
                <w:rFonts w:ascii="Swis721 Md BT"/>
                <w:sz w:val="18"/>
              </w:rPr>
            </w:r>
          </w:p>
        </w:tc>
        <w:tc>
          <w:tcPr>
            <w:tcW w:w="1146" w:type="dxa"/>
            <w:tcBorders>
              <w:top w:val="single" w:sz="8" w:space="0" w:color="71797F"/>
              <w:left w:val="nil" w:sz="6" w:space="0" w:color="auto"/>
              <w:bottom w:val="single" w:sz="8" w:space="0" w:color="71797F"/>
              <w:right w:val="nil" w:sz="6" w:space="0" w:color="auto"/>
            </w:tcBorders>
          </w:tcPr>
          <w:p>
            <w:pPr>
              <w:pStyle w:val="TableParagraph"/>
              <w:spacing w:line="240" w:lineRule="auto" w:before="53"/>
              <w:ind w:left="205" w:right="0"/>
              <w:jc w:val="left"/>
              <w:rPr>
                <w:rFonts w:ascii="Swis721 Md BT" w:hAnsi="Swis721 Md BT" w:cs="Swis721 Md BT" w:eastAsia="Swis721 Md BT"/>
                <w:sz w:val="18"/>
                <w:szCs w:val="18"/>
              </w:rPr>
            </w:pPr>
            <w:r>
              <w:rPr>
                <w:rFonts w:ascii="Swis721 Md BT"/>
                <w:color w:val="231F20"/>
                <w:sz w:val="18"/>
              </w:rPr>
              <w:t>8,303,829</w:t>
            </w:r>
            <w:r>
              <w:rPr>
                <w:rFonts w:ascii="Swis721 Md BT"/>
                <w:sz w:val="18"/>
              </w:rPr>
            </w:r>
          </w:p>
        </w:tc>
        <w:tc>
          <w:tcPr>
            <w:tcW w:w="1222" w:type="dxa"/>
            <w:tcBorders>
              <w:top w:val="single" w:sz="8" w:space="0" w:color="71797F"/>
              <w:left w:val="nil" w:sz="6" w:space="0" w:color="auto"/>
              <w:bottom w:val="single" w:sz="8" w:space="0" w:color="71797F"/>
              <w:right w:val="nil" w:sz="6" w:space="0" w:color="auto"/>
            </w:tcBorders>
          </w:tcPr>
          <w:p>
            <w:pPr>
              <w:pStyle w:val="TableParagraph"/>
              <w:spacing w:line="240" w:lineRule="auto" w:before="53"/>
              <w:ind w:left="306" w:right="0"/>
              <w:jc w:val="left"/>
              <w:rPr>
                <w:rFonts w:ascii="Swis721 Md BT" w:hAnsi="Swis721 Md BT" w:cs="Swis721 Md BT" w:eastAsia="Swis721 Md BT"/>
                <w:sz w:val="18"/>
                <w:szCs w:val="18"/>
              </w:rPr>
            </w:pPr>
            <w:r>
              <w:rPr>
                <w:rFonts w:ascii="Swis721 Md BT"/>
                <w:color w:val="231F20"/>
                <w:sz w:val="18"/>
              </w:rPr>
              <w:t>6,328,000</w:t>
            </w:r>
            <w:r>
              <w:rPr>
                <w:rFonts w:ascii="Swis721 Md BT"/>
                <w:sz w:val="18"/>
              </w:rPr>
            </w:r>
          </w:p>
        </w:tc>
      </w:tr>
      <w:tr>
        <w:trPr>
          <w:trHeight w:val="529" w:hRule="exact"/>
        </w:trPr>
        <w:tc>
          <w:tcPr>
            <w:tcW w:w="3547" w:type="dxa"/>
            <w:tcBorders>
              <w:top w:val="single" w:sz="8" w:space="0" w:color="71797F"/>
              <w:left w:val="nil" w:sz="6" w:space="0" w:color="auto"/>
              <w:bottom w:val="nil" w:sz="6" w:space="0" w:color="auto"/>
              <w:right w:val="nil" w:sz="6" w:space="0" w:color="auto"/>
            </w:tcBorders>
          </w:tcPr>
          <w:p>
            <w:pPr>
              <w:pStyle w:val="TableParagraph"/>
              <w:spacing w:line="240" w:lineRule="auto" w:before="172"/>
              <w:ind w:left="-1" w:right="0"/>
              <w:jc w:val="left"/>
              <w:rPr>
                <w:rFonts w:ascii="Swis721 BT" w:hAnsi="Swis721 BT" w:cs="Swis721 BT" w:eastAsia="Swis721 BT"/>
                <w:sz w:val="20"/>
                <w:szCs w:val="20"/>
              </w:rPr>
            </w:pPr>
            <w:r>
              <w:rPr>
                <w:rFonts w:ascii="Swis721 BT"/>
                <w:b/>
                <w:color w:val="00757A"/>
                <w:sz w:val="20"/>
              </w:rPr>
              <w:t>LIABILITIES</w:t>
            </w:r>
            <w:r>
              <w:rPr>
                <w:rFonts w:ascii="Swis721 BT"/>
                <w:sz w:val="20"/>
              </w:rPr>
            </w:r>
          </w:p>
        </w:tc>
        <w:tc>
          <w:tcPr>
            <w:tcW w:w="802" w:type="dxa"/>
            <w:tcBorders>
              <w:top w:val="single" w:sz="8" w:space="0" w:color="71797F"/>
              <w:left w:val="nil" w:sz="6" w:space="0" w:color="auto"/>
              <w:bottom w:val="nil" w:sz="6" w:space="0" w:color="auto"/>
              <w:right w:val="nil" w:sz="6" w:space="0" w:color="auto"/>
            </w:tcBorders>
          </w:tcPr>
          <w:p>
            <w:pPr/>
          </w:p>
        </w:tc>
        <w:tc>
          <w:tcPr>
            <w:tcW w:w="1277" w:type="dxa"/>
            <w:tcBorders>
              <w:top w:val="single" w:sz="8" w:space="0" w:color="71797F"/>
              <w:left w:val="nil" w:sz="6" w:space="0" w:color="auto"/>
              <w:bottom w:val="nil" w:sz="6" w:space="0" w:color="auto"/>
              <w:right w:val="nil" w:sz="6" w:space="0" w:color="auto"/>
            </w:tcBorders>
          </w:tcPr>
          <w:p>
            <w:pPr/>
          </w:p>
        </w:tc>
        <w:tc>
          <w:tcPr>
            <w:tcW w:w="1146" w:type="dxa"/>
            <w:tcBorders>
              <w:top w:val="single" w:sz="8" w:space="0" w:color="71797F"/>
              <w:left w:val="nil" w:sz="6" w:space="0" w:color="auto"/>
              <w:bottom w:val="nil" w:sz="6" w:space="0" w:color="auto"/>
              <w:right w:val="nil" w:sz="6" w:space="0" w:color="auto"/>
            </w:tcBorders>
          </w:tcPr>
          <w:p>
            <w:pPr/>
          </w:p>
        </w:tc>
        <w:tc>
          <w:tcPr>
            <w:tcW w:w="1222" w:type="dxa"/>
            <w:tcBorders>
              <w:top w:val="single" w:sz="8" w:space="0" w:color="71797F"/>
              <w:left w:val="nil" w:sz="6" w:space="0" w:color="auto"/>
              <w:bottom w:val="nil" w:sz="6" w:space="0" w:color="auto"/>
              <w:right w:val="nil" w:sz="6" w:space="0" w:color="auto"/>
            </w:tcBorders>
          </w:tcPr>
          <w:p>
            <w:pPr/>
          </w:p>
        </w:tc>
      </w:tr>
      <w:tr>
        <w:trPr>
          <w:trHeight w:val="698" w:hRule="exact"/>
        </w:trPr>
        <w:tc>
          <w:tcPr>
            <w:tcW w:w="3547" w:type="dxa"/>
            <w:tcBorders>
              <w:top w:val="nil" w:sz="6" w:space="0" w:color="auto"/>
              <w:left w:val="nil" w:sz="6" w:space="0" w:color="auto"/>
              <w:bottom w:val="single" w:sz="2" w:space="0" w:color="848B91"/>
              <w:right w:val="nil" w:sz="6" w:space="0" w:color="auto"/>
            </w:tcBorders>
          </w:tcPr>
          <w:p>
            <w:pPr>
              <w:pStyle w:val="TableParagraph"/>
              <w:spacing w:line="240" w:lineRule="auto" w:before="95"/>
              <w:ind w:left="-1" w:right="0"/>
              <w:jc w:val="left"/>
              <w:rPr>
                <w:rFonts w:ascii="Swis721 Md BT" w:hAnsi="Swis721 Md BT" w:cs="Swis721 Md BT" w:eastAsia="Swis721 Md BT"/>
                <w:sz w:val="19"/>
                <w:szCs w:val="19"/>
              </w:rPr>
            </w:pPr>
            <w:r>
              <w:rPr>
                <w:rFonts w:ascii="Swis721 Md BT"/>
                <w:color w:val="303B41"/>
                <w:sz w:val="19"/>
              </w:rPr>
              <w:t>Current</w:t>
            </w:r>
            <w:r>
              <w:rPr>
                <w:rFonts w:ascii="Swis721 Md BT"/>
                <w:sz w:val="19"/>
              </w:rPr>
            </w:r>
          </w:p>
          <w:p>
            <w:pPr>
              <w:pStyle w:val="TableParagraph"/>
              <w:spacing w:line="240" w:lineRule="auto" w:before="111"/>
              <w:ind w:left="-1" w:right="0"/>
              <w:jc w:val="left"/>
              <w:rPr>
                <w:rFonts w:ascii="Swis721 Lt BT" w:hAnsi="Swis721 Lt BT" w:cs="Swis721 Lt BT" w:eastAsia="Swis721 Lt BT"/>
                <w:sz w:val="18"/>
                <w:szCs w:val="18"/>
              </w:rPr>
            </w:pPr>
            <w:r>
              <w:rPr>
                <w:rFonts w:ascii="Swis721 Lt BT"/>
                <w:color w:val="231F20"/>
                <w:sz w:val="18"/>
              </w:rPr>
              <w:t>Supplier and other payables</w:t>
            </w:r>
            <w:r>
              <w:rPr>
                <w:rFonts w:ascii="Swis721 Lt BT"/>
                <w:sz w:val="18"/>
              </w:rPr>
            </w:r>
          </w:p>
        </w:tc>
        <w:tc>
          <w:tcPr>
            <w:tcW w:w="802" w:type="dxa"/>
            <w:tcBorders>
              <w:top w:val="nil" w:sz="6" w:space="0" w:color="auto"/>
              <w:left w:val="nil" w:sz="6" w:space="0" w:color="auto"/>
              <w:bottom w:val="single" w:sz="2" w:space="0" w:color="848B91"/>
              <w:right w:val="nil" w:sz="6" w:space="0" w:color="auto"/>
            </w:tcBorders>
          </w:tcPr>
          <w:p>
            <w:pPr/>
          </w:p>
        </w:tc>
        <w:tc>
          <w:tcPr>
            <w:tcW w:w="1277" w:type="dxa"/>
            <w:tcBorders>
              <w:top w:val="nil" w:sz="6" w:space="0" w:color="auto"/>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3"/>
              <w:ind w:right="0"/>
              <w:jc w:val="left"/>
              <w:rPr>
                <w:rFonts w:ascii="Swis721 Md BT" w:hAnsi="Swis721 Md BT" w:cs="Swis721 Md BT" w:eastAsia="Swis721 Md BT"/>
                <w:sz w:val="18"/>
                <w:szCs w:val="18"/>
              </w:rPr>
            </w:pPr>
          </w:p>
          <w:p>
            <w:pPr>
              <w:pStyle w:val="TableParagraph"/>
              <w:spacing w:line="240" w:lineRule="auto"/>
              <w:ind w:left="448" w:right="0"/>
              <w:jc w:val="left"/>
              <w:rPr>
                <w:rFonts w:ascii="Swis721 Lt BT" w:hAnsi="Swis721 Lt BT" w:cs="Swis721 Lt BT" w:eastAsia="Swis721 Lt BT"/>
                <w:sz w:val="18"/>
                <w:szCs w:val="18"/>
              </w:rPr>
            </w:pPr>
            <w:r>
              <w:rPr>
                <w:rFonts w:ascii="Swis721 Lt BT"/>
                <w:color w:val="231F20"/>
                <w:sz w:val="18"/>
              </w:rPr>
              <w:t>717,531</w:t>
            </w:r>
            <w:r>
              <w:rPr>
                <w:rFonts w:ascii="Swis721 Lt BT"/>
                <w:sz w:val="18"/>
              </w:rPr>
            </w:r>
          </w:p>
        </w:tc>
        <w:tc>
          <w:tcPr>
            <w:tcW w:w="1146" w:type="dxa"/>
            <w:tcBorders>
              <w:top w:val="nil" w:sz="6" w:space="0" w:color="auto"/>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3"/>
              <w:ind w:right="0"/>
              <w:jc w:val="left"/>
              <w:rPr>
                <w:rFonts w:ascii="Swis721 Md BT" w:hAnsi="Swis721 Md BT" w:cs="Swis721 Md BT" w:eastAsia="Swis721 Md BT"/>
                <w:sz w:val="18"/>
                <w:szCs w:val="18"/>
              </w:rPr>
            </w:pPr>
          </w:p>
          <w:p>
            <w:pPr>
              <w:pStyle w:val="TableParagraph"/>
              <w:spacing w:line="240" w:lineRule="auto"/>
              <w:ind w:left="412" w:right="0"/>
              <w:jc w:val="left"/>
              <w:rPr>
                <w:rFonts w:ascii="Swis721 Lt BT" w:hAnsi="Swis721 Lt BT" w:cs="Swis721 Lt BT" w:eastAsia="Swis721 Lt BT"/>
                <w:sz w:val="18"/>
                <w:szCs w:val="18"/>
              </w:rPr>
            </w:pPr>
            <w:r>
              <w:rPr>
                <w:rFonts w:ascii="Swis721 Lt BT"/>
                <w:color w:val="231F20"/>
                <w:sz w:val="18"/>
              </w:rPr>
              <w:t>941,504</w:t>
            </w:r>
            <w:r>
              <w:rPr>
                <w:rFonts w:ascii="Swis721 Lt BT"/>
                <w:sz w:val="18"/>
              </w:rPr>
            </w:r>
          </w:p>
        </w:tc>
        <w:tc>
          <w:tcPr>
            <w:tcW w:w="1222" w:type="dxa"/>
            <w:tcBorders>
              <w:top w:val="nil" w:sz="6" w:space="0" w:color="auto"/>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3"/>
              <w:ind w:right="0"/>
              <w:jc w:val="left"/>
              <w:rPr>
                <w:rFonts w:ascii="Swis721 Md BT" w:hAnsi="Swis721 Md BT" w:cs="Swis721 Md BT" w:eastAsia="Swis721 Md BT"/>
                <w:sz w:val="18"/>
                <w:szCs w:val="18"/>
              </w:rPr>
            </w:pPr>
          </w:p>
          <w:p>
            <w:pPr>
              <w:pStyle w:val="TableParagraph"/>
              <w:spacing w:line="240" w:lineRule="auto"/>
              <w:ind w:left="505" w:right="0"/>
              <w:jc w:val="left"/>
              <w:rPr>
                <w:rFonts w:ascii="Swis721 Lt BT" w:hAnsi="Swis721 Lt BT" w:cs="Swis721 Lt BT" w:eastAsia="Swis721 Lt BT"/>
                <w:sz w:val="18"/>
                <w:szCs w:val="18"/>
              </w:rPr>
            </w:pPr>
            <w:r>
              <w:rPr>
                <w:rFonts w:ascii="Swis721 Lt BT"/>
                <w:color w:val="231F20"/>
                <w:sz w:val="18"/>
              </w:rPr>
              <w:t>560,000</w:t>
            </w:r>
            <w:r>
              <w:rPr>
                <w:rFonts w:ascii="Swis721 Lt BT"/>
                <w:sz w:val="18"/>
              </w:rPr>
            </w:r>
          </w:p>
        </w:tc>
      </w:tr>
      <w:tr>
        <w:trPr>
          <w:trHeight w:val="360" w:hRule="exact"/>
        </w:trPr>
        <w:tc>
          <w:tcPr>
            <w:tcW w:w="3547"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Employee provisions</w:t>
            </w:r>
            <w:r>
              <w:rPr>
                <w:rFonts w:ascii="Swis721 Lt BT"/>
                <w:sz w:val="18"/>
              </w:rPr>
            </w:r>
          </w:p>
        </w:tc>
        <w:tc>
          <w:tcPr>
            <w:tcW w:w="802"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right="166"/>
              <w:jc w:val="right"/>
              <w:rPr>
                <w:rFonts w:ascii="Swis721 Lt BT" w:hAnsi="Swis721 Lt BT" w:cs="Swis721 Lt BT" w:eastAsia="Swis721 Lt BT"/>
                <w:sz w:val="18"/>
                <w:szCs w:val="18"/>
              </w:rPr>
            </w:pPr>
            <w:r>
              <w:rPr>
                <w:rFonts w:ascii="Swis721 Lt BT"/>
                <w:color w:val="231F20"/>
                <w:sz w:val="18"/>
              </w:rPr>
              <w:t>6</w:t>
            </w:r>
            <w:r>
              <w:rPr>
                <w:rFonts w:ascii="Swis721 Lt BT"/>
                <w:sz w:val="18"/>
              </w:rPr>
            </w:r>
          </w:p>
        </w:tc>
        <w:tc>
          <w:tcPr>
            <w:tcW w:w="1277"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448" w:right="0"/>
              <w:jc w:val="left"/>
              <w:rPr>
                <w:rFonts w:ascii="Swis721 Lt BT" w:hAnsi="Swis721 Lt BT" w:cs="Swis721 Lt BT" w:eastAsia="Swis721 Lt BT"/>
                <w:sz w:val="18"/>
                <w:szCs w:val="18"/>
              </w:rPr>
            </w:pPr>
            <w:r>
              <w:rPr>
                <w:rFonts w:ascii="Swis721 Lt BT"/>
                <w:color w:val="231F20"/>
                <w:sz w:val="18"/>
              </w:rPr>
              <w:t>630,194</w:t>
            </w:r>
            <w:r>
              <w:rPr>
                <w:rFonts w:ascii="Swis721 Lt BT"/>
                <w:sz w:val="18"/>
              </w:rPr>
            </w:r>
          </w:p>
        </w:tc>
        <w:tc>
          <w:tcPr>
            <w:tcW w:w="1146"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412" w:right="0"/>
              <w:jc w:val="left"/>
              <w:rPr>
                <w:rFonts w:ascii="Swis721 Lt BT" w:hAnsi="Swis721 Lt BT" w:cs="Swis721 Lt BT" w:eastAsia="Swis721 Lt BT"/>
                <w:sz w:val="18"/>
                <w:szCs w:val="18"/>
              </w:rPr>
            </w:pPr>
            <w:r>
              <w:rPr>
                <w:rFonts w:ascii="Swis721 Lt BT"/>
                <w:color w:val="231F20"/>
                <w:sz w:val="18"/>
              </w:rPr>
              <w:t>568,533</w:t>
            </w:r>
            <w:r>
              <w:rPr>
                <w:rFonts w:ascii="Swis721 Lt BT"/>
                <w:sz w:val="18"/>
              </w:rPr>
            </w:r>
          </w:p>
        </w:tc>
        <w:tc>
          <w:tcPr>
            <w:tcW w:w="1222"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486" w:right="0"/>
              <w:jc w:val="left"/>
              <w:rPr>
                <w:rFonts w:ascii="Swis721 Lt BT" w:hAnsi="Swis721 Lt BT" w:cs="Swis721 Lt BT" w:eastAsia="Swis721 Lt BT"/>
                <w:sz w:val="18"/>
                <w:szCs w:val="18"/>
              </w:rPr>
            </w:pPr>
            <w:r>
              <w:rPr>
                <w:rFonts w:ascii="Swis721 Lt BT"/>
                <w:color w:val="231F20"/>
                <w:sz w:val="18"/>
              </w:rPr>
              <w:t>564,000</w:t>
            </w:r>
            <w:r>
              <w:rPr>
                <w:rFonts w:ascii="Swis721 Lt BT"/>
                <w:sz w:val="18"/>
              </w:rPr>
            </w:r>
          </w:p>
        </w:tc>
      </w:tr>
      <w:tr>
        <w:trPr>
          <w:trHeight w:val="318" w:hRule="exact"/>
        </w:trPr>
        <w:tc>
          <w:tcPr>
            <w:tcW w:w="3547"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1" w:right="0"/>
              <w:jc w:val="left"/>
              <w:rPr>
                <w:rFonts w:ascii="Swis721 Md BT" w:hAnsi="Swis721 Md BT" w:cs="Swis721 Md BT" w:eastAsia="Swis721 Md BT"/>
                <w:sz w:val="18"/>
                <w:szCs w:val="18"/>
              </w:rPr>
            </w:pPr>
            <w:r>
              <w:rPr>
                <w:rFonts w:ascii="Swis721 Md BT"/>
                <w:color w:val="231F20"/>
                <w:sz w:val="18"/>
              </w:rPr>
              <w:t>Current liabilities</w:t>
            </w:r>
            <w:r>
              <w:rPr>
                <w:rFonts w:ascii="Swis721 Md BT"/>
                <w:sz w:val="18"/>
              </w:rPr>
            </w:r>
          </w:p>
        </w:tc>
        <w:tc>
          <w:tcPr>
            <w:tcW w:w="802" w:type="dxa"/>
            <w:tcBorders>
              <w:top w:val="single" w:sz="8" w:space="0" w:color="848B91"/>
              <w:left w:val="nil" w:sz="6" w:space="0" w:color="auto"/>
              <w:bottom w:val="single" w:sz="2" w:space="0" w:color="848B91"/>
              <w:right w:val="nil" w:sz="6" w:space="0" w:color="auto"/>
            </w:tcBorders>
          </w:tcPr>
          <w:p>
            <w:pPr/>
          </w:p>
        </w:tc>
        <w:tc>
          <w:tcPr>
            <w:tcW w:w="1277"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269" w:right="0"/>
              <w:jc w:val="left"/>
              <w:rPr>
                <w:rFonts w:ascii="Swis721 Md BT" w:hAnsi="Swis721 Md BT" w:cs="Swis721 Md BT" w:eastAsia="Swis721 Md BT"/>
                <w:sz w:val="18"/>
                <w:szCs w:val="18"/>
              </w:rPr>
            </w:pPr>
            <w:r>
              <w:rPr>
                <w:rFonts w:ascii="Swis721 Md BT"/>
                <w:color w:val="231F20"/>
                <w:sz w:val="18"/>
              </w:rPr>
              <w:t>1,347,725</w:t>
            </w:r>
            <w:r>
              <w:rPr>
                <w:rFonts w:ascii="Swis721 Md BT"/>
                <w:sz w:val="18"/>
              </w:rPr>
            </w:r>
          </w:p>
        </w:tc>
        <w:tc>
          <w:tcPr>
            <w:tcW w:w="1146"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232" w:right="0"/>
              <w:jc w:val="left"/>
              <w:rPr>
                <w:rFonts w:ascii="Swis721 Md BT" w:hAnsi="Swis721 Md BT" w:cs="Swis721 Md BT" w:eastAsia="Swis721 Md BT"/>
                <w:sz w:val="18"/>
                <w:szCs w:val="18"/>
              </w:rPr>
            </w:pPr>
            <w:r>
              <w:rPr>
                <w:rFonts w:ascii="Swis721 Md BT"/>
                <w:color w:val="231F20"/>
                <w:sz w:val="18"/>
              </w:rPr>
              <w:t>1,510,037</w:t>
            </w:r>
            <w:r>
              <w:rPr>
                <w:rFonts w:ascii="Swis721 Md BT"/>
                <w:sz w:val="18"/>
              </w:rPr>
            </w:r>
          </w:p>
        </w:tc>
        <w:tc>
          <w:tcPr>
            <w:tcW w:w="1222"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326" w:right="0"/>
              <w:jc w:val="left"/>
              <w:rPr>
                <w:rFonts w:ascii="Swis721 Md BT" w:hAnsi="Swis721 Md BT" w:cs="Swis721 Md BT" w:eastAsia="Swis721 Md BT"/>
                <w:sz w:val="18"/>
                <w:szCs w:val="18"/>
              </w:rPr>
            </w:pPr>
            <w:r>
              <w:rPr>
                <w:rFonts w:ascii="Swis721 Md BT"/>
                <w:color w:val="231F20"/>
                <w:sz w:val="18"/>
              </w:rPr>
              <w:t>1,124,000</w:t>
            </w:r>
            <w:r>
              <w:rPr>
                <w:rFonts w:ascii="Swis721 Md BT"/>
                <w:sz w:val="18"/>
              </w:rPr>
            </w:r>
          </w:p>
        </w:tc>
      </w:tr>
      <w:tr>
        <w:trPr>
          <w:trHeight w:val="772" w:hRule="exact"/>
        </w:trPr>
        <w:tc>
          <w:tcPr>
            <w:tcW w:w="3547" w:type="dxa"/>
            <w:tcBorders>
              <w:top w:val="single" w:sz="2" w:space="0" w:color="848B91"/>
              <w:left w:val="nil" w:sz="6" w:space="0" w:color="auto"/>
              <w:bottom w:val="single" w:sz="2" w:space="0" w:color="848B91"/>
              <w:right w:val="nil" w:sz="6" w:space="0" w:color="auto"/>
            </w:tcBorders>
          </w:tcPr>
          <w:p>
            <w:pPr>
              <w:pStyle w:val="TableParagraph"/>
              <w:spacing w:line="240" w:lineRule="auto" w:before="1"/>
              <w:ind w:right="0"/>
              <w:jc w:val="left"/>
              <w:rPr>
                <w:rFonts w:ascii="Swis721 Md BT" w:hAnsi="Swis721 Md BT" w:cs="Swis721 Md BT" w:eastAsia="Swis721 Md BT"/>
                <w:sz w:val="14"/>
                <w:szCs w:val="14"/>
              </w:rPr>
            </w:pPr>
          </w:p>
          <w:p>
            <w:pPr>
              <w:pStyle w:val="TableParagraph"/>
              <w:spacing w:line="240" w:lineRule="auto"/>
              <w:ind w:left="-1" w:right="0"/>
              <w:jc w:val="left"/>
              <w:rPr>
                <w:rFonts w:ascii="Swis721 Md BT" w:hAnsi="Swis721 Md BT" w:cs="Swis721 Md BT" w:eastAsia="Swis721 Md BT"/>
                <w:sz w:val="19"/>
                <w:szCs w:val="19"/>
              </w:rPr>
            </w:pPr>
            <w:r>
              <w:rPr>
                <w:rFonts w:ascii="Swis721 Md BT"/>
                <w:color w:val="303B41"/>
                <w:sz w:val="19"/>
              </w:rPr>
              <w:t>Non-current</w:t>
            </w:r>
            <w:r>
              <w:rPr>
                <w:rFonts w:ascii="Swis721 Md BT"/>
                <w:sz w:val="19"/>
              </w:rPr>
            </w:r>
          </w:p>
          <w:p>
            <w:pPr>
              <w:pStyle w:val="TableParagraph"/>
              <w:spacing w:line="240" w:lineRule="auto" w:before="111"/>
              <w:ind w:left="-1" w:right="0"/>
              <w:jc w:val="left"/>
              <w:rPr>
                <w:rFonts w:ascii="Swis721 Lt BT" w:hAnsi="Swis721 Lt BT" w:cs="Swis721 Lt BT" w:eastAsia="Swis721 Lt BT"/>
                <w:sz w:val="18"/>
                <w:szCs w:val="18"/>
              </w:rPr>
            </w:pPr>
            <w:r>
              <w:rPr>
                <w:rFonts w:ascii="Swis721 Lt BT"/>
                <w:color w:val="231F20"/>
                <w:sz w:val="18"/>
              </w:rPr>
              <w:t>Employee provisions</w:t>
            </w:r>
            <w:r>
              <w:rPr>
                <w:rFonts w:ascii="Swis721 Lt BT"/>
                <w:sz w:val="18"/>
              </w:rPr>
            </w:r>
          </w:p>
        </w:tc>
        <w:tc>
          <w:tcPr>
            <w:tcW w:w="802" w:type="dxa"/>
            <w:tcBorders>
              <w:top w:val="single" w:sz="2" w:space="0" w:color="848B91"/>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4"/>
              <w:ind w:right="0"/>
              <w:jc w:val="left"/>
              <w:rPr>
                <w:rFonts w:ascii="Swis721 Md BT" w:hAnsi="Swis721 Md BT" w:cs="Swis721 Md BT" w:eastAsia="Swis721 Md BT"/>
                <w:sz w:val="24"/>
                <w:szCs w:val="24"/>
              </w:rPr>
            </w:pPr>
          </w:p>
          <w:p>
            <w:pPr>
              <w:pStyle w:val="TableParagraph"/>
              <w:spacing w:line="240" w:lineRule="auto"/>
              <w:ind w:left="517" w:right="0"/>
              <w:jc w:val="left"/>
              <w:rPr>
                <w:rFonts w:ascii="Swis721 Lt BT" w:hAnsi="Swis721 Lt BT" w:cs="Swis721 Lt BT" w:eastAsia="Swis721 Lt BT"/>
                <w:sz w:val="18"/>
                <w:szCs w:val="18"/>
              </w:rPr>
            </w:pPr>
            <w:r>
              <w:rPr>
                <w:rFonts w:ascii="Swis721 Lt BT"/>
                <w:color w:val="231F20"/>
                <w:sz w:val="18"/>
              </w:rPr>
              <w:t>6</w:t>
            </w:r>
            <w:r>
              <w:rPr>
                <w:rFonts w:ascii="Swis721 Lt BT"/>
                <w:sz w:val="18"/>
              </w:rPr>
            </w:r>
          </w:p>
        </w:tc>
        <w:tc>
          <w:tcPr>
            <w:tcW w:w="1277" w:type="dxa"/>
            <w:tcBorders>
              <w:top w:val="single" w:sz="2" w:space="0" w:color="848B91"/>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4"/>
              <w:ind w:right="0"/>
              <w:jc w:val="left"/>
              <w:rPr>
                <w:rFonts w:ascii="Swis721 Md BT" w:hAnsi="Swis721 Md BT" w:cs="Swis721 Md BT" w:eastAsia="Swis721 Md BT"/>
                <w:sz w:val="24"/>
                <w:szCs w:val="24"/>
              </w:rPr>
            </w:pPr>
          </w:p>
          <w:p>
            <w:pPr>
              <w:pStyle w:val="TableParagraph"/>
              <w:spacing w:line="240" w:lineRule="auto"/>
              <w:ind w:left="448" w:right="0"/>
              <w:jc w:val="left"/>
              <w:rPr>
                <w:rFonts w:ascii="Swis721 Lt BT" w:hAnsi="Swis721 Lt BT" w:cs="Swis721 Lt BT" w:eastAsia="Swis721 Lt BT"/>
                <w:sz w:val="18"/>
                <w:szCs w:val="18"/>
              </w:rPr>
            </w:pPr>
            <w:r>
              <w:rPr>
                <w:rFonts w:ascii="Swis721 Lt BT"/>
                <w:color w:val="231F20"/>
                <w:sz w:val="18"/>
              </w:rPr>
              <w:t>154,109</w:t>
            </w:r>
            <w:r>
              <w:rPr>
                <w:rFonts w:ascii="Swis721 Lt BT"/>
                <w:sz w:val="18"/>
              </w:rPr>
            </w:r>
          </w:p>
        </w:tc>
        <w:tc>
          <w:tcPr>
            <w:tcW w:w="1146" w:type="dxa"/>
            <w:tcBorders>
              <w:top w:val="single" w:sz="2" w:space="0" w:color="848B91"/>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4"/>
              <w:ind w:right="0"/>
              <w:jc w:val="left"/>
              <w:rPr>
                <w:rFonts w:ascii="Swis721 Md BT" w:hAnsi="Swis721 Md BT" w:cs="Swis721 Md BT" w:eastAsia="Swis721 Md BT"/>
                <w:sz w:val="24"/>
                <w:szCs w:val="24"/>
              </w:rPr>
            </w:pPr>
          </w:p>
          <w:p>
            <w:pPr>
              <w:pStyle w:val="TableParagraph"/>
              <w:spacing w:line="240" w:lineRule="auto"/>
              <w:ind w:left="412" w:right="0"/>
              <w:jc w:val="left"/>
              <w:rPr>
                <w:rFonts w:ascii="Swis721 Lt BT" w:hAnsi="Swis721 Lt BT" w:cs="Swis721 Lt BT" w:eastAsia="Swis721 Lt BT"/>
                <w:sz w:val="18"/>
                <w:szCs w:val="18"/>
              </w:rPr>
            </w:pPr>
            <w:r>
              <w:rPr>
                <w:rFonts w:ascii="Swis721 Lt BT"/>
                <w:color w:val="231F20"/>
                <w:sz w:val="18"/>
              </w:rPr>
              <w:t>149,446</w:t>
            </w:r>
            <w:r>
              <w:rPr>
                <w:rFonts w:ascii="Swis721 Lt BT"/>
                <w:sz w:val="18"/>
              </w:rPr>
            </w:r>
          </w:p>
        </w:tc>
        <w:tc>
          <w:tcPr>
            <w:tcW w:w="1222" w:type="dxa"/>
            <w:tcBorders>
              <w:top w:val="single" w:sz="2" w:space="0" w:color="848B91"/>
              <w:left w:val="nil" w:sz="6" w:space="0" w:color="auto"/>
              <w:bottom w:val="single" w:sz="2"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4"/>
              <w:ind w:right="0"/>
              <w:jc w:val="left"/>
              <w:rPr>
                <w:rFonts w:ascii="Swis721 Md BT" w:hAnsi="Swis721 Md BT" w:cs="Swis721 Md BT" w:eastAsia="Swis721 Md BT"/>
                <w:sz w:val="24"/>
                <w:szCs w:val="24"/>
              </w:rPr>
            </w:pPr>
          </w:p>
          <w:p>
            <w:pPr>
              <w:pStyle w:val="TableParagraph"/>
              <w:spacing w:line="240" w:lineRule="auto"/>
              <w:ind w:left="505" w:right="0"/>
              <w:jc w:val="left"/>
              <w:rPr>
                <w:rFonts w:ascii="Swis721 Lt BT" w:hAnsi="Swis721 Lt BT" w:cs="Swis721 Lt BT" w:eastAsia="Swis721 Lt BT"/>
                <w:sz w:val="18"/>
                <w:szCs w:val="18"/>
              </w:rPr>
            </w:pPr>
            <w:r>
              <w:rPr>
                <w:rFonts w:ascii="Swis721 Lt BT"/>
                <w:color w:val="231F20"/>
                <w:sz w:val="18"/>
              </w:rPr>
              <w:t>178,000</w:t>
            </w:r>
            <w:r>
              <w:rPr>
                <w:rFonts w:ascii="Swis721 Lt BT"/>
                <w:sz w:val="18"/>
              </w:rPr>
            </w:r>
          </w:p>
        </w:tc>
      </w:tr>
      <w:tr>
        <w:trPr>
          <w:trHeight w:val="341" w:hRule="exact"/>
        </w:trPr>
        <w:tc>
          <w:tcPr>
            <w:tcW w:w="3547"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Other provisions</w:t>
            </w:r>
            <w:r>
              <w:rPr>
                <w:rFonts w:ascii="Swis721 Lt BT"/>
                <w:sz w:val="18"/>
              </w:rPr>
            </w:r>
          </w:p>
        </w:tc>
        <w:tc>
          <w:tcPr>
            <w:tcW w:w="802"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17" w:right="0"/>
              <w:jc w:val="left"/>
              <w:rPr>
                <w:rFonts w:ascii="Swis721 Lt BT" w:hAnsi="Swis721 Lt BT" w:cs="Swis721 Lt BT" w:eastAsia="Swis721 Lt BT"/>
                <w:sz w:val="18"/>
                <w:szCs w:val="18"/>
              </w:rPr>
            </w:pPr>
            <w:r>
              <w:rPr>
                <w:rFonts w:ascii="Swis721 Lt BT"/>
                <w:color w:val="231F20"/>
                <w:sz w:val="18"/>
              </w:rPr>
              <w:t>6</w:t>
            </w:r>
            <w:r>
              <w:rPr>
                <w:rFonts w:ascii="Swis721 Lt BT"/>
                <w:sz w:val="18"/>
              </w:rPr>
            </w:r>
          </w:p>
        </w:tc>
        <w:tc>
          <w:tcPr>
            <w:tcW w:w="1277"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448" w:right="0"/>
              <w:jc w:val="left"/>
              <w:rPr>
                <w:rFonts w:ascii="Swis721 Lt BT" w:hAnsi="Swis721 Lt BT" w:cs="Swis721 Lt BT" w:eastAsia="Swis721 Lt BT"/>
                <w:sz w:val="18"/>
                <w:szCs w:val="18"/>
              </w:rPr>
            </w:pPr>
            <w:r>
              <w:rPr>
                <w:rFonts w:ascii="Swis721 Lt BT"/>
                <w:color w:val="231F20"/>
                <w:sz w:val="18"/>
              </w:rPr>
              <w:t>367,760</w:t>
            </w:r>
            <w:r>
              <w:rPr>
                <w:rFonts w:ascii="Swis721 Lt BT"/>
                <w:sz w:val="18"/>
              </w:rPr>
            </w:r>
          </w:p>
        </w:tc>
        <w:tc>
          <w:tcPr>
            <w:tcW w:w="1146"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412" w:right="0"/>
              <w:jc w:val="left"/>
              <w:rPr>
                <w:rFonts w:ascii="Swis721 Lt BT" w:hAnsi="Swis721 Lt BT" w:cs="Swis721 Lt BT" w:eastAsia="Swis721 Lt BT"/>
                <w:sz w:val="18"/>
                <w:szCs w:val="18"/>
              </w:rPr>
            </w:pPr>
            <w:r>
              <w:rPr>
                <w:rFonts w:ascii="Swis721 Lt BT"/>
                <w:color w:val="231F20"/>
                <w:sz w:val="18"/>
              </w:rPr>
              <w:t>344,346</w:t>
            </w:r>
            <w:r>
              <w:rPr>
                <w:rFonts w:ascii="Swis721 Lt BT"/>
                <w:sz w:val="18"/>
              </w:rPr>
            </w:r>
          </w:p>
        </w:tc>
        <w:tc>
          <w:tcPr>
            <w:tcW w:w="1222"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05" w:right="0"/>
              <w:jc w:val="left"/>
              <w:rPr>
                <w:rFonts w:ascii="Swis721 Lt BT" w:hAnsi="Swis721 Lt BT" w:cs="Swis721 Lt BT" w:eastAsia="Swis721 Lt BT"/>
                <w:sz w:val="18"/>
                <w:szCs w:val="18"/>
              </w:rPr>
            </w:pPr>
            <w:r>
              <w:rPr>
                <w:rFonts w:ascii="Swis721 Lt BT"/>
                <w:color w:val="231F20"/>
                <w:sz w:val="18"/>
              </w:rPr>
              <w:t>331,000</w:t>
            </w:r>
            <w:r>
              <w:rPr>
                <w:rFonts w:ascii="Swis721 Lt BT"/>
                <w:sz w:val="18"/>
              </w:rPr>
            </w:r>
          </w:p>
        </w:tc>
      </w:tr>
      <w:tr>
        <w:trPr>
          <w:trHeight w:val="349" w:hRule="exact"/>
        </w:trPr>
        <w:tc>
          <w:tcPr>
            <w:tcW w:w="3547"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z w:val="18"/>
              </w:rPr>
              <w:t>Non-current liabilities</w:t>
            </w:r>
            <w:r>
              <w:rPr>
                <w:rFonts w:ascii="Swis721 Md BT"/>
                <w:sz w:val="18"/>
              </w:rPr>
            </w:r>
          </w:p>
        </w:tc>
        <w:tc>
          <w:tcPr>
            <w:tcW w:w="802" w:type="dxa"/>
            <w:tcBorders>
              <w:top w:val="single" w:sz="8" w:space="0" w:color="848B91"/>
              <w:left w:val="nil" w:sz="6" w:space="0" w:color="auto"/>
              <w:bottom w:val="single" w:sz="8" w:space="0" w:color="848B91"/>
              <w:right w:val="nil" w:sz="6" w:space="0" w:color="auto"/>
            </w:tcBorders>
          </w:tcPr>
          <w:p>
            <w:pPr/>
          </w:p>
        </w:tc>
        <w:tc>
          <w:tcPr>
            <w:tcW w:w="1277"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419" w:right="0"/>
              <w:jc w:val="left"/>
              <w:rPr>
                <w:rFonts w:ascii="Swis721 Md BT" w:hAnsi="Swis721 Md BT" w:cs="Swis721 Md BT" w:eastAsia="Swis721 Md BT"/>
                <w:sz w:val="18"/>
                <w:szCs w:val="18"/>
              </w:rPr>
            </w:pPr>
            <w:r>
              <w:rPr>
                <w:rFonts w:ascii="Swis721 Md BT"/>
                <w:color w:val="231F20"/>
                <w:sz w:val="18"/>
              </w:rPr>
              <w:t>521,869</w:t>
            </w:r>
            <w:r>
              <w:rPr>
                <w:rFonts w:ascii="Swis721 Md BT"/>
                <w:sz w:val="18"/>
              </w:rPr>
            </w:r>
          </w:p>
        </w:tc>
        <w:tc>
          <w:tcPr>
            <w:tcW w:w="114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82" w:right="0"/>
              <w:jc w:val="left"/>
              <w:rPr>
                <w:rFonts w:ascii="Swis721 Md BT" w:hAnsi="Swis721 Md BT" w:cs="Swis721 Md BT" w:eastAsia="Swis721 Md BT"/>
                <w:sz w:val="18"/>
                <w:szCs w:val="18"/>
              </w:rPr>
            </w:pPr>
            <w:r>
              <w:rPr>
                <w:rFonts w:ascii="Swis721 Md BT"/>
                <w:color w:val="231F20"/>
                <w:sz w:val="18"/>
              </w:rPr>
              <w:t>493,792</w:t>
            </w:r>
            <w:r>
              <w:rPr>
                <w:rFonts w:ascii="Swis721 Md BT"/>
                <w:sz w:val="18"/>
              </w:rPr>
            </w:r>
          </w:p>
        </w:tc>
        <w:tc>
          <w:tcPr>
            <w:tcW w:w="122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476" w:right="0"/>
              <w:jc w:val="left"/>
              <w:rPr>
                <w:rFonts w:ascii="Swis721 Md BT" w:hAnsi="Swis721 Md BT" w:cs="Swis721 Md BT" w:eastAsia="Swis721 Md BT"/>
                <w:sz w:val="18"/>
                <w:szCs w:val="18"/>
              </w:rPr>
            </w:pPr>
            <w:r>
              <w:rPr>
                <w:rFonts w:ascii="Swis721 Md BT"/>
                <w:color w:val="231F20"/>
                <w:sz w:val="18"/>
              </w:rPr>
              <w:t>509,000</w:t>
            </w:r>
            <w:r>
              <w:rPr>
                <w:rFonts w:ascii="Swis721 Md BT"/>
                <w:sz w:val="18"/>
              </w:rPr>
            </w:r>
          </w:p>
        </w:tc>
      </w:tr>
      <w:tr>
        <w:trPr>
          <w:trHeight w:val="349" w:hRule="exact"/>
        </w:trPr>
        <w:tc>
          <w:tcPr>
            <w:tcW w:w="3547"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pacing w:val="-2"/>
                <w:sz w:val="18"/>
              </w:rPr>
              <w:t>TOTAL</w:t>
            </w:r>
            <w:r>
              <w:rPr>
                <w:rFonts w:ascii="Swis721 Md BT"/>
                <w:color w:val="231F20"/>
                <w:sz w:val="18"/>
              </w:rPr>
              <w:t> LIABILITIES</w:t>
            </w:r>
            <w:r>
              <w:rPr>
                <w:rFonts w:ascii="Swis721 Md BT"/>
                <w:sz w:val="18"/>
              </w:rPr>
            </w:r>
          </w:p>
        </w:tc>
        <w:tc>
          <w:tcPr>
            <w:tcW w:w="802" w:type="dxa"/>
            <w:tcBorders>
              <w:top w:val="single" w:sz="8" w:space="0" w:color="848B91"/>
              <w:left w:val="nil" w:sz="6" w:space="0" w:color="auto"/>
              <w:bottom w:val="single" w:sz="8" w:space="0" w:color="848B91"/>
              <w:right w:val="nil" w:sz="6" w:space="0" w:color="auto"/>
            </w:tcBorders>
          </w:tcPr>
          <w:p>
            <w:pPr/>
          </w:p>
        </w:tc>
        <w:tc>
          <w:tcPr>
            <w:tcW w:w="1277"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69" w:right="0"/>
              <w:jc w:val="left"/>
              <w:rPr>
                <w:rFonts w:ascii="Swis721 Md BT" w:hAnsi="Swis721 Md BT" w:cs="Swis721 Md BT" w:eastAsia="Swis721 Md BT"/>
                <w:sz w:val="18"/>
                <w:szCs w:val="18"/>
              </w:rPr>
            </w:pPr>
            <w:r>
              <w:rPr>
                <w:rFonts w:ascii="Swis721 Md BT"/>
                <w:color w:val="231F20"/>
                <w:sz w:val="18"/>
              </w:rPr>
              <w:t>1,869,594</w:t>
            </w:r>
            <w:r>
              <w:rPr>
                <w:rFonts w:ascii="Swis721 Md BT"/>
                <w:sz w:val="18"/>
              </w:rPr>
            </w:r>
          </w:p>
        </w:tc>
        <w:tc>
          <w:tcPr>
            <w:tcW w:w="114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32" w:right="0"/>
              <w:jc w:val="left"/>
              <w:rPr>
                <w:rFonts w:ascii="Swis721 Md BT" w:hAnsi="Swis721 Md BT" w:cs="Swis721 Md BT" w:eastAsia="Swis721 Md BT"/>
                <w:sz w:val="18"/>
                <w:szCs w:val="18"/>
              </w:rPr>
            </w:pPr>
            <w:r>
              <w:rPr>
                <w:rFonts w:ascii="Swis721 Md BT"/>
                <w:color w:val="231F20"/>
                <w:sz w:val="18"/>
              </w:rPr>
              <w:t>2,003,829</w:t>
            </w:r>
            <w:r>
              <w:rPr>
                <w:rFonts w:ascii="Swis721 Md BT"/>
                <w:sz w:val="18"/>
              </w:rPr>
            </w:r>
          </w:p>
        </w:tc>
        <w:tc>
          <w:tcPr>
            <w:tcW w:w="122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26" w:right="0"/>
              <w:jc w:val="left"/>
              <w:rPr>
                <w:rFonts w:ascii="Swis721 Md BT" w:hAnsi="Swis721 Md BT" w:cs="Swis721 Md BT" w:eastAsia="Swis721 Md BT"/>
                <w:sz w:val="18"/>
                <w:szCs w:val="18"/>
              </w:rPr>
            </w:pPr>
            <w:r>
              <w:rPr>
                <w:rFonts w:ascii="Swis721 Md BT"/>
                <w:color w:val="231F20"/>
                <w:sz w:val="18"/>
              </w:rPr>
              <w:t>1,633,000</w:t>
            </w:r>
            <w:r>
              <w:rPr>
                <w:rFonts w:ascii="Swis721 Md BT"/>
                <w:sz w:val="18"/>
              </w:rPr>
            </w:r>
          </w:p>
        </w:tc>
      </w:tr>
      <w:tr>
        <w:trPr>
          <w:trHeight w:val="349" w:hRule="exact"/>
        </w:trPr>
        <w:tc>
          <w:tcPr>
            <w:tcW w:w="3547"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z w:val="18"/>
              </w:rPr>
              <w:t>NET ASSETS</w:t>
            </w:r>
            <w:r>
              <w:rPr>
                <w:rFonts w:ascii="Swis721 Md BT"/>
                <w:sz w:val="18"/>
              </w:rPr>
            </w:r>
          </w:p>
        </w:tc>
        <w:tc>
          <w:tcPr>
            <w:tcW w:w="802" w:type="dxa"/>
            <w:tcBorders>
              <w:top w:val="single" w:sz="8" w:space="0" w:color="848B91"/>
              <w:left w:val="nil" w:sz="6" w:space="0" w:color="auto"/>
              <w:bottom w:val="single" w:sz="8" w:space="0" w:color="848B91"/>
              <w:right w:val="nil" w:sz="6" w:space="0" w:color="auto"/>
            </w:tcBorders>
          </w:tcPr>
          <w:p>
            <w:pPr/>
          </w:p>
        </w:tc>
        <w:tc>
          <w:tcPr>
            <w:tcW w:w="1277"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68" w:right="0"/>
              <w:jc w:val="left"/>
              <w:rPr>
                <w:rFonts w:ascii="Swis721 Md BT" w:hAnsi="Swis721 Md BT" w:cs="Swis721 Md BT" w:eastAsia="Swis721 Md BT"/>
                <w:sz w:val="18"/>
                <w:szCs w:val="18"/>
              </w:rPr>
            </w:pPr>
            <w:r>
              <w:rPr>
                <w:rFonts w:ascii="Swis721 Md BT"/>
                <w:color w:val="231F20"/>
                <w:sz w:val="18"/>
              </w:rPr>
              <w:t>10,300,593</w:t>
            </w:r>
            <w:r>
              <w:rPr>
                <w:rFonts w:ascii="Swis721 Md BT"/>
                <w:sz w:val="18"/>
              </w:rPr>
            </w:r>
          </w:p>
        </w:tc>
        <w:tc>
          <w:tcPr>
            <w:tcW w:w="114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32" w:right="0"/>
              <w:jc w:val="left"/>
              <w:rPr>
                <w:rFonts w:ascii="Swis721 Md BT" w:hAnsi="Swis721 Md BT" w:cs="Swis721 Md BT" w:eastAsia="Swis721 Md BT"/>
                <w:sz w:val="18"/>
                <w:szCs w:val="18"/>
              </w:rPr>
            </w:pPr>
            <w:r>
              <w:rPr>
                <w:rFonts w:ascii="Swis721 Md BT"/>
                <w:color w:val="231F20"/>
                <w:sz w:val="18"/>
              </w:rPr>
              <w:t>6,300,000</w:t>
            </w:r>
            <w:r>
              <w:rPr>
                <w:rFonts w:ascii="Swis721 Md BT"/>
                <w:sz w:val="18"/>
              </w:rPr>
            </w:r>
          </w:p>
        </w:tc>
        <w:tc>
          <w:tcPr>
            <w:tcW w:w="122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26" w:right="0"/>
              <w:jc w:val="left"/>
              <w:rPr>
                <w:rFonts w:ascii="Swis721 Md BT" w:hAnsi="Swis721 Md BT" w:cs="Swis721 Md BT" w:eastAsia="Swis721 Md BT"/>
                <w:sz w:val="18"/>
                <w:szCs w:val="18"/>
              </w:rPr>
            </w:pPr>
            <w:r>
              <w:rPr>
                <w:rFonts w:ascii="Swis721 Md BT"/>
                <w:color w:val="231F20"/>
                <w:sz w:val="18"/>
              </w:rPr>
              <w:t>4,695,000</w:t>
            </w:r>
            <w:r>
              <w:rPr>
                <w:rFonts w:ascii="Swis721 Md BT"/>
                <w:sz w:val="18"/>
              </w:rPr>
            </w:r>
          </w:p>
        </w:tc>
      </w:tr>
      <w:tr>
        <w:trPr>
          <w:trHeight w:val="797" w:hRule="exact"/>
        </w:trPr>
        <w:tc>
          <w:tcPr>
            <w:tcW w:w="3547" w:type="dxa"/>
            <w:tcBorders>
              <w:top w:val="single" w:sz="8" w:space="0" w:color="848B91"/>
              <w:left w:val="nil" w:sz="6" w:space="0" w:color="auto"/>
              <w:bottom w:val="single" w:sz="8" w:space="0" w:color="848B91"/>
              <w:right w:val="nil" w:sz="6" w:space="0" w:color="auto"/>
            </w:tcBorders>
          </w:tcPr>
          <w:p>
            <w:pPr>
              <w:pStyle w:val="TableParagraph"/>
              <w:spacing w:line="240" w:lineRule="auto" w:before="172"/>
              <w:ind w:left="-1" w:right="0"/>
              <w:jc w:val="left"/>
              <w:rPr>
                <w:rFonts w:ascii="Swis721 BT" w:hAnsi="Swis721 BT" w:cs="Swis721 BT" w:eastAsia="Swis721 BT"/>
                <w:sz w:val="20"/>
                <w:szCs w:val="20"/>
              </w:rPr>
            </w:pPr>
            <w:r>
              <w:rPr>
                <w:rFonts w:ascii="Swis721 BT"/>
                <w:b/>
                <w:color w:val="00757A"/>
                <w:sz w:val="20"/>
              </w:rPr>
              <w:t>EQUITY</w:t>
            </w:r>
            <w:r>
              <w:rPr>
                <w:rFonts w:ascii="Swis721 BT"/>
                <w:sz w:val="20"/>
              </w:rPr>
            </w:r>
          </w:p>
          <w:p>
            <w:pPr>
              <w:pStyle w:val="TableParagraph"/>
              <w:spacing w:line="240" w:lineRule="auto" w:before="109"/>
              <w:ind w:left="-1" w:right="0"/>
              <w:jc w:val="left"/>
              <w:rPr>
                <w:rFonts w:ascii="Swis721 Lt BT" w:hAnsi="Swis721 Lt BT" w:cs="Swis721 Lt BT" w:eastAsia="Swis721 Lt BT"/>
                <w:sz w:val="18"/>
                <w:szCs w:val="18"/>
              </w:rPr>
            </w:pPr>
            <w:r>
              <w:rPr>
                <w:rFonts w:ascii="Swis721 Lt BT"/>
                <w:color w:val="231F20"/>
                <w:sz w:val="18"/>
              </w:rPr>
              <w:t>Retained surplus</w:t>
            </w:r>
            <w:r>
              <w:rPr>
                <w:rFonts w:ascii="Swis721 Lt BT"/>
                <w:sz w:val="18"/>
              </w:rPr>
            </w:r>
          </w:p>
        </w:tc>
        <w:tc>
          <w:tcPr>
            <w:tcW w:w="802" w:type="dxa"/>
            <w:tcBorders>
              <w:top w:val="single" w:sz="8" w:space="0" w:color="848B91"/>
              <w:left w:val="nil" w:sz="6" w:space="0" w:color="auto"/>
              <w:bottom w:val="single" w:sz="8" w:space="0" w:color="848B91"/>
              <w:right w:val="nil" w:sz="6" w:space="0" w:color="auto"/>
            </w:tcBorders>
          </w:tcPr>
          <w:p>
            <w:pPr/>
          </w:p>
        </w:tc>
        <w:tc>
          <w:tcPr>
            <w:tcW w:w="1277" w:type="dxa"/>
            <w:tcBorders>
              <w:top w:val="single" w:sz="8" w:space="0" w:color="848B91"/>
              <w:left w:val="nil" w:sz="6" w:space="0" w:color="auto"/>
              <w:bottom w:val="single" w:sz="8"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5"/>
              <w:ind w:right="0"/>
              <w:jc w:val="left"/>
              <w:rPr>
                <w:rFonts w:ascii="Swis721 Md BT" w:hAnsi="Swis721 Md BT" w:cs="Swis721 Md BT" w:eastAsia="Swis721 Md BT"/>
                <w:sz w:val="25"/>
                <w:szCs w:val="25"/>
              </w:rPr>
            </w:pPr>
          </w:p>
          <w:p>
            <w:pPr>
              <w:pStyle w:val="TableParagraph"/>
              <w:spacing w:line="240" w:lineRule="auto"/>
              <w:ind w:left="209" w:right="0"/>
              <w:jc w:val="left"/>
              <w:rPr>
                <w:rFonts w:ascii="Swis721 Lt BT" w:hAnsi="Swis721 Lt BT" w:cs="Swis721 Lt BT" w:eastAsia="Swis721 Lt BT"/>
                <w:sz w:val="18"/>
                <w:szCs w:val="18"/>
              </w:rPr>
            </w:pPr>
            <w:r>
              <w:rPr>
                <w:rFonts w:ascii="Swis721 Lt BT"/>
                <w:color w:val="231F20"/>
                <w:sz w:val="18"/>
              </w:rPr>
              <w:t>10,300,593</w:t>
            </w:r>
            <w:r>
              <w:rPr>
                <w:rFonts w:ascii="Swis721 Lt BT"/>
                <w:sz w:val="18"/>
              </w:rPr>
            </w:r>
          </w:p>
        </w:tc>
        <w:tc>
          <w:tcPr>
            <w:tcW w:w="1146" w:type="dxa"/>
            <w:tcBorders>
              <w:top w:val="single" w:sz="8" w:space="0" w:color="848B91"/>
              <w:left w:val="nil" w:sz="6" w:space="0" w:color="auto"/>
              <w:bottom w:val="single" w:sz="8"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5"/>
              <w:ind w:right="0"/>
              <w:jc w:val="left"/>
              <w:rPr>
                <w:rFonts w:ascii="Swis721 Md BT" w:hAnsi="Swis721 Md BT" w:cs="Swis721 Md BT" w:eastAsia="Swis721 Md BT"/>
                <w:sz w:val="25"/>
                <w:szCs w:val="25"/>
              </w:rPr>
            </w:pPr>
          </w:p>
          <w:p>
            <w:pPr>
              <w:pStyle w:val="TableParagraph"/>
              <w:spacing w:line="240" w:lineRule="auto"/>
              <w:ind w:left="268" w:right="0"/>
              <w:jc w:val="left"/>
              <w:rPr>
                <w:rFonts w:ascii="Swis721 Lt BT" w:hAnsi="Swis721 Lt BT" w:cs="Swis721 Lt BT" w:eastAsia="Swis721 Lt BT"/>
                <w:sz w:val="18"/>
                <w:szCs w:val="18"/>
              </w:rPr>
            </w:pPr>
            <w:r>
              <w:rPr>
                <w:rFonts w:ascii="Swis721 Lt BT"/>
                <w:color w:val="231F20"/>
                <w:sz w:val="18"/>
              </w:rPr>
              <w:t>6,300,000</w:t>
            </w:r>
            <w:r>
              <w:rPr>
                <w:rFonts w:ascii="Swis721 Lt BT"/>
                <w:sz w:val="18"/>
              </w:rPr>
            </w:r>
          </w:p>
        </w:tc>
        <w:tc>
          <w:tcPr>
            <w:tcW w:w="1222" w:type="dxa"/>
            <w:tcBorders>
              <w:top w:val="single" w:sz="8" w:space="0" w:color="848B91"/>
              <w:left w:val="nil" w:sz="6" w:space="0" w:color="auto"/>
              <w:bottom w:val="single" w:sz="8" w:space="0" w:color="848B91"/>
              <w:right w:val="nil" w:sz="6" w:space="0" w:color="auto"/>
            </w:tcBorders>
          </w:tcPr>
          <w:p>
            <w:pPr>
              <w:pStyle w:val="TableParagraph"/>
              <w:spacing w:line="240" w:lineRule="auto"/>
              <w:ind w:right="0"/>
              <w:jc w:val="left"/>
              <w:rPr>
                <w:rFonts w:ascii="Swis721 Md BT" w:hAnsi="Swis721 Md BT" w:cs="Swis721 Md BT" w:eastAsia="Swis721 Md BT"/>
                <w:sz w:val="18"/>
                <w:szCs w:val="18"/>
              </w:rPr>
            </w:pPr>
          </w:p>
          <w:p>
            <w:pPr>
              <w:pStyle w:val="TableParagraph"/>
              <w:spacing w:line="240" w:lineRule="auto" w:before="5"/>
              <w:ind w:right="0"/>
              <w:jc w:val="left"/>
              <w:rPr>
                <w:rFonts w:ascii="Swis721 Md BT" w:hAnsi="Swis721 Md BT" w:cs="Swis721 Md BT" w:eastAsia="Swis721 Md BT"/>
                <w:sz w:val="25"/>
                <w:szCs w:val="25"/>
              </w:rPr>
            </w:pPr>
          </w:p>
          <w:p>
            <w:pPr>
              <w:pStyle w:val="TableParagraph"/>
              <w:spacing w:line="240" w:lineRule="auto"/>
              <w:ind w:left="362" w:right="0"/>
              <w:jc w:val="left"/>
              <w:rPr>
                <w:rFonts w:ascii="Swis721 Lt BT" w:hAnsi="Swis721 Lt BT" w:cs="Swis721 Lt BT" w:eastAsia="Swis721 Lt BT"/>
                <w:sz w:val="18"/>
                <w:szCs w:val="18"/>
              </w:rPr>
            </w:pPr>
            <w:r>
              <w:rPr>
                <w:rFonts w:ascii="Swis721 Lt BT"/>
                <w:color w:val="231F20"/>
                <w:sz w:val="18"/>
              </w:rPr>
              <w:t>4,695,000</w:t>
            </w:r>
            <w:r>
              <w:rPr>
                <w:rFonts w:ascii="Swis721 Lt BT"/>
                <w:sz w:val="18"/>
              </w:rPr>
            </w:r>
          </w:p>
        </w:tc>
      </w:tr>
      <w:tr>
        <w:trPr>
          <w:trHeight w:val="349" w:hRule="exact"/>
        </w:trPr>
        <w:tc>
          <w:tcPr>
            <w:tcW w:w="3547"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pacing w:val="-2"/>
                <w:sz w:val="18"/>
              </w:rPr>
              <w:t>TOTAL</w:t>
            </w:r>
            <w:r>
              <w:rPr>
                <w:rFonts w:ascii="Swis721 Md BT"/>
                <w:color w:val="231F20"/>
                <w:sz w:val="18"/>
              </w:rPr>
              <w:t> EQUITY</w:t>
            </w:r>
            <w:r>
              <w:rPr>
                <w:rFonts w:ascii="Swis721 Md BT"/>
                <w:sz w:val="18"/>
              </w:rPr>
            </w:r>
          </w:p>
        </w:tc>
        <w:tc>
          <w:tcPr>
            <w:tcW w:w="802" w:type="dxa"/>
            <w:tcBorders>
              <w:top w:val="single" w:sz="8" w:space="0" w:color="848B91"/>
              <w:left w:val="nil" w:sz="6" w:space="0" w:color="auto"/>
              <w:bottom w:val="single" w:sz="8" w:space="0" w:color="848B91"/>
              <w:right w:val="nil" w:sz="6" w:space="0" w:color="auto"/>
            </w:tcBorders>
          </w:tcPr>
          <w:p>
            <w:pPr/>
          </w:p>
        </w:tc>
        <w:tc>
          <w:tcPr>
            <w:tcW w:w="1277"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68" w:right="0"/>
              <w:jc w:val="left"/>
              <w:rPr>
                <w:rFonts w:ascii="Swis721 Md BT" w:hAnsi="Swis721 Md BT" w:cs="Swis721 Md BT" w:eastAsia="Swis721 Md BT"/>
                <w:sz w:val="18"/>
                <w:szCs w:val="18"/>
              </w:rPr>
            </w:pPr>
            <w:r>
              <w:rPr>
                <w:rFonts w:ascii="Swis721 Md BT"/>
                <w:color w:val="231F20"/>
                <w:sz w:val="18"/>
              </w:rPr>
              <w:t>10,300,593</w:t>
            </w:r>
            <w:r>
              <w:rPr>
                <w:rFonts w:ascii="Swis721 Md BT"/>
                <w:sz w:val="18"/>
              </w:rPr>
            </w:r>
          </w:p>
        </w:tc>
        <w:tc>
          <w:tcPr>
            <w:tcW w:w="114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32" w:right="0"/>
              <w:jc w:val="left"/>
              <w:rPr>
                <w:rFonts w:ascii="Swis721 Md BT" w:hAnsi="Swis721 Md BT" w:cs="Swis721 Md BT" w:eastAsia="Swis721 Md BT"/>
                <w:sz w:val="18"/>
                <w:szCs w:val="18"/>
              </w:rPr>
            </w:pPr>
            <w:r>
              <w:rPr>
                <w:rFonts w:ascii="Swis721 Md BT"/>
                <w:color w:val="231F20"/>
                <w:sz w:val="18"/>
              </w:rPr>
              <w:t>6,300,000</w:t>
            </w:r>
            <w:r>
              <w:rPr>
                <w:rFonts w:ascii="Swis721 Md BT"/>
                <w:sz w:val="18"/>
              </w:rPr>
            </w:r>
          </w:p>
        </w:tc>
        <w:tc>
          <w:tcPr>
            <w:tcW w:w="122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26" w:right="0"/>
              <w:jc w:val="left"/>
              <w:rPr>
                <w:rFonts w:ascii="Swis721 Md BT" w:hAnsi="Swis721 Md BT" w:cs="Swis721 Md BT" w:eastAsia="Swis721 Md BT"/>
                <w:sz w:val="18"/>
                <w:szCs w:val="18"/>
              </w:rPr>
            </w:pPr>
            <w:r>
              <w:rPr>
                <w:rFonts w:ascii="Swis721 Md BT"/>
                <w:color w:val="231F20"/>
                <w:sz w:val="18"/>
              </w:rPr>
              <w:t>4,695,000</w:t>
            </w:r>
            <w:r>
              <w:rPr>
                <w:rFonts w:ascii="Swis721 Md BT"/>
                <w:sz w:val="18"/>
              </w:rPr>
            </w:r>
          </w:p>
        </w:tc>
      </w:tr>
    </w:tbl>
    <w:p>
      <w:pPr>
        <w:spacing w:line="311" w:lineRule="auto" w:before="29"/>
        <w:ind w:left="113" w:right="827" w:firstLine="0"/>
        <w:jc w:val="left"/>
        <w:rPr>
          <w:rFonts w:ascii="Swis721 Lt BT" w:hAnsi="Swis721 Lt BT" w:cs="Swis721 Lt BT" w:eastAsia="Swis721 Lt BT"/>
          <w:sz w:val="16"/>
          <w:szCs w:val="16"/>
        </w:rPr>
      </w:pPr>
      <w:r>
        <w:rPr>
          <w:rFonts w:ascii="Swis721 Lt BT"/>
          <w:i/>
          <w:color w:val="231F20"/>
          <w:sz w:val="16"/>
        </w:rPr>
        <w:t>The original budget was reported in the 2018-2019 Portfolio Budget Statements published in May 2018.</w:t>
      </w:r>
      <w:r>
        <w:rPr>
          <w:rFonts w:ascii="Swis721 Lt BT"/>
          <w:i/>
          <w:color w:val="231F20"/>
          <w:spacing w:val="21"/>
          <w:sz w:val="16"/>
        </w:rPr>
        <w:t> </w:t>
      </w:r>
      <w:r>
        <w:rPr>
          <w:rFonts w:ascii="Swis721 Lt BT"/>
          <w:i/>
          <w:color w:val="231F20"/>
          <w:sz w:val="16"/>
        </w:rPr>
        <w:t>This statement should be read in conjunction with the accompanying notes.</w:t>
      </w:r>
      <w:r>
        <w:rPr>
          <w:rFonts w:ascii="Swis721 Lt BT"/>
          <w:sz w:val="16"/>
        </w:rPr>
      </w:r>
    </w:p>
    <w:p>
      <w:pPr>
        <w:spacing w:before="0"/>
        <w:ind w:left="113" w:right="0" w:firstLine="0"/>
        <w:jc w:val="left"/>
        <w:rPr>
          <w:rFonts w:ascii="Swis721 BT" w:hAnsi="Swis721 BT" w:cs="Swis721 BT" w:eastAsia="Swis721 BT"/>
          <w:sz w:val="16"/>
          <w:szCs w:val="16"/>
        </w:rPr>
      </w:pPr>
      <w:r>
        <w:rPr>
          <w:rFonts w:ascii="Swis721 BT"/>
          <w:b/>
          <w:i/>
          <w:color w:val="231F20"/>
          <w:sz w:val="16"/>
        </w:rPr>
        <w:t>Budget </w:t>
      </w:r>
      <w:r>
        <w:rPr>
          <w:rFonts w:ascii="Swis721 BT"/>
          <w:b/>
          <w:i/>
          <w:color w:val="231F20"/>
          <w:spacing w:val="-1"/>
          <w:sz w:val="16"/>
        </w:rPr>
        <w:t>Variance</w:t>
      </w:r>
      <w:r>
        <w:rPr>
          <w:rFonts w:ascii="Swis721 BT"/>
          <w:b/>
          <w:i/>
          <w:color w:val="231F20"/>
          <w:sz w:val="16"/>
        </w:rPr>
        <w:t> Commentary</w:t>
      </w:r>
      <w:r>
        <w:rPr>
          <w:rFonts w:ascii="Swis721 BT"/>
          <w:sz w:val="16"/>
        </w:rPr>
      </w:r>
    </w:p>
    <w:p>
      <w:pPr>
        <w:spacing w:before="0"/>
        <w:ind w:left="113" w:right="0" w:firstLine="0"/>
        <w:jc w:val="left"/>
        <w:rPr>
          <w:rFonts w:ascii="Swis721 Lt BT" w:hAnsi="Swis721 Lt BT" w:cs="Swis721 Lt BT" w:eastAsia="Swis721 Lt BT"/>
          <w:sz w:val="16"/>
          <w:szCs w:val="16"/>
        </w:rPr>
      </w:pPr>
      <w:r>
        <w:rPr>
          <w:rFonts w:ascii="Swis721 Lt BT"/>
          <w:i/>
          <w:color w:val="231F20"/>
          <w:sz w:val="16"/>
        </w:rPr>
        <w:t>Budget variance explanations are outlined in Note 12.</w:t>
      </w:r>
      <w:r>
        <w:rPr>
          <w:rFonts w:ascii="Swis721 Lt BT"/>
          <w:sz w:val="16"/>
        </w:rPr>
      </w:r>
    </w:p>
    <w:p>
      <w:pPr>
        <w:spacing w:after="0"/>
        <w:jc w:val="left"/>
        <w:rPr>
          <w:rFonts w:ascii="Swis721 Lt BT" w:hAnsi="Swis721 Lt BT" w:cs="Swis721 Lt BT" w:eastAsia="Swis721 Lt BT"/>
          <w:sz w:val="16"/>
          <w:szCs w:val="16"/>
        </w:rPr>
        <w:sectPr>
          <w:footerReference w:type="default" r:id="rId91"/>
          <w:footerReference w:type="even" r:id="rId92"/>
          <w:pgSz w:w="9980" w:h="14180"/>
          <w:pgMar w:footer="452" w:header="0" w:top="360" w:bottom="640" w:left="1020" w:right="740"/>
          <w:pgNumType w:start="53"/>
        </w:sectPr>
      </w:pPr>
    </w:p>
    <w:p>
      <w:pPr>
        <w:pStyle w:val="Heading5"/>
        <w:spacing w:line="283" w:lineRule="exact" w:before="42"/>
        <w:ind w:left="170" w:right="0"/>
        <w:jc w:val="left"/>
        <w:rPr>
          <w:b w:val="0"/>
          <w:bCs w:val="0"/>
        </w:rPr>
      </w:pPr>
      <w:r>
        <w:rPr>
          <w:color w:val="005E63"/>
          <w:spacing w:val="-2"/>
        </w:rPr>
        <w:t>STATEMENT</w:t>
      </w:r>
      <w:r>
        <w:rPr>
          <w:color w:val="005E63"/>
        </w:rPr>
        <w:t> OF CHANGES IN EQUITY</w:t>
      </w:r>
      <w:r>
        <w:rPr>
          <w:b w:val="0"/>
        </w:rPr>
      </w:r>
    </w:p>
    <w:p>
      <w:pPr>
        <w:pStyle w:val="Heading8"/>
        <w:spacing w:line="260" w:lineRule="exact" w:before="0"/>
        <w:ind w:left="170" w:right="0"/>
        <w:jc w:val="left"/>
      </w:pPr>
      <w:r>
        <w:rPr>
          <w:color w:val="00757A"/>
          <w:spacing w:val="-2"/>
        </w:rPr>
        <w:t>For</w:t>
      </w:r>
      <w:r>
        <w:rPr>
          <w:color w:val="00757A"/>
        </w:rPr>
        <w:t> the year ended 30 June 2019</w:t>
      </w:r>
      <w:r>
        <w:rPr/>
      </w:r>
    </w:p>
    <w:p>
      <w:pPr>
        <w:spacing w:line="240" w:lineRule="auto" w:before="3"/>
        <w:rPr>
          <w:rFonts w:ascii="Swis721 Md BT" w:hAnsi="Swis721 Md BT" w:cs="Swis721 Md BT" w:eastAsia="Swis721 Md BT"/>
          <w:sz w:val="21"/>
          <w:szCs w:val="21"/>
        </w:rPr>
      </w:pPr>
    </w:p>
    <w:tbl>
      <w:tblPr>
        <w:tblW w:w="0" w:type="auto"/>
        <w:jc w:val="left"/>
        <w:tblInd w:w="170" w:type="dxa"/>
        <w:tblLayout w:type="fixed"/>
        <w:tblCellMar>
          <w:top w:w="0" w:type="dxa"/>
          <w:left w:w="0" w:type="dxa"/>
          <w:bottom w:w="0" w:type="dxa"/>
          <w:right w:w="0" w:type="dxa"/>
        </w:tblCellMar>
        <w:tblLook w:val="01E0"/>
      </w:tblPr>
      <w:tblGrid>
        <w:gridCol w:w="4616"/>
        <w:gridCol w:w="883"/>
        <w:gridCol w:w="1612"/>
        <w:gridCol w:w="883"/>
      </w:tblGrid>
      <w:tr>
        <w:trPr>
          <w:trHeight w:val="305" w:hRule="exact"/>
        </w:trPr>
        <w:tc>
          <w:tcPr>
            <w:tcW w:w="5499" w:type="dxa"/>
            <w:gridSpan w:val="2"/>
            <w:tcBorders>
              <w:top w:val="nil" w:sz="6" w:space="0" w:color="auto"/>
              <w:left w:val="nil" w:sz="6" w:space="0" w:color="auto"/>
              <w:bottom w:val="nil" w:sz="6" w:space="0" w:color="auto"/>
              <w:right w:val="single" w:sz="1" w:space="0" w:color="EBF0C9"/>
            </w:tcBorders>
            <w:shd w:val="clear" w:color="auto" w:fill="EBF0C9"/>
          </w:tcPr>
          <w:p>
            <w:pPr>
              <w:pStyle w:val="TableParagraph"/>
              <w:spacing w:line="240" w:lineRule="auto" w:before="44"/>
              <w:ind w:right="76"/>
              <w:jc w:val="right"/>
              <w:rPr>
                <w:rFonts w:ascii="Swis721 Cn BT" w:hAnsi="Swis721 Cn BT" w:cs="Swis721 Cn BT" w:eastAsia="Swis721 Cn BT"/>
                <w:sz w:val="18"/>
                <w:szCs w:val="18"/>
              </w:rPr>
            </w:pPr>
            <w:r>
              <w:rPr>
                <w:rFonts w:ascii="Swis721 Cn BT"/>
                <w:color w:val="303B41"/>
                <w:spacing w:val="-1"/>
                <w:sz w:val="18"/>
              </w:rPr>
              <w:t>Retained</w:t>
            </w:r>
            <w:r>
              <w:rPr>
                <w:rFonts w:ascii="Swis721 Cn BT"/>
                <w:color w:val="303B41"/>
                <w:sz w:val="18"/>
              </w:rPr>
              <w:t> earnings</w:t>
            </w:r>
            <w:r>
              <w:rPr>
                <w:rFonts w:ascii="Swis721 Cn BT"/>
                <w:sz w:val="18"/>
              </w:rPr>
            </w:r>
          </w:p>
        </w:tc>
        <w:tc>
          <w:tcPr>
            <w:tcW w:w="2494" w:type="dxa"/>
            <w:gridSpan w:val="2"/>
            <w:tcBorders>
              <w:top w:val="nil" w:sz="6" w:space="0" w:color="auto"/>
              <w:left w:val="single" w:sz="1" w:space="0" w:color="EBF0C9"/>
              <w:bottom w:val="nil" w:sz="6" w:space="0" w:color="auto"/>
              <w:right w:val="nil" w:sz="6" w:space="0" w:color="auto"/>
            </w:tcBorders>
            <w:shd w:val="clear" w:color="auto" w:fill="EBF0C9"/>
          </w:tcPr>
          <w:p>
            <w:pPr>
              <w:pStyle w:val="TableParagraph"/>
              <w:spacing w:line="240" w:lineRule="auto" w:before="44"/>
              <w:ind w:left="1641" w:right="0"/>
              <w:jc w:val="left"/>
              <w:rPr>
                <w:rFonts w:ascii="Swis721 Cn BT" w:hAnsi="Swis721 Cn BT" w:cs="Swis721 Cn BT" w:eastAsia="Swis721 Cn BT"/>
                <w:sz w:val="18"/>
                <w:szCs w:val="18"/>
              </w:rPr>
            </w:pPr>
            <w:r>
              <w:rPr>
                <w:rFonts w:ascii="Swis721 Cn BT"/>
                <w:color w:val="303B41"/>
                <w:spacing w:val="-4"/>
                <w:sz w:val="18"/>
              </w:rPr>
              <w:t>Total</w:t>
            </w:r>
            <w:r>
              <w:rPr>
                <w:rFonts w:ascii="Swis721 Cn BT"/>
                <w:color w:val="303B41"/>
                <w:sz w:val="18"/>
              </w:rPr>
              <w:t> equity</w:t>
            </w:r>
            <w:r>
              <w:rPr>
                <w:rFonts w:ascii="Swis721 Cn BT"/>
                <w:sz w:val="18"/>
              </w:rPr>
            </w:r>
          </w:p>
        </w:tc>
      </w:tr>
      <w:tr>
        <w:trPr>
          <w:trHeight w:val="514" w:hRule="exact"/>
        </w:trPr>
        <w:tc>
          <w:tcPr>
            <w:tcW w:w="461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442"/>
              <w:jc w:val="right"/>
              <w:rPr>
                <w:rFonts w:ascii="Swis721 Cn BT" w:hAnsi="Swis721 Cn BT" w:cs="Swis721 Cn BT" w:eastAsia="Swis721 Cn BT"/>
                <w:sz w:val="18"/>
                <w:szCs w:val="18"/>
              </w:rPr>
            </w:pPr>
            <w:r>
              <w:rPr>
                <w:rFonts w:ascii="Swis721 Cn BT"/>
                <w:color w:val="303B41"/>
                <w:w w:val="95"/>
                <w:sz w:val="18"/>
              </w:rPr>
              <w:t>2019</w:t>
            </w:r>
            <w:r>
              <w:rPr>
                <w:rFonts w:ascii="Swis721 Cn BT"/>
                <w:sz w:val="18"/>
              </w:rPr>
            </w:r>
          </w:p>
          <w:p>
            <w:pPr>
              <w:pStyle w:val="TableParagraph"/>
              <w:spacing w:line="240" w:lineRule="auto"/>
              <w:ind w:right="442"/>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883"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7"/>
              <w:jc w:val="right"/>
              <w:rPr>
                <w:rFonts w:ascii="Swis721 Cn BT" w:hAnsi="Swis721 Cn BT" w:cs="Swis721 Cn BT" w:eastAsia="Swis721 Cn BT"/>
                <w:sz w:val="18"/>
                <w:szCs w:val="18"/>
              </w:rPr>
            </w:pPr>
            <w:r>
              <w:rPr>
                <w:rFonts w:ascii="Swis721 Cn BT"/>
                <w:color w:val="303B41"/>
                <w:sz w:val="18"/>
              </w:rPr>
              <w:t>2018</w:t>
            </w:r>
            <w:r>
              <w:rPr>
                <w:rFonts w:ascii="Swis721 Cn BT"/>
                <w:sz w:val="18"/>
              </w:rPr>
            </w:r>
          </w:p>
          <w:p>
            <w:pPr>
              <w:pStyle w:val="TableParagraph"/>
              <w:spacing w:line="240" w:lineRule="auto"/>
              <w:ind w:right="77"/>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612"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442"/>
              <w:jc w:val="right"/>
              <w:rPr>
                <w:rFonts w:ascii="Swis721 Cn BT" w:hAnsi="Swis721 Cn BT" w:cs="Swis721 Cn BT" w:eastAsia="Swis721 Cn BT"/>
                <w:sz w:val="18"/>
                <w:szCs w:val="18"/>
              </w:rPr>
            </w:pPr>
            <w:r>
              <w:rPr>
                <w:rFonts w:ascii="Swis721 Cn BT"/>
                <w:color w:val="303B41"/>
                <w:w w:val="95"/>
                <w:sz w:val="18"/>
              </w:rPr>
              <w:t>2019</w:t>
            </w:r>
            <w:r>
              <w:rPr>
                <w:rFonts w:ascii="Swis721 Cn BT"/>
                <w:sz w:val="18"/>
              </w:rPr>
            </w:r>
          </w:p>
          <w:p>
            <w:pPr>
              <w:pStyle w:val="TableParagraph"/>
              <w:spacing w:line="240" w:lineRule="auto"/>
              <w:ind w:right="442"/>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883"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7"/>
              <w:jc w:val="right"/>
              <w:rPr>
                <w:rFonts w:ascii="Swis721 Cn BT" w:hAnsi="Swis721 Cn BT" w:cs="Swis721 Cn BT" w:eastAsia="Swis721 Cn BT"/>
                <w:sz w:val="18"/>
                <w:szCs w:val="18"/>
              </w:rPr>
            </w:pPr>
            <w:r>
              <w:rPr>
                <w:rFonts w:ascii="Swis721 Cn BT"/>
                <w:color w:val="303B41"/>
                <w:sz w:val="18"/>
              </w:rPr>
              <w:t>2018</w:t>
            </w:r>
            <w:r>
              <w:rPr>
                <w:rFonts w:ascii="Swis721 Cn BT"/>
                <w:sz w:val="18"/>
              </w:rPr>
            </w:r>
          </w:p>
          <w:p>
            <w:pPr>
              <w:pStyle w:val="TableParagraph"/>
              <w:spacing w:line="240" w:lineRule="auto"/>
              <w:ind w:right="77"/>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r>
    </w:tbl>
    <w:tbl>
      <w:tblPr>
        <w:tblW w:w="0" w:type="auto"/>
        <w:jc w:val="left"/>
        <w:tblInd w:w="115" w:type="dxa"/>
        <w:tblLayout w:type="fixed"/>
        <w:tblCellMar>
          <w:top w:w="0" w:type="dxa"/>
          <w:left w:w="0" w:type="dxa"/>
          <w:bottom w:w="0" w:type="dxa"/>
          <w:right w:w="0" w:type="dxa"/>
        </w:tblCellMar>
        <w:tblLook w:val="01E0"/>
      </w:tblPr>
      <w:tblGrid>
        <w:gridCol w:w="2886"/>
        <w:gridCol w:w="1568"/>
        <w:gridCol w:w="1176"/>
        <w:gridCol w:w="1294"/>
        <w:gridCol w:w="1125"/>
      </w:tblGrid>
      <w:tr>
        <w:trPr>
          <w:trHeight w:val="336" w:hRule="exact"/>
        </w:trPr>
        <w:tc>
          <w:tcPr>
            <w:tcW w:w="2886" w:type="dxa"/>
            <w:tcBorders>
              <w:top w:val="nil" w:sz="6" w:space="0" w:color="auto"/>
              <w:left w:val="nil" w:sz="6" w:space="0" w:color="auto"/>
              <w:bottom w:val="single" w:sz="2" w:space="0" w:color="848B91"/>
              <w:right w:val="nil" w:sz="6" w:space="0" w:color="auto"/>
            </w:tcBorders>
          </w:tcPr>
          <w:p>
            <w:pPr>
              <w:pStyle w:val="TableParagraph"/>
              <w:spacing w:line="240" w:lineRule="auto" w:before="71"/>
              <w:ind w:left="55" w:right="0"/>
              <w:jc w:val="left"/>
              <w:rPr>
                <w:rFonts w:ascii="Swis721 Md BT" w:hAnsi="Swis721 Md BT" w:cs="Swis721 Md BT" w:eastAsia="Swis721 Md BT"/>
                <w:sz w:val="18"/>
                <w:szCs w:val="18"/>
              </w:rPr>
            </w:pPr>
            <w:r>
              <w:rPr>
                <w:rFonts w:ascii="Swis721 Md BT"/>
                <w:color w:val="231F20"/>
                <w:sz w:val="18"/>
              </w:rPr>
              <w:t>Opening Balance at 1 July</w:t>
            </w:r>
            <w:r>
              <w:rPr>
                <w:rFonts w:ascii="Swis721 Md BT"/>
                <w:sz w:val="18"/>
              </w:rPr>
            </w:r>
          </w:p>
        </w:tc>
        <w:tc>
          <w:tcPr>
            <w:tcW w:w="1568" w:type="dxa"/>
            <w:tcBorders>
              <w:top w:val="nil" w:sz="6" w:space="0" w:color="auto"/>
              <w:left w:val="nil" w:sz="6" w:space="0" w:color="auto"/>
              <w:bottom w:val="single" w:sz="2" w:space="0" w:color="848B91"/>
              <w:right w:val="nil" w:sz="6" w:space="0" w:color="auto"/>
            </w:tcBorders>
          </w:tcPr>
          <w:p>
            <w:pPr>
              <w:pStyle w:val="TableParagraph"/>
              <w:spacing w:line="240" w:lineRule="auto" w:before="71"/>
              <w:ind w:left="527" w:right="0"/>
              <w:jc w:val="left"/>
              <w:rPr>
                <w:rFonts w:ascii="Swis721 Md BT" w:hAnsi="Swis721 Md BT" w:cs="Swis721 Md BT" w:eastAsia="Swis721 Md BT"/>
                <w:sz w:val="18"/>
                <w:szCs w:val="18"/>
              </w:rPr>
            </w:pPr>
            <w:r>
              <w:rPr>
                <w:rFonts w:ascii="Swis721 Md BT"/>
                <w:color w:val="231F20"/>
                <w:sz w:val="18"/>
              </w:rPr>
              <w:t>6,300,000</w:t>
            </w:r>
            <w:r>
              <w:rPr>
                <w:rFonts w:ascii="Swis721 Md BT"/>
                <w:sz w:val="18"/>
              </w:rPr>
            </w:r>
          </w:p>
        </w:tc>
        <w:tc>
          <w:tcPr>
            <w:tcW w:w="1176" w:type="dxa"/>
            <w:tcBorders>
              <w:top w:val="nil" w:sz="6" w:space="0" w:color="auto"/>
              <w:left w:val="nil" w:sz="6" w:space="0" w:color="auto"/>
              <w:bottom w:val="single" w:sz="2" w:space="0" w:color="848B91"/>
              <w:right w:val="nil" w:sz="6" w:space="0" w:color="auto"/>
            </w:tcBorders>
          </w:tcPr>
          <w:p>
            <w:pPr>
              <w:pStyle w:val="TableParagraph"/>
              <w:spacing w:line="240" w:lineRule="auto" w:before="71"/>
              <w:ind w:left="219" w:right="0"/>
              <w:jc w:val="left"/>
              <w:rPr>
                <w:rFonts w:ascii="Swis721 Md BT" w:hAnsi="Swis721 Md BT" w:cs="Swis721 Md BT" w:eastAsia="Swis721 Md BT"/>
                <w:sz w:val="18"/>
                <w:szCs w:val="18"/>
              </w:rPr>
            </w:pPr>
            <w:r>
              <w:rPr>
                <w:rFonts w:ascii="Swis721 Md BT"/>
                <w:color w:val="231F20"/>
                <w:sz w:val="18"/>
              </w:rPr>
              <w:t>4,695,351</w:t>
            </w:r>
            <w:r>
              <w:rPr>
                <w:rFonts w:ascii="Swis721 Md BT"/>
                <w:sz w:val="18"/>
              </w:rPr>
            </w:r>
          </w:p>
        </w:tc>
        <w:tc>
          <w:tcPr>
            <w:tcW w:w="1294" w:type="dxa"/>
            <w:tcBorders>
              <w:top w:val="nil" w:sz="6" w:space="0" w:color="auto"/>
              <w:left w:val="nil" w:sz="6" w:space="0" w:color="auto"/>
              <w:bottom w:val="single" w:sz="2" w:space="0" w:color="848B91"/>
              <w:right w:val="nil" w:sz="6" w:space="0" w:color="auto"/>
            </w:tcBorders>
          </w:tcPr>
          <w:p>
            <w:pPr>
              <w:pStyle w:val="TableParagraph"/>
              <w:spacing w:line="240" w:lineRule="auto" w:before="71"/>
              <w:ind w:left="282" w:right="0"/>
              <w:jc w:val="left"/>
              <w:rPr>
                <w:rFonts w:ascii="Swis721 Md BT" w:hAnsi="Swis721 Md BT" w:cs="Swis721 Md BT" w:eastAsia="Swis721 Md BT"/>
                <w:sz w:val="18"/>
                <w:szCs w:val="18"/>
              </w:rPr>
            </w:pPr>
            <w:r>
              <w:rPr>
                <w:rFonts w:ascii="Swis721 Md BT"/>
                <w:color w:val="231F20"/>
                <w:sz w:val="18"/>
              </w:rPr>
              <w:t>6,300,000</w:t>
            </w:r>
            <w:r>
              <w:rPr>
                <w:rFonts w:ascii="Swis721 Md BT"/>
                <w:sz w:val="18"/>
              </w:rPr>
            </w:r>
          </w:p>
        </w:tc>
        <w:tc>
          <w:tcPr>
            <w:tcW w:w="1125" w:type="dxa"/>
            <w:tcBorders>
              <w:top w:val="nil" w:sz="6" w:space="0" w:color="auto"/>
              <w:left w:val="nil" w:sz="6" w:space="0" w:color="auto"/>
              <w:bottom w:val="single" w:sz="2" w:space="0" w:color="848B91"/>
              <w:right w:val="nil" w:sz="6" w:space="0" w:color="auto"/>
            </w:tcBorders>
          </w:tcPr>
          <w:p>
            <w:pPr>
              <w:pStyle w:val="TableParagraph"/>
              <w:spacing w:line="240" w:lineRule="auto" w:before="71"/>
              <w:ind w:left="228" w:right="0"/>
              <w:jc w:val="left"/>
              <w:rPr>
                <w:rFonts w:ascii="Swis721 Md BT" w:hAnsi="Swis721 Md BT" w:cs="Swis721 Md BT" w:eastAsia="Swis721 Md BT"/>
                <w:sz w:val="18"/>
                <w:szCs w:val="18"/>
              </w:rPr>
            </w:pPr>
            <w:r>
              <w:rPr>
                <w:rFonts w:ascii="Swis721 Md BT"/>
                <w:color w:val="231F20"/>
                <w:sz w:val="18"/>
              </w:rPr>
              <w:t>4,695,351</w:t>
            </w:r>
            <w:r>
              <w:rPr>
                <w:rFonts w:ascii="Swis721 Md BT"/>
                <w:sz w:val="18"/>
              </w:rPr>
            </w:r>
          </w:p>
        </w:tc>
      </w:tr>
      <w:tr>
        <w:trPr>
          <w:trHeight w:val="463" w:hRule="exact"/>
        </w:trPr>
        <w:tc>
          <w:tcPr>
            <w:tcW w:w="2886" w:type="dxa"/>
            <w:tcBorders>
              <w:top w:val="single" w:sz="2" w:space="0" w:color="848B91"/>
              <w:left w:val="nil" w:sz="6" w:space="0" w:color="auto"/>
              <w:bottom w:val="nil" w:sz="6" w:space="0" w:color="auto"/>
              <w:right w:val="nil" w:sz="6" w:space="0" w:color="auto"/>
            </w:tcBorders>
          </w:tcPr>
          <w:p>
            <w:pPr>
              <w:pStyle w:val="TableParagraph"/>
              <w:spacing w:line="240" w:lineRule="auto" w:before="1"/>
              <w:ind w:right="0"/>
              <w:jc w:val="left"/>
              <w:rPr>
                <w:rFonts w:ascii="Swis721 Md BT" w:hAnsi="Swis721 Md BT" w:cs="Swis721 Md BT" w:eastAsia="Swis721 Md BT"/>
                <w:sz w:val="14"/>
                <w:szCs w:val="14"/>
              </w:rPr>
            </w:pPr>
          </w:p>
          <w:p>
            <w:pPr>
              <w:pStyle w:val="TableParagraph"/>
              <w:spacing w:line="240" w:lineRule="auto"/>
              <w:ind w:left="55" w:right="0"/>
              <w:jc w:val="left"/>
              <w:rPr>
                <w:rFonts w:ascii="Swis721 Md BT" w:hAnsi="Swis721 Md BT" w:cs="Swis721 Md BT" w:eastAsia="Swis721 Md BT"/>
                <w:sz w:val="19"/>
                <w:szCs w:val="19"/>
              </w:rPr>
            </w:pPr>
            <w:r>
              <w:rPr>
                <w:rFonts w:ascii="Swis721 Md BT"/>
                <w:color w:val="303B41"/>
                <w:sz w:val="19"/>
              </w:rPr>
              <w:t>Comprehensive Income</w:t>
            </w:r>
            <w:r>
              <w:rPr>
                <w:rFonts w:ascii="Swis721 Md BT"/>
                <w:sz w:val="19"/>
              </w:rPr>
            </w:r>
          </w:p>
        </w:tc>
        <w:tc>
          <w:tcPr>
            <w:tcW w:w="1568" w:type="dxa"/>
            <w:tcBorders>
              <w:top w:val="single" w:sz="2" w:space="0" w:color="848B91"/>
              <w:left w:val="nil" w:sz="6" w:space="0" w:color="auto"/>
              <w:bottom w:val="nil" w:sz="6" w:space="0" w:color="auto"/>
              <w:right w:val="nil" w:sz="6" w:space="0" w:color="auto"/>
            </w:tcBorders>
          </w:tcPr>
          <w:p>
            <w:pPr/>
          </w:p>
        </w:tc>
        <w:tc>
          <w:tcPr>
            <w:tcW w:w="1176" w:type="dxa"/>
            <w:tcBorders>
              <w:top w:val="single" w:sz="2" w:space="0" w:color="848B91"/>
              <w:left w:val="nil" w:sz="6" w:space="0" w:color="auto"/>
              <w:bottom w:val="nil" w:sz="6" w:space="0" w:color="auto"/>
              <w:right w:val="nil" w:sz="6" w:space="0" w:color="auto"/>
            </w:tcBorders>
          </w:tcPr>
          <w:p>
            <w:pPr/>
          </w:p>
        </w:tc>
        <w:tc>
          <w:tcPr>
            <w:tcW w:w="1294" w:type="dxa"/>
            <w:tcBorders>
              <w:top w:val="single" w:sz="2" w:space="0" w:color="848B91"/>
              <w:left w:val="nil" w:sz="6" w:space="0" w:color="auto"/>
              <w:bottom w:val="nil" w:sz="6" w:space="0" w:color="auto"/>
              <w:right w:val="nil" w:sz="6" w:space="0" w:color="auto"/>
            </w:tcBorders>
          </w:tcPr>
          <w:p>
            <w:pPr/>
          </w:p>
        </w:tc>
        <w:tc>
          <w:tcPr>
            <w:tcW w:w="1125" w:type="dxa"/>
            <w:tcBorders>
              <w:top w:val="single" w:sz="2" w:space="0" w:color="848B91"/>
              <w:left w:val="nil" w:sz="6" w:space="0" w:color="auto"/>
              <w:bottom w:val="nil" w:sz="6" w:space="0" w:color="auto"/>
              <w:right w:val="nil" w:sz="6" w:space="0" w:color="auto"/>
            </w:tcBorders>
          </w:tcPr>
          <w:p>
            <w:pPr/>
          </w:p>
        </w:tc>
      </w:tr>
      <w:tr>
        <w:trPr>
          <w:trHeight w:val="321" w:hRule="exact"/>
        </w:trPr>
        <w:tc>
          <w:tcPr>
            <w:tcW w:w="2886" w:type="dxa"/>
            <w:tcBorders>
              <w:top w:val="nil" w:sz="6" w:space="0" w:color="auto"/>
              <w:left w:val="nil" w:sz="6" w:space="0" w:color="auto"/>
              <w:bottom w:val="single" w:sz="8" w:space="0" w:color="848B91"/>
              <w:right w:val="nil" w:sz="6" w:space="0" w:color="auto"/>
            </w:tcBorders>
          </w:tcPr>
          <w:p>
            <w:pPr>
              <w:pStyle w:val="TableParagraph"/>
              <w:spacing w:line="240" w:lineRule="auto" w:before="45"/>
              <w:ind w:left="55" w:right="0"/>
              <w:jc w:val="left"/>
              <w:rPr>
                <w:rFonts w:ascii="Swis721 Lt BT" w:hAnsi="Swis721 Lt BT" w:cs="Swis721 Lt BT" w:eastAsia="Swis721 Lt BT"/>
                <w:sz w:val="18"/>
                <w:szCs w:val="18"/>
              </w:rPr>
            </w:pPr>
            <w:r>
              <w:rPr>
                <w:rFonts w:ascii="Swis721 Lt BT"/>
                <w:color w:val="231F20"/>
                <w:sz w:val="18"/>
              </w:rPr>
              <w:t>Surplus for the year</w:t>
            </w:r>
            <w:r>
              <w:rPr>
                <w:rFonts w:ascii="Swis721 Lt BT"/>
                <w:sz w:val="18"/>
              </w:rPr>
            </w:r>
          </w:p>
        </w:tc>
        <w:tc>
          <w:tcPr>
            <w:tcW w:w="1568" w:type="dxa"/>
            <w:tcBorders>
              <w:top w:val="nil" w:sz="6" w:space="0" w:color="auto"/>
              <w:left w:val="nil" w:sz="6" w:space="0" w:color="auto"/>
              <w:bottom w:val="single" w:sz="8" w:space="0" w:color="848B91"/>
              <w:right w:val="nil" w:sz="6" w:space="0" w:color="auto"/>
            </w:tcBorders>
          </w:tcPr>
          <w:p>
            <w:pPr>
              <w:pStyle w:val="TableParagraph"/>
              <w:spacing w:line="240" w:lineRule="auto" w:before="45"/>
              <w:ind w:left="562" w:right="0"/>
              <w:jc w:val="left"/>
              <w:rPr>
                <w:rFonts w:ascii="Swis721 Lt BT" w:hAnsi="Swis721 Lt BT" w:cs="Swis721 Lt BT" w:eastAsia="Swis721 Lt BT"/>
                <w:sz w:val="18"/>
                <w:szCs w:val="18"/>
              </w:rPr>
            </w:pPr>
            <w:r>
              <w:rPr>
                <w:rFonts w:ascii="Swis721 Lt BT"/>
                <w:color w:val="231F20"/>
                <w:sz w:val="18"/>
              </w:rPr>
              <w:t>4,000,593</w:t>
            </w:r>
            <w:r>
              <w:rPr>
                <w:rFonts w:ascii="Swis721 Lt BT"/>
                <w:sz w:val="18"/>
              </w:rPr>
            </w:r>
          </w:p>
        </w:tc>
        <w:tc>
          <w:tcPr>
            <w:tcW w:w="1176" w:type="dxa"/>
            <w:tcBorders>
              <w:top w:val="nil" w:sz="6" w:space="0" w:color="auto"/>
              <w:left w:val="nil" w:sz="6" w:space="0" w:color="auto"/>
              <w:bottom w:val="single" w:sz="8" w:space="0" w:color="848B91"/>
              <w:right w:val="nil" w:sz="6" w:space="0" w:color="auto"/>
            </w:tcBorders>
          </w:tcPr>
          <w:p>
            <w:pPr>
              <w:pStyle w:val="TableParagraph"/>
              <w:spacing w:line="240" w:lineRule="auto" w:before="45"/>
              <w:ind w:left="254" w:right="0"/>
              <w:jc w:val="left"/>
              <w:rPr>
                <w:rFonts w:ascii="Swis721 Lt BT" w:hAnsi="Swis721 Lt BT" w:cs="Swis721 Lt BT" w:eastAsia="Swis721 Lt BT"/>
                <w:sz w:val="18"/>
                <w:szCs w:val="18"/>
              </w:rPr>
            </w:pPr>
            <w:r>
              <w:rPr>
                <w:rFonts w:ascii="Swis721 Lt BT"/>
                <w:color w:val="231F20"/>
                <w:sz w:val="18"/>
              </w:rPr>
              <w:t>1,604,649</w:t>
            </w:r>
            <w:r>
              <w:rPr>
                <w:rFonts w:ascii="Swis721 Lt BT"/>
                <w:sz w:val="18"/>
              </w:rPr>
            </w:r>
          </w:p>
        </w:tc>
        <w:tc>
          <w:tcPr>
            <w:tcW w:w="1294" w:type="dxa"/>
            <w:tcBorders>
              <w:top w:val="nil" w:sz="6" w:space="0" w:color="auto"/>
              <w:left w:val="nil" w:sz="6" w:space="0" w:color="auto"/>
              <w:bottom w:val="single" w:sz="8" w:space="0" w:color="848B91"/>
              <w:right w:val="nil" w:sz="6" w:space="0" w:color="auto"/>
            </w:tcBorders>
          </w:tcPr>
          <w:p>
            <w:pPr>
              <w:pStyle w:val="TableParagraph"/>
              <w:spacing w:line="240" w:lineRule="auto" w:before="45"/>
              <w:ind w:left="318" w:right="0"/>
              <w:jc w:val="left"/>
              <w:rPr>
                <w:rFonts w:ascii="Swis721 Lt BT" w:hAnsi="Swis721 Lt BT" w:cs="Swis721 Lt BT" w:eastAsia="Swis721 Lt BT"/>
                <w:sz w:val="18"/>
                <w:szCs w:val="18"/>
              </w:rPr>
            </w:pPr>
            <w:r>
              <w:rPr>
                <w:rFonts w:ascii="Swis721 Lt BT"/>
                <w:color w:val="231F20"/>
                <w:sz w:val="18"/>
              </w:rPr>
              <w:t>4,000,593</w:t>
            </w:r>
            <w:r>
              <w:rPr>
                <w:rFonts w:ascii="Swis721 Lt BT"/>
                <w:sz w:val="18"/>
              </w:rPr>
            </w:r>
          </w:p>
        </w:tc>
        <w:tc>
          <w:tcPr>
            <w:tcW w:w="1125" w:type="dxa"/>
            <w:tcBorders>
              <w:top w:val="nil" w:sz="6" w:space="0" w:color="auto"/>
              <w:left w:val="nil" w:sz="6" w:space="0" w:color="auto"/>
              <w:bottom w:val="single" w:sz="8" w:space="0" w:color="848B91"/>
              <w:right w:val="nil" w:sz="6" w:space="0" w:color="auto"/>
            </w:tcBorders>
          </w:tcPr>
          <w:p>
            <w:pPr>
              <w:pStyle w:val="TableParagraph"/>
              <w:spacing w:line="240" w:lineRule="auto" w:before="45"/>
              <w:ind w:left="264" w:right="0"/>
              <w:jc w:val="left"/>
              <w:rPr>
                <w:rFonts w:ascii="Swis721 Lt BT" w:hAnsi="Swis721 Lt BT" w:cs="Swis721 Lt BT" w:eastAsia="Swis721 Lt BT"/>
                <w:sz w:val="18"/>
                <w:szCs w:val="18"/>
              </w:rPr>
            </w:pPr>
            <w:r>
              <w:rPr>
                <w:rFonts w:ascii="Swis721 Lt BT"/>
                <w:color w:val="231F20"/>
                <w:sz w:val="18"/>
              </w:rPr>
              <w:t>1,604,649</w:t>
            </w:r>
            <w:r>
              <w:rPr>
                <w:rFonts w:ascii="Swis721 Lt BT"/>
                <w:sz w:val="18"/>
              </w:rPr>
            </w:r>
          </w:p>
        </w:tc>
      </w:tr>
      <w:tr>
        <w:trPr>
          <w:trHeight w:val="565" w:hRule="exact"/>
        </w:trPr>
        <w:tc>
          <w:tcPr>
            <w:tcW w:w="2886" w:type="dxa"/>
            <w:tcBorders>
              <w:top w:val="single" w:sz="8" w:space="0" w:color="848B91"/>
              <w:left w:val="nil" w:sz="6" w:space="0" w:color="auto"/>
              <w:bottom w:val="single" w:sz="8" w:space="0" w:color="71797F"/>
              <w:right w:val="nil" w:sz="6" w:space="0" w:color="auto"/>
            </w:tcBorders>
          </w:tcPr>
          <w:p>
            <w:pPr>
              <w:pStyle w:val="TableParagraph"/>
              <w:spacing w:line="240" w:lineRule="auto" w:before="53"/>
              <w:ind w:left="55" w:right="424"/>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Comprehensive Income</w:t>
            </w:r>
            <w:r>
              <w:rPr>
                <w:rFonts w:ascii="Swis721 Md BT"/>
                <w:color w:val="231F20"/>
                <w:spacing w:val="22"/>
                <w:sz w:val="18"/>
              </w:rPr>
              <w:t> </w:t>
            </w:r>
            <w:r>
              <w:rPr>
                <w:rFonts w:ascii="Swis721 Md BT"/>
                <w:color w:val="231F20"/>
                <w:sz w:val="18"/>
              </w:rPr>
              <w:t>for the year</w:t>
            </w:r>
            <w:r>
              <w:rPr>
                <w:rFonts w:ascii="Swis721 Md BT"/>
                <w:sz w:val="18"/>
              </w:rPr>
            </w:r>
          </w:p>
        </w:tc>
        <w:tc>
          <w:tcPr>
            <w:tcW w:w="1568" w:type="dxa"/>
            <w:tcBorders>
              <w:top w:val="single" w:sz="8" w:space="0" w:color="848B91"/>
              <w:left w:val="nil" w:sz="6" w:space="0" w:color="auto"/>
              <w:bottom w:val="single" w:sz="8" w:space="0" w:color="71797F"/>
              <w:right w:val="nil" w:sz="6" w:space="0" w:color="auto"/>
            </w:tcBorders>
          </w:tcPr>
          <w:p>
            <w:pPr>
              <w:pStyle w:val="TableParagraph"/>
              <w:spacing w:line="240" w:lineRule="auto" w:before="53"/>
              <w:ind w:left="547" w:right="0"/>
              <w:jc w:val="left"/>
              <w:rPr>
                <w:rFonts w:ascii="Swis721 Md BT" w:hAnsi="Swis721 Md BT" w:cs="Swis721 Md BT" w:eastAsia="Swis721 Md BT"/>
                <w:sz w:val="18"/>
                <w:szCs w:val="18"/>
              </w:rPr>
            </w:pPr>
            <w:r>
              <w:rPr>
                <w:rFonts w:ascii="Swis721 Md BT"/>
                <w:color w:val="231F20"/>
                <w:sz w:val="18"/>
              </w:rPr>
              <w:t>4,000,593</w:t>
            </w:r>
            <w:r>
              <w:rPr>
                <w:rFonts w:ascii="Swis721 Md BT"/>
                <w:sz w:val="18"/>
              </w:rPr>
            </w:r>
          </w:p>
        </w:tc>
        <w:tc>
          <w:tcPr>
            <w:tcW w:w="1176" w:type="dxa"/>
            <w:tcBorders>
              <w:top w:val="single" w:sz="8" w:space="0" w:color="848B91"/>
              <w:left w:val="nil" w:sz="6" w:space="0" w:color="auto"/>
              <w:bottom w:val="single" w:sz="8" w:space="0" w:color="71797F"/>
              <w:right w:val="nil" w:sz="6" w:space="0" w:color="auto"/>
            </w:tcBorders>
          </w:tcPr>
          <w:p>
            <w:pPr>
              <w:pStyle w:val="TableParagraph"/>
              <w:spacing w:line="240" w:lineRule="auto" w:before="53"/>
              <w:ind w:left="219" w:right="0"/>
              <w:jc w:val="left"/>
              <w:rPr>
                <w:rFonts w:ascii="Swis721 Md BT" w:hAnsi="Swis721 Md BT" w:cs="Swis721 Md BT" w:eastAsia="Swis721 Md BT"/>
                <w:sz w:val="18"/>
                <w:szCs w:val="18"/>
              </w:rPr>
            </w:pPr>
            <w:r>
              <w:rPr>
                <w:rFonts w:ascii="Swis721 Md BT"/>
                <w:color w:val="231F20"/>
                <w:sz w:val="18"/>
              </w:rPr>
              <w:t>1,604,649</w:t>
            </w:r>
            <w:r>
              <w:rPr>
                <w:rFonts w:ascii="Swis721 Md BT"/>
                <w:sz w:val="18"/>
              </w:rPr>
            </w:r>
          </w:p>
        </w:tc>
        <w:tc>
          <w:tcPr>
            <w:tcW w:w="1294" w:type="dxa"/>
            <w:tcBorders>
              <w:top w:val="single" w:sz="8" w:space="0" w:color="848B91"/>
              <w:left w:val="nil" w:sz="6" w:space="0" w:color="auto"/>
              <w:bottom w:val="single" w:sz="8" w:space="0" w:color="71797F"/>
              <w:right w:val="nil" w:sz="6" w:space="0" w:color="auto"/>
            </w:tcBorders>
          </w:tcPr>
          <w:p>
            <w:pPr>
              <w:pStyle w:val="TableParagraph"/>
              <w:spacing w:line="240" w:lineRule="auto" w:before="53"/>
              <w:ind w:left="282" w:right="0"/>
              <w:jc w:val="left"/>
              <w:rPr>
                <w:rFonts w:ascii="Swis721 Md BT" w:hAnsi="Swis721 Md BT" w:cs="Swis721 Md BT" w:eastAsia="Swis721 Md BT"/>
                <w:sz w:val="18"/>
                <w:szCs w:val="18"/>
              </w:rPr>
            </w:pPr>
            <w:r>
              <w:rPr>
                <w:rFonts w:ascii="Swis721 Md BT"/>
                <w:color w:val="231F20"/>
                <w:sz w:val="18"/>
              </w:rPr>
              <w:t>4,000,593</w:t>
            </w:r>
            <w:r>
              <w:rPr>
                <w:rFonts w:ascii="Swis721 Md BT"/>
                <w:sz w:val="18"/>
              </w:rPr>
            </w:r>
          </w:p>
        </w:tc>
        <w:tc>
          <w:tcPr>
            <w:tcW w:w="1125" w:type="dxa"/>
            <w:tcBorders>
              <w:top w:val="single" w:sz="8" w:space="0" w:color="848B91"/>
              <w:left w:val="nil" w:sz="6" w:space="0" w:color="auto"/>
              <w:bottom w:val="single" w:sz="8" w:space="0" w:color="71797F"/>
              <w:right w:val="nil" w:sz="6" w:space="0" w:color="auto"/>
            </w:tcBorders>
          </w:tcPr>
          <w:p>
            <w:pPr>
              <w:pStyle w:val="TableParagraph"/>
              <w:spacing w:line="240" w:lineRule="auto" w:before="53"/>
              <w:ind w:left="228" w:right="0"/>
              <w:jc w:val="left"/>
              <w:rPr>
                <w:rFonts w:ascii="Swis721 Md BT" w:hAnsi="Swis721 Md BT" w:cs="Swis721 Md BT" w:eastAsia="Swis721 Md BT"/>
                <w:sz w:val="18"/>
                <w:szCs w:val="18"/>
              </w:rPr>
            </w:pPr>
            <w:r>
              <w:rPr>
                <w:rFonts w:ascii="Swis721 Md BT"/>
                <w:color w:val="231F20"/>
                <w:sz w:val="18"/>
              </w:rPr>
              <w:t>1,604,649</w:t>
            </w:r>
            <w:r>
              <w:rPr>
                <w:rFonts w:ascii="Swis721 Md BT"/>
                <w:sz w:val="18"/>
              </w:rPr>
            </w:r>
          </w:p>
        </w:tc>
      </w:tr>
      <w:tr>
        <w:trPr>
          <w:trHeight w:val="349" w:hRule="exact"/>
        </w:trPr>
        <w:tc>
          <w:tcPr>
            <w:tcW w:w="2886" w:type="dxa"/>
            <w:tcBorders>
              <w:top w:val="single" w:sz="8" w:space="0" w:color="71797F"/>
              <w:left w:val="nil" w:sz="6" w:space="0" w:color="auto"/>
              <w:bottom w:val="single" w:sz="8" w:space="0" w:color="71797F"/>
              <w:right w:val="nil" w:sz="6" w:space="0" w:color="auto"/>
            </w:tcBorders>
          </w:tcPr>
          <w:p>
            <w:pPr>
              <w:pStyle w:val="TableParagraph"/>
              <w:spacing w:line="240" w:lineRule="auto" w:before="53"/>
              <w:ind w:left="55" w:right="0"/>
              <w:jc w:val="left"/>
              <w:rPr>
                <w:rFonts w:ascii="Swis721 Md BT" w:hAnsi="Swis721 Md BT" w:cs="Swis721 Md BT" w:eastAsia="Swis721 Md BT"/>
                <w:sz w:val="18"/>
                <w:szCs w:val="18"/>
              </w:rPr>
            </w:pPr>
            <w:r>
              <w:rPr>
                <w:rFonts w:ascii="Swis721 Md BT"/>
                <w:color w:val="231F20"/>
                <w:sz w:val="18"/>
              </w:rPr>
              <w:t>Balance at 30 June</w:t>
            </w:r>
            <w:r>
              <w:rPr>
                <w:rFonts w:ascii="Swis721 Md BT"/>
                <w:sz w:val="18"/>
              </w:rPr>
            </w:r>
          </w:p>
        </w:tc>
        <w:tc>
          <w:tcPr>
            <w:tcW w:w="1568" w:type="dxa"/>
            <w:tcBorders>
              <w:top w:val="single" w:sz="8" w:space="0" w:color="71797F"/>
              <w:left w:val="nil" w:sz="6" w:space="0" w:color="auto"/>
              <w:bottom w:val="single" w:sz="8" w:space="0" w:color="71797F"/>
              <w:right w:val="nil" w:sz="6" w:space="0" w:color="auto"/>
            </w:tcBorders>
          </w:tcPr>
          <w:p>
            <w:pPr>
              <w:pStyle w:val="TableParagraph"/>
              <w:spacing w:line="240" w:lineRule="auto" w:before="53"/>
              <w:ind w:left="426" w:right="0"/>
              <w:jc w:val="left"/>
              <w:rPr>
                <w:rFonts w:ascii="Swis721 Md BT" w:hAnsi="Swis721 Md BT" w:cs="Swis721 Md BT" w:eastAsia="Swis721 Md BT"/>
                <w:sz w:val="18"/>
                <w:szCs w:val="18"/>
              </w:rPr>
            </w:pPr>
            <w:r>
              <w:rPr>
                <w:rFonts w:ascii="Swis721 Md BT"/>
                <w:color w:val="231F20"/>
                <w:sz w:val="18"/>
              </w:rPr>
              <w:t>10,300,593</w:t>
            </w:r>
            <w:r>
              <w:rPr>
                <w:rFonts w:ascii="Swis721 Md BT"/>
                <w:sz w:val="18"/>
              </w:rPr>
            </w:r>
          </w:p>
        </w:tc>
        <w:tc>
          <w:tcPr>
            <w:tcW w:w="1176" w:type="dxa"/>
            <w:tcBorders>
              <w:top w:val="single" w:sz="8" w:space="0" w:color="71797F"/>
              <w:left w:val="nil" w:sz="6" w:space="0" w:color="auto"/>
              <w:bottom w:val="single" w:sz="8" w:space="0" w:color="71797F"/>
              <w:right w:val="nil" w:sz="6" w:space="0" w:color="auto"/>
            </w:tcBorders>
          </w:tcPr>
          <w:p>
            <w:pPr>
              <w:pStyle w:val="TableParagraph"/>
              <w:spacing w:line="240" w:lineRule="auto" w:before="53"/>
              <w:ind w:left="219" w:right="0"/>
              <w:jc w:val="left"/>
              <w:rPr>
                <w:rFonts w:ascii="Swis721 Md BT" w:hAnsi="Swis721 Md BT" w:cs="Swis721 Md BT" w:eastAsia="Swis721 Md BT"/>
                <w:sz w:val="18"/>
                <w:szCs w:val="18"/>
              </w:rPr>
            </w:pPr>
            <w:r>
              <w:rPr>
                <w:rFonts w:ascii="Swis721 Md BT"/>
                <w:color w:val="231F20"/>
                <w:sz w:val="18"/>
              </w:rPr>
              <w:t>6,300,000</w:t>
            </w:r>
            <w:r>
              <w:rPr>
                <w:rFonts w:ascii="Swis721 Md BT"/>
                <w:sz w:val="18"/>
              </w:rPr>
            </w:r>
          </w:p>
        </w:tc>
        <w:tc>
          <w:tcPr>
            <w:tcW w:w="1294" w:type="dxa"/>
            <w:tcBorders>
              <w:top w:val="single" w:sz="8" w:space="0" w:color="71797F"/>
              <w:left w:val="nil" w:sz="6" w:space="0" w:color="auto"/>
              <w:bottom w:val="single" w:sz="8" w:space="0" w:color="71797F"/>
              <w:right w:val="nil" w:sz="6" w:space="0" w:color="auto"/>
            </w:tcBorders>
          </w:tcPr>
          <w:p>
            <w:pPr>
              <w:pStyle w:val="TableParagraph"/>
              <w:spacing w:line="240" w:lineRule="auto" w:before="53"/>
              <w:ind w:left="155" w:right="0"/>
              <w:jc w:val="left"/>
              <w:rPr>
                <w:rFonts w:ascii="Swis721 Md BT" w:hAnsi="Swis721 Md BT" w:cs="Swis721 Md BT" w:eastAsia="Swis721 Md BT"/>
                <w:sz w:val="18"/>
                <w:szCs w:val="18"/>
              </w:rPr>
            </w:pPr>
            <w:r>
              <w:rPr>
                <w:rFonts w:ascii="Swis721 Md BT"/>
                <w:color w:val="231F20"/>
                <w:sz w:val="18"/>
              </w:rPr>
              <w:t>10,300,593</w:t>
            </w:r>
            <w:r>
              <w:rPr>
                <w:rFonts w:ascii="Swis721 Md BT"/>
                <w:sz w:val="18"/>
              </w:rPr>
            </w:r>
          </w:p>
        </w:tc>
        <w:tc>
          <w:tcPr>
            <w:tcW w:w="1125" w:type="dxa"/>
            <w:tcBorders>
              <w:top w:val="single" w:sz="8" w:space="0" w:color="71797F"/>
              <w:left w:val="nil" w:sz="6" w:space="0" w:color="auto"/>
              <w:bottom w:val="single" w:sz="8" w:space="0" w:color="71797F"/>
              <w:right w:val="nil" w:sz="6" w:space="0" w:color="auto"/>
            </w:tcBorders>
          </w:tcPr>
          <w:p>
            <w:pPr>
              <w:pStyle w:val="TableParagraph"/>
              <w:spacing w:line="240" w:lineRule="auto" w:before="53"/>
              <w:ind w:left="209" w:right="0"/>
              <w:jc w:val="left"/>
              <w:rPr>
                <w:rFonts w:ascii="Swis721 Md BT" w:hAnsi="Swis721 Md BT" w:cs="Swis721 Md BT" w:eastAsia="Swis721 Md BT"/>
                <w:sz w:val="18"/>
                <w:szCs w:val="18"/>
              </w:rPr>
            </w:pPr>
            <w:r>
              <w:rPr>
                <w:rFonts w:ascii="Swis721 Md BT"/>
                <w:color w:val="231F20"/>
                <w:sz w:val="18"/>
              </w:rPr>
              <w:t>6,300,000</w:t>
            </w:r>
            <w:r>
              <w:rPr>
                <w:rFonts w:ascii="Swis721 Md BT"/>
                <w:sz w:val="18"/>
              </w:rPr>
            </w:r>
          </w:p>
        </w:tc>
      </w:tr>
    </w:tbl>
    <w:p>
      <w:pPr>
        <w:spacing w:before="34"/>
        <w:ind w:left="170" w:right="0" w:firstLine="0"/>
        <w:jc w:val="left"/>
        <w:rPr>
          <w:rFonts w:ascii="Swis721 Lt BT" w:hAnsi="Swis721 Lt BT" w:cs="Swis721 Lt BT" w:eastAsia="Swis721 Lt BT"/>
          <w:sz w:val="16"/>
          <w:szCs w:val="16"/>
        </w:rPr>
      </w:pPr>
      <w:r>
        <w:rPr>
          <w:rFonts w:ascii="Swis721 Lt BT"/>
          <w:i/>
          <w:color w:val="231F20"/>
          <w:sz w:val="16"/>
        </w:rPr>
        <w:t>This statement should be read in conjunction with the accompanying notes.</w:t>
      </w:r>
      <w:r>
        <w:rPr>
          <w:rFonts w:ascii="Swis721 Lt BT"/>
          <w:sz w:val="16"/>
        </w:rPr>
      </w:r>
    </w:p>
    <w:p>
      <w:pPr>
        <w:spacing w:after="0"/>
        <w:jc w:val="left"/>
        <w:rPr>
          <w:rFonts w:ascii="Swis721 Lt BT" w:hAnsi="Swis721 Lt BT" w:cs="Swis721 Lt BT" w:eastAsia="Swis721 Lt BT"/>
          <w:sz w:val="16"/>
          <w:szCs w:val="16"/>
        </w:rPr>
        <w:sectPr>
          <w:pgSz w:w="9980" w:h="14180"/>
          <w:pgMar w:header="0" w:footer="452" w:top="1040" w:bottom="640" w:left="680" w:right="1020"/>
        </w:sectPr>
      </w:pPr>
    </w:p>
    <w:p>
      <w:pPr>
        <w:spacing w:before="58"/>
        <w:ind w:left="0" w:right="108" w:firstLine="0"/>
        <w:jc w:val="right"/>
        <w:rPr>
          <w:rFonts w:ascii="Swis721 Lt BT" w:hAnsi="Swis721 Lt BT" w:cs="Swis721 Lt BT" w:eastAsia="Swis721 Lt BT"/>
          <w:sz w:val="14"/>
          <w:szCs w:val="14"/>
        </w:rPr>
      </w:pPr>
      <w:bookmarkStart w:name="STATEMENT OF CASH FLOWS" w:id="25"/>
      <w:bookmarkEnd w:id="25"/>
      <w:r>
        <w:rPr/>
      </w: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16"/>
          <w:szCs w:val="16"/>
        </w:rPr>
      </w:pPr>
    </w:p>
    <w:tbl>
      <w:tblPr>
        <w:tblW w:w="0" w:type="auto"/>
        <w:jc w:val="left"/>
        <w:tblInd w:w="113" w:type="dxa"/>
        <w:tblLayout w:type="fixed"/>
        <w:tblCellMar>
          <w:top w:w="0" w:type="dxa"/>
          <w:left w:w="0" w:type="dxa"/>
          <w:bottom w:w="0" w:type="dxa"/>
          <w:right w:w="0" w:type="dxa"/>
        </w:tblCellMar>
        <w:tblLook w:val="01E0"/>
      </w:tblPr>
      <w:tblGrid>
        <w:gridCol w:w="3653"/>
        <w:gridCol w:w="633"/>
        <w:gridCol w:w="1240"/>
        <w:gridCol w:w="1243"/>
        <w:gridCol w:w="1225"/>
      </w:tblGrid>
      <w:tr>
        <w:trPr>
          <w:trHeight w:val="859" w:hRule="exact"/>
        </w:trPr>
        <w:tc>
          <w:tcPr>
            <w:tcW w:w="3653" w:type="dxa"/>
            <w:tcBorders>
              <w:top w:val="nil" w:sz="6" w:space="0" w:color="auto"/>
              <w:left w:val="nil" w:sz="6" w:space="0" w:color="auto"/>
              <w:bottom w:val="nil" w:sz="6" w:space="0" w:color="auto"/>
              <w:right w:val="nil" w:sz="6" w:space="0" w:color="auto"/>
            </w:tcBorders>
          </w:tcPr>
          <w:p>
            <w:pPr>
              <w:pStyle w:val="TableParagraph"/>
              <w:spacing w:line="283" w:lineRule="exact" w:before="61"/>
              <w:ind w:left="-1" w:right="0"/>
              <w:jc w:val="left"/>
              <w:rPr>
                <w:rFonts w:ascii="Swis721 BT" w:hAnsi="Swis721 BT" w:cs="Swis721 BT" w:eastAsia="Swis721 BT"/>
                <w:sz w:val="24"/>
                <w:szCs w:val="24"/>
              </w:rPr>
            </w:pPr>
            <w:r>
              <w:rPr>
                <w:rFonts w:ascii="Swis721 BT"/>
                <w:b/>
                <w:color w:val="005E63"/>
                <w:spacing w:val="-2"/>
                <w:sz w:val="24"/>
              </w:rPr>
              <w:t>STATEMENT</w:t>
            </w:r>
            <w:r>
              <w:rPr>
                <w:rFonts w:ascii="Swis721 BT"/>
                <w:b/>
                <w:color w:val="005E63"/>
                <w:sz w:val="24"/>
              </w:rPr>
              <w:t> OF CASH </w:t>
            </w:r>
            <w:r>
              <w:rPr>
                <w:rFonts w:ascii="Swis721 BT"/>
                <w:b/>
                <w:color w:val="005E63"/>
                <w:spacing w:val="-2"/>
                <w:sz w:val="24"/>
              </w:rPr>
              <w:t>FLOWS</w:t>
            </w:r>
            <w:r>
              <w:rPr>
                <w:rFonts w:ascii="Swis721 BT"/>
                <w:sz w:val="24"/>
              </w:rPr>
            </w:r>
          </w:p>
          <w:p>
            <w:pPr>
              <w:pStyle w:val="TableParagraph"/>
              <w:spacing w:line="260" w:lineRule="exact"/>
              <w:ind w:left="-1" w:right="0"/>
              <w:jc w:val="left"/>
              <w:rPr>
                <w:rFonts w:ascii="Swis721 Md BT" w:hAnsi="Swis721 Md BT" w:cs="Swis721 Md BT" w:eastAsia="Swis721 Md BT"/>
                <w:sz w:val="22"/>
                <w:szCs w:val="22"/>
              </w:rPr>
            </w:pPr>
            <w:r>
              <w:rPr>
                <w:rFonts w:ascii="Swis721 Md BT"/>
                <w:color w:val="00757A"/>
                <w:spacing w:val="-2"/>
                <w:sz w:val="22"/>
              </w:rPr>
              <w:t>For</w:t>
            </w:r>
            <w:r>
              <w:rPr>
                <w:rFonts w:ascii="Swis721 Md BT"/>
                <w:color w:val="00757A"/>
                <w:sz w:val="22"/>
              </w:rPr>
              <w:t> the year ended 30 June 2019</w:t>
            </w:r>
            <w:r>
              <w:rPr>
                <w:rFonts w:ascii="Swis721 Md BT"/>
                <w:sz w:val="22"/>
              </w:rPr>
            </w:r>
          </w:p>
        </w:tc>
        <w:tc>
          <w:tcPr>
            <w:tcW w:w="4341" w:type="dxa"/>
            <w:gridSpan w:val="4"/>
            <w:tcBorders>
              <w:top w:val="nil" w:sz="6" w:space="0" w:color="auto"/>
              <w:left w:val="nil" w:sz="6" w:space="0" w:color="auto"/>
              <w:bottom w:val="nil" w:sz="6" w:space="0" w:color="auto"/>
              <w:right w:val="nil" w:sz="6" w:space="0" w:color="auto"/>
            </w:tcBorders>
          </w:tcPr>
          <w:p>
            <w:pPr/>
          </w:p>
        </w:tc>
      </w:tr>
      <w:tr>
        <w:trPr>
          <w:trHeight w:val="514" w:hRule="exact"/>
        </w:trPr>
        <w:tc>
          <w:tcPr>
            <w:tcW w:w="3653" w:type="dxa"/>
            <w:tcBorders>
              <w:top w:val="nil" w:sz="6" w:space="0" w:color="auto"/>
              <w:left w:val="nil" w:sz="6" w:space="0" w:color="auto"/>
              <w:bottom w:val="nil" w:sz="6" w:space="0" w:color="auto"/>
              <w:right w:val="nil" w:sz="6" w:space="0" w:color="auto"/>
            </w:tcBorders>
            <w:shd w:val="clear" w:color="auto" w:fill="BFD22B"/>
          </w:tcPr>
          <w:p>
            <w:pPr/>
          </w:p>
        </w:tc>
        <w:tc>
          <w:tcPr>
            <w:tcW w:w="633"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124" w:right="0"/>
              <w:jc w:val="left"/>
              <w:rPr>
                <w:rFonts w:ascii="Swis721 Cn BT" w:hAnsi="Swis721 Cn BT" w:cs="Swis721 Cn BT" w:eastAsia="Swis721 Cn BT"/>
                <w:sz w:val="18"/>
                <w:szCs w:val="18"/>
              </w:rPr>
            </w:pPr>
            <w:r>
              <w:rPr>
                <w:rFonts w:ascii="Swis721 Cn BT"/>
                <w:color w:val="303B41"/>
                <w:sz w:val="18"/>
              </w:rPr>
              <w:t>Notes</w:t>
            </w:r>
            <w:r>
              <w:rPr>
                <w:rFonts w:ascii="Swis721 Cn BT"/>
                <w:sz w:val="18"/>
              </w:rPr>
            </w:r>
          </w:p>
        </w:tc>
        <w:tc>
          <w:tcPr>
            <w:tcW w:w="1240"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104"/>
              <w:jc w:val="right"/>
              <w:rPr>
                <w:rFonts w:ascii="Swis721 Cn BT" w:hAnsi="Swis721 Cn BT" w:cs="Swis721 Cn BT" w:eastAsia="Swis721 Cn BT"/>
                <w:sz w:val="18"/>
                <w:szCs w:val="18"/>
              </w:rPr>
            </w:pPr>
            <w:r>
              <w:rPr>
                <w:rFonts w:ascii="Swis721 Cn BT"/>
                <w:color w:val="303B41"/>
                <w:w w:val="95"/>
                <w:sz w:val="18"/>
              </w:rPr>
              <w:t>2019</w:t>
            </w:r>
            <w:r>
              <w:rPr>
                <w:rFonts w:ascii="Swis721 Cn BT"/>
                <w:sz w:val="18"/>
              </w:rPr>
            </w:r>
          </w:p>
          <w:p>
            <w:pPr>
              <w:pStyle w:val="TableParagraph"/>
              <w:spacing w:line="240" w:lineRule="auto"/>
              <w:ind w:right="104"/>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243"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100"/>
              <w:jc w:val="right"/>
              <w:rPr>
                <w:rFonts w:ascii="Swis721 Cn BT" w:hAnsi="Swis721 Cn BT" w:cs="Swis721 Cn BT" w:eastAsia="Swis721 Cn BT"/>
                <w:sz w:val="18"/>
                <w:szCs w:val="18"/>
              </w:rPr>
            </w:pPr>
            <w:r>
              <w:rPr>
                <w:rFonts w:ascii="Swis721 Cn BT"/>
                <w:color w:val="303B41"/>
                <w:w w:val="95"/>
                <w:sz w:val="18"/>
              </w:rPr>
              <w:t>2018</w:t>
            </w:r>
            <w:r>
              <w:rPr>
                <w:rFonts w:ascii="Swis721 Cn BT"/>
                <w:sz w:val="18"/>
              </w:rPr>
            </w:r>
          </w:p>
          <w:p>
            <w:pPr>
              <w:pStyle w:val="TableParagraph"/>
              <w:spacing w:line="240" w:lineRule="auto"/>
              <w:ind w:right="100"/>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225"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8"/>
              <w:jc w:val="right"/>
              <w:rPr>
                <w:rFonts w:ascii="Swis721 Cn BT" w:hAnsi="Swis721 Cn BT" w:cs="Swis721 Cn BT" w:eastAsia="Swis721 Cn BT"/>
                <w:sz w:val="18"/>
                <w:szCs w:val="18"/>
              </w:rPr>
            </w:pPr>
            <w:r>
              <w:rPr>
                <w:rFonts w:ascii="Swis721 Cn BT"/>
                <w:color w:val="303B41"/>
                <w:sz w:val="18"/>
              </w:rPr>
              <w:t>Original Budget</w:t>
            </w:r>
            <w:r>
              <w:rPr>
                <w:rFonts w:ascii="Swis721 Cn BT"/>
                <w:sz w:val="18"/>
              </w:rPr>
            </w:r>
          </w:p>
          <w:p>
            <w:pPr>
              <w:pStyle w:val="TableParagraph"/>
              <w:spacing w:line="240" w:lineRule="auto"/>
              <w:ind w:right="78"/>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r>
      <w:tr>
        <w:trPr>
          <w:trHeight w:val="552" w:hRule="exact"/>
        </w:trPr>
        <w:tc>
          <w:tcPr>
            <w:tcW w:w="3653" w:type="dxa"/>
            <w:tcBorders>
              <w:top w:val="nil" w:sz="6" w:space="0" w:color="auto"/>
              <w:left w:val="nil" w:sz="6" w:space="0" w:color="auto"/>
              <w:bottom w:val="nil" w:sz="6" w:space="0" w:color="auto"/>
              <w:right w:val="nil" w:sz="6" w:space="0" w:color="auto"/>
            </w:tcBorders>
          </w:tcPr>
          <w:p>
            <w:pPr>
              <w:pStyle w:val="TableParagraph"/>
              <w:spacing w:line="240" w:lineRule="auto" w:before="2"/>
              <w:ind w:right="0"/>
              <w:jc w:val="left"/>
              <w:rPr>
                <w:rFonts w:ascii="Swis721 Lt BT" w:hAnsi="Swis721 Lt BT" w:cs="Swis721 Lt BT" w:eastAsia="Swis721 Lt BT"/>
                <w:sz w:val="16"/>
                <w:szCs w:val="16"/>
              </w:rPr>
            </w:pPr>
          </w:p>
          <w:p>
            <w:pPr>
              <w:pStyle w:val="TableParagraph"/>
              <w:spacing w:line="240" w:lineRule="auto"/>
              <w:ind w:left="-1" w:right="0"/>
              <w:jc w:val="left"/>
              <w:rPr>
                <w:rFonts w:ascii="Swis721 BT" w:hAnsi="Swis721 BT" w:cs="Swis721 BT" w:eastAsia="Swis721 BT"/>
                <w:sz w:val="20"/>
                <w:szCs w:val="20"/>
              </w:rPr>
            </w:pPr>
            <w:r>
              <w:rPr>
                <w:rFonts w:ascii="Swis721 BT"/>
                <w:b/>
                <w:color w:val="00757A"/>
                <w:spacing w:val="-1"/>
                <w:sz w:val="20"/>
              </w:rPr>
              <w:t>OPERATING</w:t>
            </w:r>
            <w:r>
              <w:rPr>
                <w:rFonts w:ascii="Swis721 BT"/>
                <w:b/>
                <w:color w:val="00757A"/>
                <w:sz w:val="20"/>
              </w:rPr>
              <w:t> ACTIVITIES</w:t>
            </w:r>
            <w:r>
              <w:rPr>
                <w:rFonts w:ascii="Swis721 BT"/>
                <w:sz w:val="20"/>
              </w:rPr>
            </w:r>
          </w:p>
        </w:tc>
        <w:tc>
          <w:tcPr>
            <w:tcW w:w="633" w:type="dxa"/>
            <w:tcBorders>
              <w:top w:val="nil" w:sz="6" w:space="0" w:color="auto"/>
              <w:left w:val="nil" w:sz="6" w:space="0" w:color="auto"/>
              <w:bottom w:val="nil" w:sz="6" w:space="0" w:color="auto"/>
              <w:right w:val="nil" w:sz="6" w:space="0" w:color="auto"/>
            </w:tcBorders>
          </w:tcPr>
          <w:p>
            <w:pPr/>
          </w:p>
        </w:tc>
        <w:tc>
          <w:tcPr>
            <w:tcW w:w="1240" w:type="dxa"/>
            <w:tcBorders>
              <w:top w:val="nil" w:sz="6" w:space="0" w:color="auto"/>
              <w:left w:val="nil" w:sz="6" w:space="0" w:color="auto"/>
              <w:bottom w:val="nil" w:sz="6" w:space="0" w:color="auto"/>
              <w:right w:val="nil" w:sz="6" w:space="0" w:color="auto"/>
            </w:tcBorders>
          </w:tcPr>
          <w:p>
            <w:pPr/>
          </w:p>
        </w:tc>
        <w:tc>
          <w:tcPr>
            <w:tcW w:w="1243" w:type="dxa"/>
            <w:tcBorders>
              <w:top w:val="nil" w:sz="6" w:space="0" w:color="auto"/>
              <w:left w:val="nil" w:sz="6" w:space="0" w:color="auto"/>
              <w:bottom w:val="nil" w:sz="6" w:space="0" w:color="auto"/>
              <w:right w:val="nil" w:sz="6" w:space="0" w:color="auto"/>
            </w:tcBorders>
          </w:tcPr>
          <w:p>
            <w:pPr/>
          </w:p>
        </w:tc>
        <w:tc>
          <w:tcPr>
            <w:tcW w:w="1225" w:type="dxa"/>
            <w:tcBorders>
              <w:top w:val="nil" w:sz="6" w:space="0" w:color="auto"/>
              <w:left w:val="nil" w:sz="6" w:space="0" w:color="auto"/>
              <w:bottom w:val="nil" w:sz="6" w:space="0" w:color="auto"/>
              <w:right w:val="nil" w:sz="6" w:space="0" w:color="auto"/>
            </w:tcBorders>
          </w:tcPr>
          <w:p>
            <w:pPr/>
          </w:p>
        </w:tc>
      </w:tr>
      <w:tr>
        <w:trPr>
          <w:trHeight w:val="389" w:hRule="exact"/>
        </w:trPr>
        <w:tc>
          <w:tcPr>
            <w:tcW w:w="3653" w:type="dxa"/>
            <w:tcBorders>
              <w:top w:val="nil" w:sz="6" w:space="0" w:color="auto"/>
              <w:left w:val="nil" w:sz="6" w:space="0" w:color="auto"/>
              <w:bottom w:val="nil" w:sz="6" w:space="0" w:color="auto"/>
              <w:right w:val="nil" w:sz="6" w:space="0" w:color="auto"/>
            </w:tcBorders>
          </w:tcPr>
          <w:p>
            <w:pPr>
              <w:pStyle w:val="TableParagraph"/>
              <w:spacing w:line="240" w:lineRule="auto" w:before="95"/>
              <w:ind w:left="-1" w:right="0"/>
              <w:jc w:val="left"/>
              <w:rPr>
                <w:rFonts w:ascii="Swis721 Md BT" w:hAnsi="Swis721 Md BT" w:cs="Swis721 Md BT" w:eastAsia="Swis721 Md BT"/>
                <w:sz w:val="19"/>
                <w:szCs w:val="19"/>
              </w:rPr>
            </w:pPr>
            <w:r>
              <w:rPr>
                <w:rFonts w:ascii="Swis721 Md BT"/>
                <w:color w:val="303B41"/>
                <w:sz w:val="19"/>
              </w:rPr>
              <w:t>Cash received</w:t>
            </w:r>
            <w:r>
              <w:rPr>
                <w:rFonts w:ascii="Swis721 Md BT"/>
                <w:sz w:val="19"/>
              </w:rPr>
            </w:r>
          </w:p>
        </w:tc>
        <w:tc>
          <w:tcPr>
            <w:tcW w:w="633" w:type="dxa"/>
            <w:tcBorders>
              <w:top w:val="nil" w:sz="6" w:space="0" w:color="auto"/>
              <w:left w:val="nil" w:sz="6" w:space="0" w:color="auto"/>
              <w:bottom w:val="nil" w:sz="6" w:space="0" w:color="auto"/>
              <w:right w:val="nil" w:sz="6" w:space="0" w:color="auto"/>
            </w:tcBorders>
          </w:tcPr>
          <w:p>
            <w:pPr/>
          </w:p>
        </w:tc>
        <w:tc>
          <w:tcPr>
            <w:tcW w:w="1240" w:type="dxa"/>
            <w:tcBorders>
              <w:top w:val="nil" w:sz="6" w:space="0" w:color="auto"/>
              <w:left w:val="nil" w:sz="6" w:space="0" w:color="auto"/>
              <w:bottom w:val="nil" w:sz="6" w:space="0" w:color="auto"/>
              <w:right w:val="nil" w:sz="6" w:space="0" w:color="auto"/>
            </w:tcBorders>
          </w:tcPr>
          <w:p>
            <w:pPr/>
          </w:p>
        </w:tc>
        <w:tc>
          <w:tcPr>
            <w:tcW w:w="1243" w:type="dxa"/>
            <w:tcBorders>
              <w:top w:val="nil" w:sz="6" w:space="0" w:color="auto"/>
              <w:left w:val="nil" w:sz="6" w:space="0" w:color="auto"/>
              <w:bottom w:val="nil" w:sz="6" w:space="0" w:color="auto"/>
              <w:right w:val="nil" w:sz="6" w:space="0" w:color="auto"/>
            </w:tcBorders>
          </w:tcPr>
          <w:p>
            <w:pPr/>
          </w:p>
        </w:tc>
        <w:tc>
          <w:tcPr>
            <w:tcW w:w="1225" w:type="dxa"/>
            <w:tcBorders>
              <w:top w:val="nil" w:sz="6" w:space="0" w:color="auto"/>
              <w:left w:val="nil" w:sz="6" w:space="0" w:color="auto"/>
              <w:bottom w:val="nil" w:sz="6" w:space="0" w:color="auto"/>
              <w:right w:val="nil" w:sz="6" w:space="0" w:color="auto"/>
            </w:tcBorders>
          </w:tcPr>
          <w:p>
            <w:pPr/>
          </w:p>
        </w:tc>
      </w:tr>
      <w:tr>
        <w:trPr>
          <w:trHeight w:val="309" w:hRule="exact"/>
        </w:trPr>
        <w:tc>
          <w:tcPr>
            <w:tcW w:w="3653"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1" w:right="0"/>
              <w:jc w:val="left"/>
              <w:rPr>
                <w:rFonts w:ascii="Swis721 Lt BT" w:hAnsi="Swis721 Lt BT" w:cs="Swis721 Lt BT" w:eastAsia="Swis721 Lt BT"/>
                <w:sz w:val="18"/>
                <w:szCs w:val="18"/>
              </w:rPr>
            </w:pPr>
            <w:r>
              <w:rPr>
                <w:rFonts w:ascii="Swis721 Lt BT"/>
                <w:color w:val="231F20"/>
                <w:sz w:val="18"/>
              </w:rPr>
              <w:t>Government funding</w:t>
            </w:r>
            <w:r>
              <w:rPr>
                <w:rFonts w:ascii="Swis721 Lt BT"/>
                <w:sz w:val="18"/>
              </w:rPr>
            </w:r>
          </w:p>
        </w:tc>
        <w:tc>
          <w:tcPr>
            <w:tcW w:w="633" w:type="dxa"/>
            <w:tcBorders>
              <w:top w:val="nil" w:sz="6" w:space="0" w:color="auto"/>
              <w:left w:val="nil" w:sz="6" w:space="0" w:color="auto"/>
              <w:bottom w:val="single" w:sz="2" w:space="0" w:color="848B91"/>
              <w:right w:val="nil" w:sz="6" w:space="0" w:color="auto"/>
            </w:tcBorders>
          </w:tcPr>
          <w:p>
            <w:pPr/>
          </w:p>
        </w:tc>
        <w:tc>
          <w:tcPr>
            <w:tcW w:w="1240"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272" w:right="0"/>
              <w:jc w:val="left"/>
              <w:rPr>
                <w:rFonts w:ascii="Swis721 Lt BT" w:hAnsi="Swis721 Lt BT" w:cs="Swis721 Lt BT" w:eastAsia="Swis721 Lt BT"/>
                <w:sz w:val="18"/>
                <w:szCs w:val="18"/>
              </w:rPr>
            </w:pPr>
            <w:r>
              <w:rPr>
                <w:rFonts w:ascii="Swis721 Lt BT"/>
                <w:color w:val="231F20"/>
                <w:sz w:val="18"/>
              </w:rPr>
              <w:t>17,747,000</w:t>
            </w:r>
            <w:r>
              <w:rPr>
                <w:rFonts w:ascii="Swis721 Lt BT"/>
                <w:sz w:val="18"/>
              </w:rPr>
            </w:r>
          </w:p>
        </w:tc>
        <w:tc>
          <w:tcPr>
            <w:tcW w:w="1243"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272" w:right="0"/>
              <w:jc w:val="left"/>
              <w:rPr>
                <w:rFonts w:ascii="Swis721 Lt BT" w:hAnsi="Swis721 Lt BT" w:cs="Swis721 Lt BT" w:eastAsia="Swis721 Lt BT"/>
                <w:sz w:val="18"/>
                <w:szCs w:val="18"/>
              </w:rPr>
            </w:pPr>
            <w:r>
              <w:rPr>
                <w:rFonts w:ascii="Swis721 Lt BT"/>
                <w:color w:val="231F20"/>
                <w:sz w:val="18"/>
              </w:rPr>
              <w:t>14,401,200</w:t>
            </w:r>
            <w:r>
              <w:rPr>
                <w:rFonts w:ascii="Swis721 Lt BT"/>
                <w:sz w:val="18"/>
              </w:rPr>
            </w:r>
          </w:p>
        </w:tc>
        <w:tc>
          <w:tcPr>
            <w:tcW w:w="1225"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269" w:right="0"/>
              <w:jc w:val="left"/>
              <w:rPr>
                <w:rFonts w:ascii="Swis721 Lt BT" w:hAnsi="Swis721 Lt BT" w:cs="Swis721 Lt BT" w:eastAsia="Swis721 Lt BT"/>
                <w:sz w:val="18"/>
                <w:szCs w:val="18"/>
              </w:rPr>
            </w:pPr>
            <w:r>
              <w:rPr>
                <w:rFonts w:ascii="Swis721 Lt BT"/>
                <w:color w:val="231F20"/>
                <w:sz w:val="18"/>
              </w:rPr>
              <w:t>12,937,000</w:t>
            </w:r>
            <w:r>
              <w:rPr>
                <w:rFonts w:ascii="Swis721 Lt BT"/>
                <w:sz w:val="18"/>
              </w:rPr>
            </w:r>
          </w:p>
        </w:tc>
      </w:tr>
      <w:tr>
        <w:trPr>
          <w:trHeight w:val="329" w:hRule="exact"/>
        </w:trPr>
        <w:tc>
          <w:tcPr>
            <w:tcW w:w="365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Sales of services</w:t>
            </w:r>
            <w:r>
              <w:rPr>
                <w:rFonts w:ascii="Swis721 Lt BT"/>
                <w:sz w:val="18"/>
              </w:rPr>
            </w:r>
          </w:p>
        </w:tc>
        <w:tc>
          <w:tcPr>
            <w:tcW w:w="633" w:type="dxa"/>
            <w:tcBorders>
              <w:top w:val="single" w:sz="2" w:space="0" w:color="848B91"/>
              <w:left w:val="nil" w:sz="6" w:space="0" w:color="auto"/>
              <w:bottom w:val="single" w:sz="2" w:space="0" w:color="848B91"/>
              <w:right w:val="nil" w:sz="6" w:space="0" w:color="auto"/>
            </w:tcBorders>
          </w:tcPr>
          <w:p>
            <w:pPr/>
          </w:p>
        </w:tc>
        <w:tc>
          <w:tcPr>
            <w:tcW w:w="124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68" w:right="0"/>
              <w:jc w:val="left"/>
              <w:rPr>
                <w:rFonts w:ascii="Swis721 Lt BT" w:hAnsi="Swis721 Lt BT" w:cs="Swis721 Lt BT" w:eastAsia="Swis721 Lt BT"/>
                <w:sz w:val="18"/>
                <w:szCs w:val="18"/>
              </w:rPr>
            </w:pPr>
            <w:r>
              <w:rPr>
                <w:rFonts w:ascii="Swis721 Lt BT"/>
                <w:color w:val="231F20"/>
                <w:sz w:val="18"/>
              </w:rPr>
              <w:t>2,991,214</w:t>
            </w:r>
            <w:r>
              <w:rPr>
                <w:rFonts w:ascii="Swis721 Lt BT"/>
                <w:sz w:val="18"/>
              </w:rPr>
            </w:r>
          </w:p>
        </w:tc>
        <w:tc>
          <w:tcPr>
            <w:tcW w:w="124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68" w:right="0"/>
              <w:jc w:val="left"/>
              <w:rPr>
                <w:rFonts w:ascii="Swis721 Lt BT" w:hAnsi="Swis721 Lt BT" w:cs="Swis721 Lt BT" w:eastAsia="Swis721 Lt BT"/>
                <w:sz w:val="18"/>
                <w:szCs w:val="18"/>
              </w:rPr>
            </w:pPr>
            <w:r>
              <w:rPr>
                <w:rFonts w:ascii="Swis721 Lt BT"/>
                <w:color w:val="231F20"/>
                <w:sz w:val="18"/>
              </w:rPr>
              <w:t>2,581,385</w:t>
            </w:r>
            <w:r>
              <w:rPr>
                <w:rFonts w:ascii="Swis721 Lt BT"/>
                <w:sz w:val="18"/>
              </w:rPr>
            </w:r>
          </w:p>
        </w:tc>
        <w:tc>
          <w:tcPr>
            <w:tcW w:w="1225"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64" w:right="0"/>
              <w:jc w:val="left"/>
              <w:rPr>
                <w:rFonts w:ascii="Swis721 Lt BT" w:hAnsi="Swis721 Lt BT" w:cs="Swis721 Lt BT" w:eastAsia="Swis721 Lt BT"/>
                <w:sz w:val="18"/>
                <w:szCs w:val="18"/>
              </w:rPr>
            </w:pPr>
            <w:r>
              <w:rPr>
                <w:rFonts w:ascii="Swis721 Lt BT"/>
                <w:color w:val="231F20"/>
                <w:sz w:val="18"/>
              </w:rPr>
              <w:t>2,912,000</w:t>
            </w:r>
            <w:r>
              <w:rPr>
                <w:rFonts w:ascii="Swis721 Lt BT"/>
                <w:sz w:val="18"/>
              </w:rPr>
            </w:r>
          </w:p>
        </w:tc>
      </w:tr>
      <w:tr>
        <w:trPr>
          <w:trHeight w:val="329" w:hRule="exact"/>
        </w:trPr>
        <w:tc>
          <w:tcPr>
            <w:tcW w:w="365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Interest</w:t>
            </w:r>
            <w:r>
              <w:rPr>
                <w:rFonts w:ascii="Swis721 Lt BT"/>
                <w:sz w:val="18"/>
              </w:rPr>
            </w:r>
          </w:p>
        </w:tc>
        <w:tc>
          <w:tcPr>
            <w:tcW w:w="633" w:type="dxa"/>
            <w:tcBorders>
              <w:top w:val="single" w:sz="2" w:space="0" w:color="848B91"/>
              <w:left w:val="nil" w:sz="6" w:space="0" w:color="auto"/>
              <w:bottom w:val="single" w:sz="2" w:space="0" w:color="848B91"/>
              <w:right w:val="nil" w:sz="6" w:space="0" w:color="auto"/>
            </w:tcBorders>
          </w:tcPr>
          <w:p>
            <w:pPr/>
          </w:p>
        </w:tc>
        <w:tc>
          <w:tcPr>
            <w:tcW w:w="124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11" w:right="0"/>
              <w:jc w:val="left"/>
              <w:rPr>
                <w:rFonts w:ascii="Swis721 Lt BT" w:hAnsi="Swis721 Lt BT" w:cs="Swis721 Lt BT" w:eastAsia="Swis721 Lt BT"/>
                <w:sz w:val="18"/>
                <w:szCs w:val="18"/>
              </w:rPr>
            </w:pPr>
            <w:r>
              <w:rPr>
                <w:rFonts w:ascii="Swis721 Lt BT"/>
                <w:color w:val="231F20"/>
                <w:sz w:val="18"/>
              </w:rPr>
              <w:t>102,662</w:t>
            </w:r>
            <w:r>
              <w:rPr>
                <w:rFonts w:ascii="Swis721 Lt BT"/>
                <w:sz w:val="18"/>
              </w:rPr>
            </w:r>
          </w:p>
        </w:tc>
        <w:tc>
          <w:tcPr>
            <w:tcW w:w="124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607" w:right="0"/>
              <w:jc w:val="left"/>
              <w:rPr>
                <w:rFonts w:ascii="Swis721 Lt BT" w:hAnsi="Swis721 Lt BT" w:cs="Swis721 Lt BT" w:eastAsia="Swis721 Lt BT"/>
                <w:sz w:val="18"/>
                <w:szCs w:val="18"/>
              </w:rPr>
            </w:pPr>
            <w:r>
              <w:rPr>
                <w:rFonts w:ascii="Swis721 Lt BT"/>
                <w:color w:val="231F20"/>
                <w:sz w:val="18"/>
              </w:rPr>
              <w:t>50,701</w:t>
            </w:r>
            <w:r>
              <w:rPr>
                <w:rFonts w:ascii="Swis721 Lt BT"/>
                <w:sz w:val="18"/>
              </w:rPr>
            </w:r>
          </w:p>
        </w:tc>
        <w:tc>
          <w:tcPr>
            <w:tcW w:w="1225"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604" w:right="0"/>
              <w:jc w:val="left"/>
              <w:rPr>
                <w:rFonts w:ascii="Swis721 Lt BT" w:hAnsi="Swis721 Lt BT" w:cs="Swis721 Lt BT" w:eastAsia="Swis721 Lt BT"/>
                <w:sz w:val="18"/>
                <w:szCs w:val="18"/>
              </w:rPr>
            </w:pPr>
            <w:r>
              <w:rPr>
                <w:rFonts w:ascii="Swis721 Lt BT"/>
                <w:color w:val="231F20"/>
                <w:sz w:val="18"/>
              </w:rPr>
              <w:t>60,000</w:t>
            </w:r>
            <w:r>
              <w:rPr>
                <w:rFonts w:ascii="Swis721 Lt BT"/>
                <w:sz w:val="18"/>
              </w:rPr>
            </w:r>
          </w:p>
        </w:tc>
      </w:tr>
      <w:tr>
        <w:trPr>
          <w:trHeight w:val="360" w:hRule="exact"/>
        </w:trPr>
        <w:tc>
          <w:tcPr>
            <w:tcW w:w="365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Other</w:t>
            </w:r>
            <w:r>
              <w:rPr>
                <w:rFonts w:ascii="Swis721 Lt BT"/>
                <w:sz w:val="18"/>
              </w:rPr>
            </w:r>
          </w:p>
        </w:tc>
        <w:tc>
          <w:tcPr>
            <w:tcW w:w="633" w:type="dxa"/>
            <w:tcBorders>
              <w:top w:val="single" w:sz="2" w:space="0" w:color="848B91"/>
              <w:left w:val="nil" w:sz="6" w:space="0" w:color="auto"/>
              <w:bottom w:val="single" w:sz="8" w:space="0" w:color="848B91"/>
              <w:right w:val="nil" w:sz="6" w:space="0" w:color="auto"/>
            </w:tcBorders>
          </w:tcPr>
          <w:p>
            <w:pPr/>
          </w:p>
        </w:tc>
        <w:tc>
          <w:tcPr>
            <w:tcW w:w="1240"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607" w:right="0"/>
              <w:jc w:val="left"/>
              <w:rPr>
                <w:rFonts w:ascii="Swis721 Lt BT" w:hAnsi="Swis721 Lt BT" w:cs="Swis721 Lt BT" w:eastAsia="Swis721 Lt BT"/>
                <w:sz w:val="18"/>
                <w:szCs w:val="18"/>
              </w:rPr>
            </w:pPr>
            <w:r>
              <w:rPr>
                <w:rFonts w:ascii="Swis721 Lt BT"/>
                <w:color w:val="231F20"/>
                <w:sz w:val="18"/>
              </w:rPr>
              <w:t>60,963</w:t>
            </w:r>
            <w:r>
              <w:rPr>
                <w:rFonts w:ascii="Swis721 Lt BT"/>
                <w:sz w:val="18"/>
              </w:rPr>
            </w:r>
          </w:p>
        </w:tc>
        <w:tc>
          <w:tcPr>
            <w:tcW w:w="124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11" w:right="0"/>
              <w:jc w:val="left"/>
              <w:rPr>
                <w:rFonts w:ascii="Swis721 Lt BT" w:hAnsi="Swis721 Lt BT" w:cs="Swis721 Lt BT" w:eastAsia="Swis721 Lt BT"/>
                <w:sz w:val="18"/>
                <w:szCs w:val="18"/>
              </w:rPr>
            </w:pPr>
            <w:r>
              <w:rPr>
                <w:rFonts w:ascii="Swis721 Lt BT"/>
                <w:color w:val="231F20"/>
                <w:sz w:val="18"/>
              </w:rPr>
              <w:t>109,412</w:t>
            </w:r>
            <w:r>
              <w:rPr>
                <w:rFonts w:ascii="Swis721 Lt BT"/>
                <w:sz w:val="18"/>
              </w:rPr>
            </w:r>
          </w:p>
        </w:tc>
        <w:tc>
          <w:tcPr>
            <w:tcW w:w="1225"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488" w:right="0"/>
              <w:jc w:val="left"/>
              <w:rPr>
                <w:rFonts w:ascii="Swis721 Lt BT" w:hAnsi="Swis721 Lt BT" w:cs="Swis721 Lt BT" w:eastAsia="Swis721 Lt BT"/>
                <w:sz w:val="18"/>
                <w:szCs w:val="18"/>
              </w:rPr>
            </w:pPr>
            <w:r>
              <w:rPr>
                <w:rFonts w:ascii="Swis721 Lt BT"/>
                <w:color w:val="231F20"/>
                <w:sz w:val="18"/>
              </w:rPr>
              <w:t>119,000</w:t>
            </w:r>
            <w:r>
              <w:rPr>
                <w:rFonts w:ascii="Swis721 Lt BT"/>
                <w:sz w:val="18"/>
              </w:rPr>
            </w:r>
          </w:p>
        </w:tc>
      </w:tr>
      <w:tr>
        <w:trPr>
          <w:trHeight w:val="318" w:hRule="exact"/>
        </w:trPr>
        <w:tc>
          <w:tcPr>
            <w:tcW w:w="3653"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1" w:right="0"/>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cash received</w:t>
            </w:r>
            <w:r>
              <w:rPr>
                <w:rFonts w:ascii="Swis721 Md BT"/>
                <w:sz w:val="18"/>
              </w:rPr>
            </w:r>
          </w:p>
        </w:tc>
        <w:tc>
          <w:tcPr>
            <w:tcW w:w="633" w:type="dxa"/>
            <w:tcBorders>
              <w:top w:val="single" w:sz="8" w:space="0" w:color="848B91"/>
              <w:left w:val="nil" w:sz="6" w:space="0" w:color="auto"/>
              <w:bottom w:val="single" w:sz="2" w:space="0" w:color="848B91"/>
              <w:right w:val="nil" w:sz="6" w:space="0" w:color="auto"/>
            </w:tcBorders>
          </w:tcPr>
          <w:p>
            <w:pPr/>
          </w:p>
        </w:tc>
        <w:tc>
          <w:tcPr>
            <w:tcW w:w="1240"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232" w:right="0"/>
              <w:jc w:val="left"/>
              <w:rPr>
                <w:rFonts w:ascii="Swis721 Md BT" w:hAnsi="Swis721 Md BT" w:cs="Swis721 Md BT" w:eastAsia="Swis721 Md BT"/>
                <w:sz w:val="18"/>
                <w:szCs w:val="18"/>
              </w:rPr>
            </w:pPr>
            <w:r>
              <w:rPr>
                <w:rFonts w:ascii="Swis721 Md BT"/>
                <w:color w:val="231F20"/>
                <w:sz w:val="18"/>
              </w:rPr>
              <w:t>20,901,839</w:t>
            </w:r>
            <w:r>
              <w:rPr>
                <w:rFonts w:ascii="Swis721 Md BT"/>
                <w:sz w:val="18"/>
              </w:rPr>
            </w:r>
          </w:p>
        </w:tc>
        <w:tc>
          <w:tcPr>
            <w:tcW w:w="1243"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232" w:right="0"/>
              <w:jc w:val="left"/>
              <w:rPr>
                <w:rFonts w:ascii="Swis721 Md BT" w:hAnsi="Swis721 Md BT" w:cs="Swis721 Md BT" w:eastAsia="Swis721 Md BT"/>
                <w:sz w:val="18"/>
                <w:szCs w:val="18"/>
              </w:rPr>
            </w:pPr>
            <w:r>
              <w:rPr>
                <w:rFonts w:ascii="Swis721 Md BT"/>
                <w:color w:val="231F20"/>
                <w:sz w:val="18"/>
              </w:rPr>
              <w:t>17,142,698</w:t>
            </w:r>
            <w:r>
              <w:rPr>
                <w:rFonts w:ascii="Swis721 Md BT"/>
                <w:sz w:val="18"/>
              </w:rPr>
            </w:r>
          </w:p>
        </w:tc>
        <w:tc>
          <w:tcPr>
            <w:tcW w:w="1225"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228" w:right="0"/>
              <w:jc w:val="left"/>
              <w:rPr>
                <w:rFonts w:ascii="Swis721 Md BT" w:hAnsi="Swis721 Md BT" w:cs="Swis721 Md BT" w:eastAsia="Swis721 Md BT"/>
                <w:sz w:val="18"/>
                <w:szCs w:val="18"/>
              </w:rPr>
            </w:pPr>
            <w:r>
              <w:rPr>
                <w:rFonts w:ascii="Swis721 Md BT"/>
                <w:color w:val="231F20"/>
                <w:sz w:val="18"/>
              </w:rPr>
              <w:t>16,028,000</w:t>
            </w:r>
            <w:r>
              <w:rPr>
                <w:rFonts w:ascii="Swis721 Md BT"/>
                <w:sz w:val="18"/>
              </w:rPr>
            </w:r>
          </w:p>
        </w:tc>
      </w:tr>
      <w:tr>
        <w:trPr>
          <w:trHeight w:val="463" w:hRule="exact"/>
        </w:trPr>
        <w:tc>
          <w:tcPr>
            <w:tcW w:w="3653" w:type="dxa"/>
            <w:tcBorders>
              <w:top w:val="single" w:sz="2" w:space="0" w:color="848B91"/>
              <w:left w:val="nil" w:sz="6" w:space="0" w:color="auto"/>
              <w:bottom w:val="nil" w:sz="6" w:space="0" w:color="auto"/>
              <w:right w:val="nil" w:sz="6" w:space="0" w:color="auto"/>
            </w:tcBorders>
          </w:tcPr>
          <w:p>
            <w:pPr>
              <w:pStyle w:val="TableParagraph"/>
              <w:spacing w:line="240" w:lineRule="auto" w:before="1"/>
              <w:ind w:right="0"/>
              <w:jc w:val="left"/>
              <w:rPr>
                <w:rFonts w:ascii="Swis721 Lt BT" w:hAnsi="Swis721 Lt BT" w:cs="Swis721 Lt BT" w:eastAsia="Swis721 Lt BT"/>
                <w:sz w:val="14"/>
                <w:szCs w:val="14"/>
              </w:rPr>
            </w:pPr>
          </w:p>
          <w:p>
            <w:pPr>
              <w:pStyle w:val="TableParagraph"/>
              <w:spacing w:line="240" w:lineRule="auto"/>
              <w:ind w:left="-1" w:right="0"/>
              <w:jc w:val="left"/>
              <w:rPr>
                <w:rFonts w:ascii="Swis721 Md BT" w:hAnsi="Swis721 Md BT" w:cs="Swis721 Md BT" w:eastAsia="Swis721 Md BT"/>
                <w:sz w:val="19"/>
                <w:szCs w:val="19"/>
              </w:rPr>
            </w:pPr>
            <w:r>
              <w:rPr>
                <w:rFonts w:ascii="Swis721 Md BT"/>
                <w:color w:val="303B41"/>
                <w:sz w:val="19"/>
              </w:rPr>
              <w:t>Cash used</w:t>
            </w:r>
            <w:r>
              <w:rPr>
                <w:rFonts w:ascii="Swis721 Md BT"/>
                <w:sz w:val="19"/>
              </w:rPr>
            </w:r>
          </w:p>
        </w:tc>
        <w:tc>
          <w:tcPr>
            <w:tcW w:w="633" w:type="dxa"/>
            <w:tcBorders>
              <w:top w:val="single" w:sz="2" w:space="0" w:color="848B91"/>
              <w:left w:val="nil" w:sz="6" w:space="0" w:color="auto"/>
              <w:bottom w:val="nil" w:sz="6" w:space="0" w:color="auto"/>
              <w:right w:val="nil" w:sz="6" w:space="0" w:color="auto"/>
            </w:tcBorders>
          </w:tcPr>
          <w:p>
            <w:pPr/>
          </w:p>
        </w:tc>
        <w:tc>
          <w:tcPr>
            <w:tcW w:w="1240" w:type="dxa"/>
            <w:tcBorders>
              <w:top w:val="single" w:sz="2" w:space="0" w:color="848B91"/>
              <w:left w:val="nil" w:sz="6" w:space="0" w:color="auto"/>
              <w:bottom w:val="nil" w:sz="6" w:space="0" w:color="auto"/>
              <w:right w:val="nil" w:sz="6" w:space="0" w:color="auto"/>
            </w:tcBorders>
          </w:tcPr>
          <w:p>
            <w:pPr/>
          </w:p>
        </w:tc>
        <w:tc>
          <w:tcPr>
            <w:tcW w:w="1243" w:type="dxa"/>
            <w:tcBorders>
              <w:top w:val="single" w:sz="2" w:space="0" w:color="848B91"/>
              <w:left w:val="nil" w:sz="6" w:space="0" w:color="auto"/>
              <w:bottom w:val="nil" w:sz="6" w:space="0" w:color="auto"/>
              <w:right w:val="nil" w:sz="6" w:space="0" w:color="auto"/>
            </w:tcBorders>
          </w:tcPr>
          <w:p>
            <w:pPr/>
          </w:p>
        </w:tc>
        <w:tc>
          <w:tcPr>
            <w:tcW w:w="1225" w:type="dxa"/>
            <w:tcBorders>
              <w:top w:val="single" w:sz="2" w:space="0" w:color="848B91"/>
              <w:left w:val="nil" w:sz="6" w:space="0" w:color="auto"/>
              <w:bottom w:val="nil" w:sz="6" w:space="0" w:color="auto"/>
              <w:right w:val="nil" w:sz="6" w:space="0" w:color="auto"/>
            </w:tcBorders>
          </w:tcPr>
          <w:p>
            <w:pPr/>
          </w:p>
        </w:tc>
      </w:tr>
      <w:tr>
        <w:trPr>
          <w:trHeight w:val="309" w:hRule="exact"/>
        </w:trPr>
        <w:tc>
          <w:tcPr>
            <w:tcW w:w="3653"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1" w:right="0"/>
              <w:jc w:val="left"/>
              <w:rPr>
                <w:rFonts w:ascii="Swis721 Lt BT" w:hAnsi="Swis721 Lt BT" w:cs="Swis721 Lt BT" w:eastAsia="Swis721 Lt BT"/>
                <w:sz w:val="18"/>
                <w:szCs w:val="18"/>
              </w:rPr>
            </w:pPr>
            <w:r>
              <w:rPr>
                <w:rFonts w:ascii="Swis721 Lt BT"/>
                <w:color w:val="231F20"/>
                <w:sz w:val="18"/>
              </w:rPr>
              <w:t>Board of Directors</w:t>
            </w:r>
            <w:r>
              <w:rPr>
                <w:rFonts w:ascii="Swis721 Lt BT"/>
                <w:sz w:val="18"/>
              </w:rPr>
            </w:r>
          </w:p>
        </w:tc>
        <w:tc>
          <w:tcPr>
            <w:tcW w:w="633" w:type="dxa"/>
            <w:tcBorders>
              <w:top w:val="nil" w:sz="6" w:space="0" w:color="auto"/>
              <w:left w:val="nil" w:sz="6" w:space="0" w:color="auto"/>
              <w:bottom w:val="single" w:sz="2" w:space="0" w:color="848B91"/>
              <w:right w:val="nil" w:sz="6" w:space="0" w:color="auto"/>
            </w:tcBorders>
          </w:tcPr>
          <w:p>
            <w:pPr/>
          </w:p>
        </w:tc>
        <w:tc>
          <w:tcPr>
            <w:tcW w:w="1240"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398" w:right="0"/>
              <w:jc w:val="left"/>
              <w:rPr>
                <w:rFonts w:ascii="Swis721 Lt BT" w:hAnsi="Swis721 Lt BT" w:cs="Swis721 Lt BT" w:eastAsia="Swis721 Lt BT"/>
                <w:sz w:val="18"/>
                <w:szCs w:val="18"/>
              </w:rPr>
            </w:pPr>
            <w:r>
              <w:rPr>
                <w:rFonts w:ascii="Swis721 Lt BT"/>
                <w:color w:val="231F20"/>
                <w:sz w:val="18"/>
              </w:rPr>
              <w:t>(446,930)</w:t>
            </w:r>
            <w:r>
              <w:rPr>
                <w:rFonts w:ascii="Swis721 Lt BT"/>
                <w:sz w:val="18"/>
              </w:rPr>
            </w:r>
          </w:p>
        </w:tc>
        <w:tc>
          <w:tcPr>
            <w:tcW w:w="1243"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398" w:right="0"/>
              <w:jc w:val="left"/>
              <w:rPr>
                <w:rFonts w:ascii="Swis721 Lt BT" w:hAnsi="Swis721 Lt BT" w:cs="Swis721 Lt BT" w:eastAsia="Swis721 Lt BT"/>
                <w:sz w:val="18"/>
                <w:szCs w:val="18"/>
              </w:rPr>
            </w:pPr>
            <w:r>
              <w:rPr>
                <w:rFonts w:ascii="Swis721 Lt BT"/>
                <w:color w:val="231F20"/>
                <w:sz w:val="18"/>
              </w:rPr>
              <w:t>(359,079)</w:t>
            </w:r>
            <w:r>
              <w:rPr>
                <w:rFonts w:ascii="Swis721 Lt BT"/>
                <w:sz w:val="18"/>
              </w:rPr>
            </w:r>
          </w:p>
        </w:tc>
        <w:tc>
          <w:tcPr>
            <w:tcW w:w="1225"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394" w:right="0"/>
              <w:jc w:val="left"/>
              <w:rPr>
                <w:rFonts w:ascii="Swis721 Lt BT" w:hAnsi="Swis721 Lt BT" w:cs="Swis721 Lt BT" w:eastAsia="Swis721 Lt BT"/>
                <w:sz w:val="18"/>
                <w:szCs w:val="18"/>
              </w:rPr>
            </w:pPr>
            <w:r>
              <w:rPr>
                <w:rFonts w:ascii="Swis721 Lt BT"/>
                <w:color w:val="231F20"/>
                <w:sz w:val="18"/>
              </w:rPr>
              <w:t>(499,000)</w:t>
            </w:r>
            <w:r>
              <w:rPr>
                <w:rFonts w:ascii="Swis721 Lt BT"/>
                <w:sz w:val="18"/>
              </w:rPr>
            </w:r>
          </w:p>
        </w:tc>
      </w:tr>
      <w:tr>
        <w:trPr>
          <w:trHeight w:val="329" w:hRule="exact"/>
        </w:trPr>
        <w:tc>
          <w:tcPr>
            <w:tcW w:w="365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Employees</w:t>
            </w:r>
            <w:r>
              <w:rPr>
                <w:rFonts w:ascii="Swis721 Lt BT"/>
                <w:sz w:val="18"/>
              </w:rPr>
            </w:r>
          </w:p>
        </w:tc>
        <w:tc>
          <w:tcPr>
            <w:tcW w:w="633" w:type="dxa"/>
            <w:tcBorders>
              <w:top w:val="single" w:sz="2" w:space="0" w:color="848B91"/>
              <w:left w:val="nil" w:sz="6" w:space="0" w:color="auto"/>
              <w:bottom w:val="single" w:sz="2" w:space="0" w:color="848B91"/>
              <w:right w:val="nil" w:sz="6" w:space="0" w:color="auto"/>
            </w:tcBorders>
          </w:tcPr>
          <w:p>
            <w:pPr/>
          </w:p>
        </w:tc>
        <w:tc>
          <w:tcPr>
            <w:tcW w:w="124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54" w:right="0"/>
              <w:jc w:val="left"/>
              <w:rPr>
                <w:rFonts w:ascii="Swis721 Lt BT" w:hAnsi="Swis721 Lt BT" w:cs="Swis721 Lt BT" w:eastAsia="Swis721 Lt BT"/>
                <w:sz w:val="18"/>
                <w:szCs w:val="18"/>
              </w:rPr>
            </w:pPr>
            <w:r>
              <w:rPr>
                <w:rFonts w:ascii="Swis721 Lt BT"/>
                <w:color w:val="231F20"/>
                <w:sz w:val="18"/>
              </w:rPr>
              <w:t>(8,609,322)</w:t>
            </w:r>
            <w:r>
              <w:rPr>
                <w:rFonts w:ascii="Swis721 Lt BT"/>
                <w:sz w:val="18"/>
              </w:rPr>
            </w:r>
          </w:p>
        </w:tc>
        <w:tc>
          <w:tcPr>
            <w:tcW w:w="124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54" w:right="0"/>
              <w:jc w:val="left"/>
              <w:rPr>
                <w:rFonts w:ascii="Swis721 Lt BT" w:hAnsi="Swis721 Lt BT" w:cs="Swis721 Lt BT" w:eastAsia="Swis721 Lt BT"/>
                <w:sz w:val="18"/>
                <w:szCs w:val="18"/>
              </w:rPr>
            </w:pPr>
            <w:r>
              <w:rPr>
                <w:rFonts w:ascii="Swis721 Lt BT"/>
                <w:color w:val="231F20"/>
                <w:sz w:val="18"/>
              </w:rPr>
              <w:t>(7,417,674)</w:t>
            </w:r>
            <w:r>
              <w:rPr>
                <w:rFonts w:ascii="Swis721 Lt BT"/>
                <w:sz w:val="18"/>
              </w:rPr>
            </w:r>
          </w:p>
        </w:tc>
        <w:tc>
          <w:tcPr>
            <w:tcW w:w="1225"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51" w:right="0"/>
              <w:jc w:val="left"/>
              <w:rPr>
                <w:rFonts w:ascii="Swis721 Lt BT" w:hAnsi="Swis721 Lt BT" w:cs="Swis721 Lt BT" w:eastAsia="Swis721 Lt BT"/>
                <w:sz w:val="18"/>
                <w:szCs w:val="18"/>
              </w:rPr>
            </w:pPr>
            <w:r>
              <w:rPr>
                <w:rFonts w:ascii="Swis721 Lt BT"/>
                <w:color w:val="231F20"/>
                <w:sz w:val="18"/>
              </w:rPr>
              <w:t>(7,826,000)</w:t>
            </w:r>
            <w:r>
              <w:rPr>
                <w:rFonts w:ascii="Swis721 Lt BT"/>
                <w:sz w:val="18"/>
              </w:rPr>
            </w:r>
          </w:p>
        </w:tc>
      </w:tr>
      <w:tr>
        <w:trPr>
          <w:trHeight w:val="329" w:hRule="exact"/>
        </w:trPr>
        <w:tc>
          <w:tcPr>
            <w:tcW w:w="365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Suppliers</w:t>
            </w:r>
            <w:r>
              <w:rPr>
                <w:rFonts w:ascii="Swis721 Lt BT"/>
                <w:sz w:val="18"/>
              </w:rPr>
            </w:r>
          </w:p>
        </w:tc>
        <w:tc>
          <w:tcPr>
            <w:tcW w:w="633" w:type="dxa"/>
            <w:tcBorders>
              <w:top w:val="single" w:sz="2" w:space="0" w:color="848B91"/>
              <w:left w:val="nil" w:sz="6" w:space="0" w:color="auto"/>
              <w:bottom w:val="single" w:sz="2" w:space="0" w:color="848B91"/>
              <w:right w:val="nil" w:sz="6" w:space="0" w:color="auto"/>
            </w:tcBorders>
          </w:tcPr>
          <w:p>
            <w:pPr/>
          </w:p>
        </w:tc>
        <w:tc>
          <w:tcPr>
            <w:tcW w:w="124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54" w:right="0"/>
              <w:jc w:val="left"/>
              <w:rPr>
                <w:rFonts w:ascii="Swis721 Lt BT" w:hAnsi="Swis721 Lt BT" w:cs="Swis721 Lt BT" w:eastAsia="Swis721 Lt BT"/>
                <w:sz w:val="18"/>
                <w:szCs w:val="18"/>
              </w:rPr>
            </w:pPr>
            <w:r>
              <w:rPr>
                <w:rFonts w:ascii="Swis721 Lt BT"/>
                <w:color w:val="231F20"/>
                <w:sz w:val="18"/>
              </w:rPr>
              <w:t>(8,216,321)</w:t>
            </w:r>
            <w:r>
              <w:rPr>
                <w:rFonts w:ascii="Swis721 Lt BT"/>
                <w:sz w:val="18"/>
              </w:rPr>
            </w:r>
          </w:p>
        </w:tc>
        <w:tc>
          <w:tcPr>
            <w:tcW w:w="124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54" w:right="0"/>
              <w:jc w:val="left"/>
              <w:rPr>
                <w:rFonts w:ascii="Swis721 Lt BT" w:hAnsi="Swis721 Lt BT" w:cs="Swis721 Lt BT" w:eastAsia="Swis721 Lt BT"/>
                <w:sz w:val="18"/>
                <w:szCs w:val="18"/>
              </w:rPr>
            </w:pPr>
            <w:r>
              <w:rPr>
                <w:rFonts w:ascii="Swis721 Lt BT"/>
                <w:color w:val="231F20"/>
                <w:sz w:val="18"/>
              </w:rPr>
              <w:t>(6,618,476)</w:t>
            </w:r>
            <w:r>
              <w:rPr>
                <w:rFonts w:ascii="Swis721 Lt BT"/>
                <w:sz w:val="18"/>
              </w:rPr>
            </w:r>
          </w:p>
        </w:tc>
        <w:tc>
          <w:tcPr>
            <w:tcW w:w="1225"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51" w:right="0"/>
              <w:jc w:val="left"/>
              <w:rPr>
                <w:rFonts w:ascii="Swis721 Lt BT" w:hAnsi="Swis721 Lt BT" w:cs="Swis721 Lt BT" w:eastAsia="Swis721 Lt BT"/>
                <w:sz w:val="18"/>
                <w:szCs w:val="18"/>
              </w:rPr>
            </w:pPr>
            <w:r>
              <w:rPr>
                <w:rFonts w:ascii="Swis721 Lt BT"/>
                <w:color w:val="231F20"/>
                <w:sz w:val="18"/>
              </w:rPr>
              <w:t>(6,621,000)</w:t>
            </w:r>
            <w:r>
              <w:rPr>
                <w:rFonts w:ascii="Swis721 Lt BT"/>
                <w:sz w:val="18"/>
              </w:rPr>
            </w:r>
          </w:p>
        </w:tc>
      </w:tr>
      <w:tr>
        <w:trPr>
          <w:trHeight w:val="341" w:hRule="exact"/>
        </w:trPr>
        <w:tc>
          <w:tcPr>
            <w:tcW w:w="365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Net</w:t>
            </w:r>
            <w:r>
              <w:rPr>
                <w:rFonts w:ascii="Swis721 Lt BT"/>
                <w:color w:val="231F20"/>
                <w:spacing w:val="-1"/>
                <w:sz w:val="18"/>
              </w:rPr>
              <w:t> </w:t>
            </w:r>
            <w:r>
              <w:rPr>
                <w:rFonts w:ascii="Swis721 Lt BT"/>
                <w:color w:val="231F20"/>
                <w:sz w:val="18"/>
              </w:rPr>
              <w:t>GST</w:t>
            </w:r>
            <w:r>
              <w:rPr>
                <w:rFonts w:ascii="Swis721 Lt BT"/>
                <w:color w:val="231F20"/>
                <w:spacing w:val="-1"/>
                <w:sz w:val="18"/>
              </w:rPr>
              <w:t> </w:t>
            </w:r>
            <w:r>
              <w:rPr>
                <w:rFonts w:ascii="Swis721 Lt BT"/>
                <w:color w:val="231F20"/>
                <w:sz w:val="18"/>
              </w:rPr>
              <w:t>paid to</w:t>
            </w:r>
            <w:r>
              <w:rPr>
                <w:rFonts w:ascii="Swis721 Lt BT"/>
                <w:color w:val="231F20"/>
                <w:spacing w:val="-1"/>
                <w:sz w:val="18"/>
              </w:rPr>
              <w:t> </w:t>
            </w:r>
            <w:r>
              <w:rPr>
                <w:rFonts w:ascii="Swis721 Lt BT"/>
                <w:color w:val="231F20"/>
                <w:sz w:val="18"/>
              </w:rPr>
              <w:t>the</w:t>
            </w:r>
            <w:r>
              <w:rPr>
                <w:rFonts w:ascii="Swis721 Lt BT"/>
                <w:color w:val="231F20"/>
                <w:spacing w:val="-1"/>
                <w:sz w:val="18"/>
              </w:rPr>
              <w:t> </w:t>
            </w:r>
            <w:r>
              <w:rPr>
                <w:rFonts w:ascii="Swis721 Lt BT"/>
                <w:color w:val="231F20"/>
                <w:sz w:val="18"/>
              </w:rPr>
              <w:t>Australian </w:t>
            </w:r>
            <w:r>
              <w:rPr>
                <w:rFonts w:ascii="Swis721 Lt BT"/>
                <w:color w:val="231F20"/>
                <w:spacing w:val="-25"/>
                <w:sz w:val="18"/>
              </w:rPr>
              <w:t>T</w:t>
            </w:r>
            <w:r>
              <w:rPr>
                <w:rFonts w:ascii="Swis721 Lt BT"/>
                <w:color w:val="231F20"/>
                <w:sz w:val="18"/>
              </w:rPr>
              <w:t>axation</w:t>
            </w:r>
            <w:r>
              <w:rPr>
                <w:rFonts w:ascii="Swis721 Lt BT"/>
                <w:color w:val="231F20"/>
                <w:spacing w:val="-1"/>
                <w:sz w:val="18"/>
              </w:rPr>
              <w:t> </w:t>
            </w:r>
            <w:r>
              <w:rPr>
                <w:rFonts w:ascii="Swis721 Lt BT"/>
                <w:color w:val="231F20"/>
                <w:sz w:val="18"/>
              </w:rPr>
              <w:t>Office</w:t>
            </w:r>
            <w:r>
              <w:rPr>
                <w:rFonts w:ascii="Swis721 Lt BT"/>
                <w:sz w:val="18"/>
              </w:rPr>
            </w:r>
          </w:p>
        </w:tc>
        <w:tc>
          <w:tcPr>
            <w:tcW w:w="633" w:type="dxa"/>
            <w:tcBorders>
              <w:top w:val="single" w:sz="2" w:space="0" w:color="848B91"/>
              <w:left w:val="nil" w:sz="6" w:space="0" w:color="auto"/>
              <w:bottom w:val="single" w:sz="8" w:space="0" w:color="848B91"/>
              <w:right w:val="nil" w:sz="6" w:space="0" w:color="auto"/>
            </w:tcBorders>
          </w:tcPr>
          <w:p>
            <w:pPr/>
          </w:p>
        </w:tc>
        <w:tc>
          <w:tcPr>
            <w:tcW w:w="1240"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11" w:right="0"/>
              <w:jc w:val="left"/>
              <w:rPr>
                <w:rFonts w:ascii="Swis721 Lt BT" w:hAnsi="Swis721 Lt BT" w:cs="Swis721 Lt BT" w:eastAsia="Swis721 Lt BT"/>
                <w:sz w:val="18"/>
                <w:szCs w:val="18"/>
              </w:rPr>
            </w:pPr>
            <w:r>
              <w:rPr>
                <w:rFonts w:ascii="Swis721 Lt BT"/>
                <w:color w:val="231F20"/>
                <w:sz w:val="18"/>
              </w:rPr>
              <w:t>300,210</w:t>
            </w:r>
            <w:r>
              <w:rPr>
                <w:rFonts w:ascii="Swis721 Lt BT"/>
                <w:sz w:val="18"/>
              </w:rPr>
            </w:r>
          </w:p>
        </w:tc>
        <w:tc>
          <w:tcPr>
            <w:tcW w:w="124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398" w:right="0"/>
              <w:jc w:val="left"/>
              <w:rPr>
                <w:rFonts w:ascii="Swis721 Lt BT" w:hAnsi="Swis721 Lt BT" w:cs="Swis721 Lt BT" w:eastAsia="Swis721 Lt BT"/>
                <w:sz w:val="18"/>
                <w:szCs w:val="18"/>
              </w:rPr>
            </w:pPr>
            <w:r>
              <w:rPr>
                <w:rFonts w:ascii="Swis721 Lt BT"/>
                <w:color w:val="231F20"/>
                <w:sz w:val="18"/>
              </w:rPr>
              <w:t>(806,450)</w:t>
            </w:r>
            <w:r>
              <w:rPr>
                <w:rFonts w:ascii="Swis721 Lt BT"/>
                <w:sz w:val="18"/>
              </w:rPr>
            </w:r>
          </w:p>
        </w:tc>
        <w:tc>
          <w:tcPr>
            <w:tcW w:w="1225"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394" w:right="0"/>
              <w:jc w:val="left"/>
              <w:rPr>
                <w:rFonts w:ascii="Swis721 Lt BT" w:hAnsi="Swis721 Lt BT" w:cs="Swis721 Lt BT" w:eastAsia="Swis721 Lt BT"/>
                <w:sz w:val="18"/>
                <w:szCs w:val="18"/>
              </w:rPr>
            </w:pPr>
            <w:r>
              <w:rPr>
                <w:rFonts w:ascii="Swis721 Lt BT"/>
                <w:color w:val="231F20"/>
                <w:sz w:val="18"/>
              </w:rPr>
              <w:t>(733,000)</w:t>
            </w:r>
            <w:r>
              <w:rPr>
                <w:rFonts w:ascii="Swis721 Lt BT"/>
                <w:sz w:val="18"/>
              </w:rPr>
            </w:r>
          </w:p>
        </w:tc>
      </w:tr>
      <w:tr>
        <w:trPr>
          <w:trHeight w:val="349" w:hRule="exact"/>
        </w:trPr>
        <w:tc>
          <w:tcPr>
            <w:tcW w:w="365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cash used</w:t>
            </w:r>
            <w:r>
              <w:rPr>
                <w:rFonts w:ascii="Swis721 Md BT"/>
                <w:sz w:val="18"/>
              </w:rPr>
            </w:r>
          </w:p>
        </w:tc>
        <w:tc>
          <w:tcPr>
            <w:tcW w:w="633" w:type="dxa"/>
            <w:tcBorders>
              <w:top w:val="single" w:sz="8" w:space="0" w:color="848B91"/>
              <w:left w:val="nil" w:sz="6" w:space="0" w:color="auto"/>
              <w:bottom w:val="single" w:sz="8" w:space="0" w:color="848B91"/>
              <w:right w:val="nil" w:sz="6" w:space="0" w:color="auto"/>
            </w:tcBorders>
          </w:tcPr>
          <w:p>
            <w:pPr/>
          </w:p>
        </w:tc>
        <w:tc>
          <w:tcPr>
            <w:tcW w:w="1240"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05" w:right="0"/>
              <w:jc w:val="left"/>
              <w:rPr>
                <w:rFonts w:ascii="Swis721 Md BT" w:hAnsi="Swis721 Md BT" w:cs="Swis721 Md BT" w:eastAsia="Swis721 Md BT"/>
                <w:sz w:val="18"/>
                <w:szCs w:val="18"/>
              </w:rPr>
            </w:pPr>
            <w:r>
              <w:rPr>
                <w:rFonts w:ascii="Swis721 Md BT"/>
                <w:color w:val="231F20"/>
                <w:sz w:val="18"/>
              </w:rPr>
              <w:t>(16,972,363)</w:t>
            </w:r>
            <w:r>
              <w:rPr>
                <w:rFonts w:ascii="Swis721 Md BT"/>
                <w:sz w:val="18"/>
              </w:rPr>
            </w:r>
          </w:p>
        </w:tc>
        <w:tc>
          <w:tcPr>
            <w:tcW w:w="124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05" w:right="0"/>
              <w:jc w:val="left"/>
              <w:rPr>
                <w:rFonts w:ascii="Swis721 Md BT" w:hAnsi="Swis721 Md BT" w:cs="Swis721 Md BT" w:eastAsia="Swis721 Md BT"/>
                <w:sz w:val="18"/>
                <w:szCs w:val="18"/>
              </w:rPr>
            </w:pPr>
            <w:r>
              <w:rPr>
                <w:rFonts w:ascii="Swis721 Md BT"/>
                <w:color w:val="231F20"/>
                <w:sz w:val="18"/>
              </w:rPr>
              <w:t>(15,201,679)</w:t>
            </w:r>
            <w:r>
              <w:rPr>
                <w:rFonts w:ascii="Swis721 Md BT"/>
                <w:sz w:val="18"/>
              </w:rPr>
            </w:r>
          </w:p>
        </w:tc>
        <w:tc>
          <w:tcPr>
            <w:tcW w:w="1225"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02" w:right="0"/>
              <w:jc w:val="left"/>
              <w:rPr>
                <w:rFonts w:ascii="Swis721 Md BT" w:hAnsi="Swis721 Md BT" w:cs="Swis721 Md BT" w:eastAsia="Swis721 Md BT"/>
                <w:sz w:val="18"/>
                <w:szCs w:val="18"/>
              </w:rPr>
            </w:pPr>
            <w:r>
              <w:rPr>
                <w:rFonts w:ascii="Swis721 Md BT"/>
                <w:color w:val="231F20"/>
                <w:sz w:val="18"/>
              </w:rPr>
              <w:t>(15,679,000)</w:t>
            </w:r>
            <w:r>
              <w:rPr>
                <w:rFonts w:ascii="Swis721 Md BT"/>
                <w:sz w:val="18"/>
              </w:rPr>
            </w:r>
          </w:p>
        </w:tc>
      </w:tr>
      <w:tr>
        <w:trPr>
          <w:trHeight w:val="349" w:hRule="exact"/>
        </w:trPr>
        <w:tc>
          <w:tcPr>
            <w:tcW w:w="365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z w:val="18"/>
              </w:rPr>
              <w:t>Net cash provided by operating activities</w:t>
            </w:r>
            <w:r>
              <w:rPr>
                <w:rFonts w:ascii="Swis721 Md BT"/>
                <w:sz w:val="18"/>
              </w:rPr>
            </w:r>
          </w:p>
        </w:tc>
        <w:tc>
          <w:tcPr>
            <w:tcW w:w="63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right="103"/>
              <w:jc w:val="right"/>
              <w:rPr>
                <w:rFonts w:ascii="Swis721 Md BT" w:hAnsi="Swis721 Md BT" w:cs="Swis721 Md BT" w:eastAsia="Swis721 Md BT"/>
                <w:sz w:val="18"/>
                <w:szCs w:val="18"/>
              </w:rPr>
            </w:pPr>
            <w:r>
              <w:rPr>
                <w:rFonts w:ascii="Swis721 Md BT"/>
                <w:color w:val="231F20"/>
                <w:sz w:val="18"/>
              </w:rPr>
              <w:t>7</w:t>
            </w:r>
            <w:r>
              <w:rPr>
                <w:rFonts w:ascii="Swis721 Md BT"/>
                <w:sz w:val="18"/>
              </w:rPr>
            </w:r>
          </w:p>
        </w:tc>
        <w:tc>
          <w:tcPr>
            <w:tcW w:w="1240"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32" w:right="0"/>
              <w:jc w:val="left"/>
              <w:rPr>
                <w:rFonts w:ascii="Swis721 Md BT" w:hAnsi="Swis721 Md BT" w:cs="Swis721 Md BT" w:eastAsia="Swis721 Md BT"/>
                <w:sz w:val="18"/>
                <w:szCs w:val="18"/>
              </w:rPr>
            </w:pPr>
            <w:r>
              <w:rPr>
                <w:rFonts w:ascii="Swis721 Md BT"/>
                <w:color w:val="231F20"/>
                <w:sz w:val="18"/>
              </w:rPr>
              <w:t>3,929,476</w:t>
            </w:r>
            <w:r>
              <w:rPr>
                <w:rFonts w:ascii="Swis721 Md BT"/>
                <w:sz w:val="18"/>
              </w:rPr>
            </w:r>
          </w:p>
        </w:tc>
        <w:tc>
          <w:tcPr>
            <w:tcW w:w="124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32" w:right="0"/>
              <w:jc w:val="left"/>
              <w:rPr>
                <w:rFonts w:ascii="Swis721 Md BT" w:hAnsi="Swis721 Md BT" w:cs="Swis721 Md BT" w:eastAsia="Swis721 Md BT"/>
                <w:sz w:val="18"/>
                <w:szCs w:val="18"/>
              </w:rPr>
            </w:pPr>
            <w:r>
              <w:rPr>
                <w:rFonts w:ascii="Swis721 Md BT"/>
                <w:color w:val="231F20"/>
                <w:sz w:val="18"/>
              </w:rPr>
              <w:t>1,941,019</w:t>
            </w:r>
            <w:r>
              <w:rPr>
                <w:rFonts w:ascii="Swis721 Md BT"/>
                <w:sz w:val="18"/>
              </w:rPr>
            </w:r>
          </w:p>
        </w:tc>
        <w:tc>
          <w:tcPr>
            <w:tcW w:w="1225"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479" w:right="0"/>
              <w:jc w:val="left"/>
              <w:rPr>
                <w:rFonts w:ascii="Swis721 Md BT" w:hAnsi="Swis721 Md BT" w:cs="Swis721 Md BT" w:eastAsia="Swis721 Md BT"/>
                <w:sz w:val="18"/>
                <w:szCs w:val="18"/>
              </w:rPr>
            </w:pPr>
            <w:r>
              <w:rPr>
                <w:rFonts w:ascii="Swis721 Md BT"/>
                <w:color w:val="231F20"/>
                <w:sz w:val="18"/>
              </w:rPr>
              <w:t>349,000</w:t>
            </w:r>
            <w:r>
              <w:rPr>
                <w:rFonts w:ascii="Swis721 Md BT"/>
                <w:sz w:val="18"/>
              </w:rPr>
            </w:r>
          </w:p>
        </w:tc>
      </w:tr>
      <w:tr>
        <w:trPr>
          <w:trHeight w:val="529" w:hRule="exact"/>
        </w:trPr>
        <w:tc>
          <w:tcPr>
            <w:tcW w:w="3653" w:type="dxa"/>
            <w:tcBorders>
              <w:top w:val="single" w:sz="8" w:space="0" w:color="848B91"/>
              <w:left w:val="nil" w:sz="6" w:space="0" w:color="auto"/>
              <w:bottom w:val="nil" w:sz="6" w:space="0" w:color="auto"/>
              <w:right w:val="nil" w:sz="6" w:space="0" w:color="auto"/>
            </w:tcBorders>
          </w:tcPr>
          <w:p>
            <w:pPr>
              <w:pStyle w:val="TableParagraph"/>
              <w:spacing w:line="240" w:lineRule="auto" w:before="172"/>
              <w:ind w:left="-1" w:right="0"/>
              <w:jc w:val="left"/>
              <w:rPr>
                <w:rFonts w:ascii="Swis721 BT" w:hAnsi="Swis721 BT" w:cs="Swis721 BT" w:eastAsia="Swis721 BT"/>
                <w:sz w:val="20"/>
                <w:szCs w:val="20"/>
              </w:rPr>
            </w:pPr>
            <w:r>
              <w:rPr>
                <w:rFonts w:ascii="Swis721 BT"/>
                <w:b/>
                <w:color w:val="00757A"/>
                <w:sz w:val="20"/>
              </w:rPr>
              <w:t>INVESTING ACTIVITIES</w:t>
            </w:r>
            <w:r>
              <w:rPr>
                <w:rFonts w:ascii="Swis721 BT"/>
                <w:sz w:val="20"/>
              </w:rPr>
            </w:r>
          </w:p>
        </w:tc>
        <w:tc>
          <w:tcPr>
            <w:tcW w:w="633" w:type="dxa"/>
            <w:tcBorders>
              <w:top w:val="single" w:sz="8" w:space="0" w:color="848B91"/>
              <w:left w:val="nil" w:sz="6" w:space="0" w:color="auto"/>
              <w:bottom w:val="nil" w:sz="6" w:space="0" w:color="auto"/>
              <w:right w:val="nil" w:sz="6" w:space="0" w:color="auto"/>
            </w:tcBorders>
          </w:tcPr>
          <w:p>
            <w:pPr/>
          </w:p>
        </w:tc>
        <w:tc>
          <w:tcPr>
            <w:tcW w:w="1240" w:type="dxa"/>
            <w:tcBorders>
              <w:top w:val="single" w:sz="8" w:space="0" w:color="848B91"/>
              <w:left w:val="nil" w:sz="6" w:space="0" w:color="auto"/>
              <w:bottom w:val="nil" w:sz="6" w:space="0" w:color="auto"/>
              <w:right w:val="nil" w:sz="6" w:space="0" w:color="auto"/>
            </w:tcBorders>
          </w:tcPr>
          <w:p>
            <w:pPr/>
          </w:p>
        </w:tc>
        <w:tc>
          <w:tcPr>
            <w:tcW w:w="1243" w:type="dxa"/>
            <w:tcBorders>
              <w:top w:val="single" w:sz="8" w:space="0" w:color="848B91"/>
              <w:left w:val="nil" w:sz="6" w:space="0" w:color="auto"/>
              <w:bottom w:val="nil" w:sz="6" w:space="0" w:color="auto"/>
              <w:right w:val="nil" w:sz="6" w:space="0" w:color="auto"/>
            </w:tcBorders>
          </w:tcPr>
          <w:p>
            <w:pPr/>
          </w:p>
        </w:tc>
        <w:tc>
          <w:tcPr>
            <w:tcW w:w="1225" w:type="dxa"/>
            <w:tcBorders>
              <w:top w:val="single" w:sz="8" w:space="0" w:color="848B91"/>
              <w:left w:val="nil" w:sz="6" w:space="0" w:color="auto"/>
              <w:bottom w:val="nil" w:sz="6" w:space="0" w:color="auto"/>
              <w:right w:val="nil" w:sz="6" w:space="0" w:color="auto"/>
            </w:tcBorders>
          </w:tcPr>
          <w:p>
            <w:pPr/>
          </w:p>
        </w:tc>
      </w:tr>
      <w:tr>
        <w:trPr>
          <w:trHeight w:val="389" w:hRule="exact"/>
        </w:trPr>
        <w:tc>
          <w:tcPr>
            <w:tcW w:w="3653" w:type="dxa"/>
            <w:tcBorders>
              <w:top w:val="nil" w:sz="6" w:space="0" w:color="auto"/>
              <w:left w:val="nil" w:sz="6" w:space="0" w:color="auto"/>
              <w:bottom w:val="nil" w:sz="6" w:space="0" w:color="auto"/>
              <w:right w:val="nil" w:sz="6" w:space="0" w:color="auto"/>
            </w:tcBorders>
          </w:tcPr>
          <w:p>
            <w:pPr>
              <w:pStyle w:val="TableParagraph"/>
              <w:spacing w:line="240" w:lineRule="auto" w:before="95"/>
              <w:ind w:left="-1" w:right="0"/>
              <w:jc w:val="left"/>
              <w:rPr>
                <w:rFonts w:ascii="Swis721 Md BT" w:hAnsi="Swis721 Md BT" w:cs="Swis721 Md BT" w:eastAsia="Swis721 Md BT"/>
                <w:sz w:val="19"/>
                <w:szCs w:val="19"/>
              </w:rPr>
            </w:pPr>
            <w:r>
              <w:rPr>
                <w:rFonts w:ascii="Swis721 Md BT"/>
                <w:color w:val="303B41"/>
                <w:sz w:val="19"/>
              </w:rPr>
              <w:t>Cash provided by/(used in)</w:t>
            </w:r>
            <w:r>
              <w:rPr>
                <w:rFonts w:ascii="Swis721 Md BT"/>
                <w:sz w:val="19"/>
              </w:rPr>
            </w:r>
          </w:p>
        </w:tc>
        <w:tc>
          <w:tcPr>
            <w:tcW w:w="633" w:type="dxa"/>
            <w:tcBorders>
              <w:top w:val="nil" w:sz="6" w:space="0" w:color="auto"/>
              <w:left w:val="nil" w:sz="6" w:space="0" w:color="auto"/>
              <w:bottom w:val="nil" w:sz="6" w:space="0" w:color="auto"/>
              <w:right w:val="nil" w:sz="6" w:space="0" w:color="auto"/>
            </w:tcBorders>
          </w:tcPr>
          <w:p>
            <w:pPr/>
          </w:p>
        </w:tc>
        <w:tc>
          <w:tcPr>
            <w:tcW w:w="1240" w:type="dxa"/>
            <w:tcBorders>
              <w:top w:val="nil" w:sz="6" w:space="0" w:color="auto"/>
              <w:left w:val="nil" w:sz="6" w:space="0" w:color="auto"/>
              <w:bottom w:val="nil" w:sz="6" w:space="0" w:color="auto"/>
              <w:right w:val="nil" w:sz="6" w:space="0" w:color="auto"/>
            </w:tcBorders>
          </w:tcPr>
          <w:p>
            <w:pPr/>
          </w:p>
        </w:tc>
        <w:tc>
          <w:tcPr>
            <w:tcW w:w="1243" w:type="dxa"/>
            <w:tcBorders>
              <w:top w:val="nil" w:sz="6" w:space="0" w:color="auto"/>
              <w:left w:val="nil" w:sz="6" w:space="0" w:color="auto"/>
              <w:bottom w:val="nil" w:sz="6" w:space="0" w:color="auto"/>
              <w:right w:val="nil" w:sz="6" w:space="0" w:color="auto"/>
            </w:tcBorders>
          </w:tcPr>
          <w:p>
            <w:pPr/>
          </w:p>
        </w:tc>
        <w:tc>
          <w:tcPr>
            <w:tcW w:w="1225" w:type="dxa"/>
            <w:tcBorders>
              <w:top w:val="nil" w:sz="6" w:space="0" w:color="auto"/>
              <w:left w:val="nil" w:sz="6" w:space="0" w:color="auto"/>
              <w:bottom w:val="nil" w:sz="6" w:space="0" w:color="auto"/>
              <w:right w:val="nil" w:sz="6" w:space="0" w:color="auto"/>
            </w:tcBorders>
          </w:tcPr>
          <w:p>
            <w:pPr/>
          </w:p>
        </w:tc>
      </w:tr>
      <w:tr>
        <w:trPr>
          <w:trHeight w:val="309" w:hRule="exact"/>
        </w:trPr>
        <w:tc>
          <w:tcPr>
            <w:tcW w:w="3653"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1" w:right="0"/>
              <w:jc w:val="left"/>
              <w:rPr>
                <w:rFonts w:ascii="Swis721 Lt BT" w:hAnsi="Swis721 Lt BT" w:cs="Swis721 Lt BT" w:eastAsia="Swis721 Lt BT"/>
                <w:sz w:val="18"/>
                <w:szCs w:val="18"/>
              </w:rPr>
            </w:pPr>
            <w:r>
              <w:rPr>
                <w:rFonts w:ascii="Swis721 Lt BT"/>
                <w:color w:val="231F20"/>
                <w:sz w:val="18"/>
              </w:rPr>
              <w:t>Purchase of furniture and equipment</w:t>
            </w:r>
            <w:r>
              <w:rPr>
                <w:rFonts w:ascii="Swis721 Lt BT"/>
                <w:sz w:val="18"/>
              </w:rPr>
            </w:r>
          </w:p>
        </w:tc>
        <w:tc>
          <w:tcPr>
            <w:tcW w:w="633" w:type="dxa"/>
            <w:tcBorders>
              <w:top w:val="nil" w:sz="6" w:space="0" w:color="auto"/>
              <w:left w:val="nil" w:sz="6" w:space="0" w:color="auto"/>
              <w:bottom w:val="single" w:sz="2" w:space="0" w:color="848B91"/>
              <w:right w:val="nil" w:sz="6" w:space="0" w:color="auto"/>
            </w:tcBorders>
          </w:tcPr>
          <w:p>
            <w:pPr/>
          </w:p>
        </w:tc>
        <w:tc>
          <w:tcPr>
            <w:tcW w:w="1240"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398" w:right="0"/>
              <w:jc w:val="left"/>
              <w:rPr>
                <w:rFonts w:ascii="Swis721 Lt BT" w:hAnsi="Swis721 Lt BT" w:cs="Swis721 Lt BT" w:eastAsia="Swis721 Lt BT"/>
                <w:sz w:val="18"/>
                <w:szCs w:val="18"/>
              </w:rPr>
            </w:pPr>
            <w:r>
              <w:rPr>
                <w:rFonts w:ascii="Swis721 Lt BT"/>
                <w:color w:val="231F20"/>
                <w:sz w:val="18"/>
              </w:rPr>
              <w:t>(390,486)</w:t>
            </w:r>
            <w:r>
              <w:rPr>
                <w:rFonts w:ascii="Swis721 Lt BT"/>
                <w:sz w:val="18"/>
              </w:rPr>
            </w:r>
          </w:p>
        </w:tc>
        <w:tc>
          <w:tcPr>
            <w:tcW w:w="1243"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398" w:right="0"/>
              <w:jc w:val="left"/>
              <w:rPr>
                <w:rFonts w:ascii="Swis721 Lt BT" w:hAnsi="Swis721 Lt BT" w:cs="Swis721 Lt BT" w:eastAsia="Swis721 Lt BT"/>
                <w:sz w:val="18"/>
                <w:szCs w:val="18"/>
              </w:rPr>
            </w:pPr>
            <w:r>
              <w:rPr>
                <w:rFonts w:ascii="Swis721 Lt BT"/>
                <w:color w:val="231F20"/>
                <w:sz w:val="18"/>
              </w:rPr>
              <w:t>(176,873)</w:t>
            </w:r>
            <w:r>
              <w:rPr>
                <w:rFonts w:ascii="Swis721 Lt BT"/>
                <w:sz w:val="18"/>
              </w:rPr>
            </w:r>
          </w:p>
        </w:tc>
        <w:tc>
          <w:tcPr>
            <w:tcW w:w="1225"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394" w:right="0"/>
              <w:jc w:val="left"/>
              <w:rPr>
                <w:rFonts w:ascii="Swis721 Lt BT" w:hAnsi="Swis721 Lt BT" w:cs="Swis721 Lt BT" w:eastAsia="Swis721 Lt BT"/>
                <w:sz w:val="18"/>
                <w:szCs w:val="18"/>
              </w:rPr>
            </w:pPr>
            <w:r>
              <w:rPr>
                <w:rFonts w:ascii="Swis721 Lt BT"/>
                <w:color w:val="231F20"/>
                <w:sz w:val="18"/>
              </w:rPr>
              <w:t>(150,000)</w:t>
            </w:r>
            <w:r>
              <w:rPr>
                <w:rFonts w:ascii="Swis721 Lt BT"/>
                <w:sz w:val="18"/>
              </w:rPr>
            </w:r>
          </w:p>
        </w:tc>
      </w:tr>
      <w:tr>
        <w:trPr>
          <w:trHeight w:val="329" w:hRule="exact"/>
        </w:trPr>
        <w:tc>
          <w:tcPr>
            <w:tcW w:w="365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Present value adjustment to make good</w:t>
            </w:r>
            <w:r>
              <w:rPr>
                <w:rFonts w:ascii="Swis721 Lt BT"/>
                <w:sz w:val="18"/>
              </w:rPr>
            </w:r>
          </w:p>
        </w:tc>
        <w:tc>
          <w:tcPr>
            <w:tcW w:w="633" w:type="dxa"/>
            <w:tcBorders>
              <w:top w:val="single" w:sz="2" w:space="0" w:color="848B91"/>
              <w:left w:val="nil" w:sz="6" w:space="0" w:color="auto"/>
              <w:bottom w:val="single" w:sz="2" w:space="0" w:color="848B91"/>
              <w:right w:val="nil" w:sz="6" w:space="0" w:color="auto"/>
            </w:tcBorders>
          </w:tcPr>
          <w:p>
            <w:pPr/>
          </w:p>
        </w:tc>
        <w:tc>
          <w:tcPr>
            <w:tcW w:w="124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03"/>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124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89" w:right="0"/>
              <w:jc w:val="left"/>
              <w:rPr>
                <w:rFonts w:ascii="Swis721 Lt BT" w:hAnsi="Swis721 Lt BT" w:cs="Swis721 Lt BT" w:eastAsia="Swis721 Lt BT"/>
                <w:sz w:val="18"/>
                <w:szCs w:val="18"/>
              </w:rPr>
            </w:pPr>
            <w:r>
              <w:rPr>
                <w:rFonts w:ascii="Swis721 Lt BT"/>
                <w:color w:val="231F20"/>
                <w:sz w:val="18"/>
              </w:rPr>
              <w:t>(1,687)</w:t>
            </w:r>
            <w:r>
              <w:rPr>
                <w:rFonts w:ascii="Swis721 Lt BT"/>
                <w:sz w:val="18"/>
              </w:rPr>
            </w:r>
          </w:p>
        </w:tc>
        <w:tc>
          <w:tcPr>
            <w:tcW w:w="1225"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91"/>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r>
      <w:tr>
        <w:trPr>
          <w:trHeight w:val="329" w:hRule="exact"/>
        </w:trPr>
        <w:tc>
          <w:tcPr>
            <w:tcW w:w="365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Disposal of furniture and equipment</w:t>
            </w:r>
            <w:r>
              <w:rPr>
                <w:rFonts w:ascii="Swis721 Lt BT"/>
                <w:sz w:val="18"/>
              </w:rPr>
            </w:r>
          </w:p>
        </w:tc>
        <w:tc>
          <w:tcPr>
            <w:tcW w:w="633" w:type="dxa"/>
            <w:tcBorders>
              <w:top w:val="single" w:sz="2" w:space="0" w:color="848B91"/>
              <w:left w:val="nil" w:sz="6" w:space="0" w:color="auto"/>
              <w:bottom w:val="single" w:sz="2" w:space="0" w:color="848B91"/>
              <w:right w:val="nil" w:sz="6" w:space="0" w:color="auto"/>
            </w:tcBorders>
          </w:tcPr>
          <w:p>
            <w:pPr/>
          </w:p>
        </w:tc>
        <w:tc>
          <w:tcPr>
            <w:tcW w:w="124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703" w:right="0"/>
              <w:jc w:val="left"/>
              <w:rPr>
                <w:rFonts w:ascii="Swis721 Lt BT" w:hAnsi="Swis721 Lt BT" w:cs="Swis721 Lt BT" w:eastAsia="Swis721 Lt BT"/>
                <w:sz w:val="18"/>
                <w:szCs w:val="18"/>
              </w:rPr>
            </w:pPr>
            <w:r>
              <w:rPr>
                <w:rFonts w:ascii="Swis721 Lt BT"/>
                <w:color w:val="231F20"/>
                <w:sz w:val="18"/>
              </w:rPr>
              <w:t>1,375</w:t>
            </w:r>
            <w:r>
              <w:rPr>
                <w:rFonts w:ascii="Swis721 Lt BT"/>
                <w:sz w:val="18"/>
              </w:rPr>
            </w:r>
          </w:p>
        </w:tc>
        <w:tc>
          <w:tcPr>
            <w:tcW w:w="124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06"/>
              <w:jc w:val="right"/>
              <w:rPr>
                <w:rFonts w:ascii="Swis721 Lt BT" w:hAnsi="Swis721 Lt BT" w:cs="Swis721 Lt BT" w:eastAsia="Swis721 Lt BT"/>
                <w:sz w:val="18"/>
                <w:szCs w:val="18"/>
              </w:rPr>
            </w:pPr>
            <w:r>
              <w:rPr>
                <w:rFonts w:ascii="Swis721 Lt BT"/>
                <w:color w:val="231F20"/>
                <w:sz w:val="18"/>
              </w:rPr>
              <w:t>430</w:t>
            </w:r>
            <w:r>
              <w:rPr>
                <w:rFonts w:ascii="Swis721 Lt BT"/>
                <w:sz w:val="18"/>
              </w:rPr>
            </w:r>
          </w:p>
        </w:tc>
        <w:tc>
          <w:tcPr>
            <w:tcW w:w="1225"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91"/>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r>
      <w:tr>
        <w:trPr>
          <w:trHeight w:val="341" w:hRule="exact"/>
        </w:trPr>
        <w:tc>
          <w:tcPr>
            <w:tcW w:w="365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Purchase</w:t>
            </w:r>
            <w:r>
              <w:rPr>
                <w:rFonts w:ascii="Swis721 Lt BT"/>
                <w:color w:val="231F20"/>
                <w:spacing w:val="-3"/>
                <w:sz w:val="18"/>
              </w:rPr>
              <w:t> </w:t>
            </w:r>
            <w:r>
              <w:rPr>
                <w:rFonts w:ascii="Swis721 Lt BT"/>
                <w:color w:val="231F20"/>
                <w:sz w:val="18"/>
              </w:rPr>
              <w:t>of</w:t>
            </w:r>
            <w:r>
              <w:rPr>
                <w:rFonts w:ascii="Swis721 Lt BT"/>
                <w:color w:val="231F20"/>
                <w:spacing w:val="-2"/>
                <w:sz w:val="18"/>
              </w:rPr>
              <w:t> </w:t>
            </w:r>
            <w:r>
              <w:rPr>
                <w:rFonts w:ascii="Swis721 Lt BT"/>
                <w:color w:val="231F20"/>
                <w:sz w:val="18"/>
              </w:rPr>
              <w:t>financial</w:t>
            </w:r>
            <w:r>
              <w:rPr>
                <w:rFonts w:ascii="Swis721 Lt BT"/>
                <w:color w:val="231F20"/>
                <w:spacing w:val="-2"/>
                <w:sz w:val="18"/>
              </w:rPr>
              <w:t> </w:t>
            </w:r>
            <w:r>
              <w:rPr>
                <w:rFonts w:ascii="Swis721 Lt BT"/>
                <w:color w:val="231F20"/>
                <w:sz w:val="18"/>
              </w:rPr>
              <w:t>assets</w:t>
            </w:r>
            <w:r>
              <w:rPr>
                <w:rFonts w:ascii="Swis721 Lt BT"/>
                <w:sz w:val="18"/>
              </w:rPr>
            </w:r>
          </w:p>
        </w:tc>
        <w:tc>
          <w:tcPr>
            <w:tcW w:w="633" w:type="dxa"/>
            <w:tcBorders>
              <w:top w:val="single" w:sz="2" w:space="0" w:color="848B91"/>
              <w:left w:val="nil" w:sz="6" w:space="0" w:color="auto"/>
              <w:bottom w:val="single" w:sz="8" w:space="0" w:color="848B91"/>
              <w:right w:val="nil" w:sz="6" w:space="0" w:color="auto"/>
            </w:tcBorders>
          </w:tcPr>
          <w:p>
            <w:pPr/>
          </w:p>
        </w:tc>
        <w:tc>
          <w:tcPr>
            <w:tcW w:w="1240"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254" w:right="0"/>
              <w:jc w:val="left"/>
              <w:rPr>
                <w:rFonts w:ascii="Swis721 Lt BT" w:hAnsi="Swis721 Lt BT" w:cs="Swis721 Lt BT" w:eastAsia="Swis721 Lt BT"/>
                <w:sz w:val="18"/>
                <w:szCs w:val="18"/>
              </w:rPr>
            </w:pPr>
            <w:r>
              <w:rPr>
                <w:rFonts w:ascii="Swis721 Lt BT"/>
                <w:color w:val="231F20"/>
                <w:sz w:val="18"/>
              </w:rPr>
              <w:t>(3,141,774)</w:t>
            </w:r>
            <w:r>
              <w:rPr>
                <w:rFonts w:ascii="Swis721 Lt BT"/>
                <w:sz w:val="18"/>
              </w:rPr>
            </w:r>
          </w:p>
        </w:tc>
        <w:tc>
          <w:tcPr>
            <w:tcW w:w="124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493" w:right="0"/>
              <w:jc w:val="left"/>
              <w:rPr>
                <w:rFonts w:ascii="Swis721 Lt BT" w:hAnsi="Swis721 Lt BT" w:cs="Swis721 Lt BT" w:eastAsia="Swis721 Lt BT"/>
                <w:sz w:val="18"/>
                <w:szCs w:val="18"/>
              </w:rPr>
            </w:pPr>
            <w:r>
              <w:rPr>
                <w:rFonts w:ascii="Swis721 Lt BT"/>
                <w:color w:val="231F20"/>
                <w:sz w:val="18"/>
              </w:rPr>
              <w:t>(19,751)</w:t>
            </w:r>
            <w:r>
              <w:rPr>
                <w:rFonts w:ascii="Swis721 Lt BT"/>
                <w:sz w:val="18"/>
              </w:rPr>
            </w:r>
          </w:p>
        </w:tc>
        <w:tc>
          <w:tcPr>
            <w:tcW w:w="1225"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right="91"/>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r>
      <w:tr>
        <w:trPr>
          <w:trHeight w:val="349" w:hRule="exact"/>
        </w:trPr>
        <w:tc>
          <w:tcPr>
            <w:tcW w:w="365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z w:val="18"/>
              </w:rPr>
              <w:t>Net cash used in investing activities</w:t>
            </w:r>
            <w:r>
              <w:rPr>
                <w:rFonts w:ascii="Swis721 Md BT"/>
                <w:sz w:val="18"/>
              </w:rPr>
            </w:r>
          </w:p>
        </w:tc>
        <w:tc>
          <w:tcPr>
            <w:tcW w:w="633" w:type="dxa"/>
            <w:tcBorders>
              <w:top w:val="single" w:sz="8" w:space="0" w:color="848B91"/>
              <w:left w:val="nil" w:sz="6" w:space="0" w:color="auto"/>
              <w:bottom w:val="single" w:sz="8" w:space="0" w:color="848B91"/>
              <w:right w:val="nil" w:sz="6" w:space="0" w:color="auto"/>
            </w:tcBorders>
          </w:tcPr>
          <w:p>
            <w:pPr/>
          </w:p>
        </w:tc>
        <w:tc>
          <w:tcPr>
            <w:tcW w:w="1240"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06" w:right="0"/>
              <w:jc w:val="left"/>
              <w:rPr>
                <w:rFonts w:ascii="Swis721 Md BT" w:hAnsi="Swis721 Md BT" w:cs="Swis721 Md BT" w:eastAsia="Swis721 Md BT"/>
                <w:sz w:val="18"/>
                <w:szCs w:val="18"/>
              </w:rPr>
            </w:pPr>
            <w:r>
              <w:rPr>
                <w:rFonts w:ascii="Swis721 Md BT"/>
                <w:color w:val="231F20"/>
                <w:sz w:val="18"/>
              </w:rPr>
              <w:t>(3,530,885)</w:t>
            </w:r>
            <w:r>
              <w:rPr>
                <w:rFonts w:ascii="Swis721 Md BT"/>
                <w:sz w:val="18"/>
              </w:rPr>
            </w:r>
          </w:p>
        </w:tc>
        <w:tc>
          <w:tcPr>
            <w:tcW w:w="124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56" w:right="0"/>
              <w:jc w:val="left"/>
              <w:rPr>
                <w:rFonts w:ascii="Swis721 Md BT" w:hAnsi="Swis721 Md BT" w:cs="Swis721 Md BT" w:eastAsia="Swis721 Md BT"/>
                <w:sz w:val="18"/>
                <w:szCs w:val="18"/>
              </w:rPr>
            </w:pPr>
            <w:r>
              <w:rPr>
                <w:rFonts w:ascii="Swis721 Md BT"/>
                <w:color w:val="231F20"/>
                <w:sz w:val="18"/>
              </w:rPr>
              <w:t>(197,881)</w:t>
            </w:r>
            <w:r>
              <w:rPr>
                <w:rFonts w:ascii="Swis721 Md BT"/>
                <w:sz w:val="18"/>
              </w:rPr>
            </w:r>
          </w:p>
        </w:tc>
        <w:tc>
          <w:tcPr>
            <w:tcW w:w="1225"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53" w:right="0"/>
              <w:jc w:val="left"/>
              <w:rPr>
                <w:rFonts w:ascii="Swis721 Md BT" w:hAnsi="Swis721 Md BT" w:cs="Swis721 Md BT" w:eastAsia="Swis721 Md BT"/>
                <w:sz w:val="18"/>
                <w:szCs w:val="18"/>
              </w:rPr>
            </w:pPr>
            <w:r>
              <w:rPr>
                <w:rFonts w:ascii="Swis721 Md BT"/>
                <w:color w:val="231F20"/>
                <w:sz w:val="18"/>
              </w:rPr>
              <w:t>(150,000)</w:t>
            </w:r>
            <w:r>
              <w:rPr>
                <w:rFonts w:ascii="Swis721 Md BT"/>
                <w:sz w:val="18"/>
              </w:rPr>
            </w:r>
          </w:p>
        </w:tc>
      </w:tr>
      <w:tr>
        <w:trPr>
          <w:trHeight w:val="318" w:hRule="exact"/>
        </w:trPr>
        <w:tc>
          <w:tcPr>
            <w:tcW w:w="3653"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1" w:right="0"/>
              <w:jc w:val="left"/>
              <w:rPr>
                <w:rFonts w:ascii="Swis721 Md BT" w:hAnsi="Swis721 Md BT" w:cs="Swis721 Md BT" w:eastAsia="Swis721 Md BT"/>
                <w:sz w:val="18"/>
                <w:szCs w:val="18"/>
              </w:rPr>
            </w:pPr>
            <w:r>
              <w:rPr>
                <w:rFonts w:ascii="Swis721 Md BT"/>
                <w:color w:val="231F20"/>
                <w:sz w:val="18"/>
              </w:rPr>
              <w:t>Net increase in cash held</w:t>
            </w:r>
            <w:r>
              <w:rPr>
                <w:rFonts w:ascii="Swis721 Md BT"/>
                <w:sz w:val="18"/>
              </w:rPr>
            </w:r>
          </w:p>
        </w:tc>
        <w:tc>
          <w:tcPr>
            <w:tcW w:w="633" w:type="dxa"/>
            <w:tcBorders>
              <w:top w:val="single" w:sz="8" w:space="0" w:color="848B91"/>
              <w:left w:val="nil" w:sz="6" w:space="0" w:color="auto"/>
              <w:bottom w:val="single" w:sz="2" w:space="0" w:color="848B91"/>
              <w:right w:val="nil" w:sz="6" w:space="0" w:color="auto"/>
            </w:tcBorders>
          </w:tcPr>
          <w:p>
            <w:pPr/>
          </w:p>
        </w:tc>
        <w:tc>
          <w:tcPr>
            <w:tcW w:w="1240"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482" w:right="0"/>
              <w:jc w:val="left"/>
              <w:rPr>
                <w:rFonts w:ascii="Swis721 Md BT" w:hAnsi="Swis721 Md BT" w:cs="Swis721 Md BT" w:eastAsia="Swis721 Md BT"/>
                <w:sz w:val="18"/>
                <w:szCs w:val="18"/>
              </w:rPr>
            </w:pPr>
            <w:r>
              <w:rPr>
                <w:rFonts w:ascii="Swis721 Md BT"/>
                <w:color w:val="231F20"/>
                <w:sz w:val="18"/>
              </w:rPr>
              <w:t>398,591</w:t>
            </w:r>
            <w:r>
              <w:rPr>
                <w:rFonts w:ascii="Swis721 Md BT"/>
                <w:sz w:val="18"/>
              </w:rPr>
            </w:r>
          </w:p>
        </w:tc>
        <w:tc>
          <w:tcPr>
            <w:tcW w:w="1243"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332" w:right="0"/>
              <w:jc w:val="left"/>
              <w:rPr>
                <w:rFonts w:ascii="Swis721 Md BT" w:hAnsi="Swis721 Md BT" w:cs="Swis721 Md BT" w:eastAsia="Swis721 Md BT"/>
                <w:sz w:val="18"/>
                <w:szCs w:val="18"/>
              </w:rPr>
            </w:pPr>
            <w:r>
              <w:rPr>
                <w:rFonts w:ascii="Swis721 Md BT"/>
                <w:color w:val="231F20"/>
                <w:sz w:val="18"/>
              </w:rPr>
              <w:t>1,743,138</w:t>
            </w:r>
            <w:r>
              <w:rPr>
                <w:rFonts w:ascii="Swis721 Md BT"/>
                <w:sz w:val="18"/>
              </w:rPr>
            </w:r>
          </w:p>
        </w:tc>
        <w:tc>
          <w:tcPr>
            <w:tcW w:w="1225" w:type="dxa"/>
            <w:tcBorders>
              <w:top w:val="single" w:sz="8" w:space="0" w:color="848B91"/>
              <w:left w:val="nil" w:sz="6" w:space="0" w:color="auto"/>
              <w:bottom w:val="single" w:sz="2" w:space="0" w:color="848B91"/>
              <w:right w:val="nil" w:sz="6" w:space="0" w:color="auto"/>
            </w:tcBorders>
          </w:tcPr>
          <w:p>
            <w:pPr>
              <w:pStyle w:val="TableParagraph"/>
              <w:spacing w:line="240" w:lineRule="auto" w:before="54"/>
              <w:ind w:left="479" w:right="0"/>
              <w:jc w:val="left"/>
              <w:rPr>
                <w:rFonts w:ascii="Swis721 Md BT" w:hAnsi="Swis721 Md BT" w:cs="Swis721 Md BT" w:eastAsia="Swis721 Md BT"/>
                <w:sz w:val="18"/>
                <w:szCs w:val="18"/>
              </w:rPr>
            </w:pPr>
            <w:r>
              <w:rPr>
                <w:rFonts w:ascii="Swis721 Md BT"/>
                <w:color w:val="231F20"/>
                <w:sz w:val="18"/>
              </w:rPr>
              <w:t>199,000</w:t>
            </w:r>
            <w:r>
              <w:rPr>
                <w:rFonts w:ascii="Swis721 Md BT"/>
                <w:sz w:val="18"/>
              </w:rPr>
            </w:r>
          </w:p>
        </w:tc>
      </w:tr>
      <w:tr>
        <w:trPr>
          <w:trHeight w:val="341" w:hRule="exact"/>
        </w:trPr>
        <w:tc>
          <w:tcPr>
            <w:tcW w:w="365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Cash</w:t>
            </w:r>
            <w:r>
              <w:rPr>
                <w:rFonts w:ascii="Swis721 Lt BT"/>
                <w:color w:val="231F20"/>
                <w:spacing w:val="-1"/>
                <w:sz w:val="18"/>
              </w:rPr>
              <w:t> </w:t>
            </w:r>
            <w:r>
              <w:rPr>
                <w:rFonts w:ascii="Swis721 Lt BT"/>
                <w:color w:val="231F20"/>
                <w:sz w:val="18"/>
              </w:rPr>
              <w:t>at</w:t>
            </w:r>
            <w:r>
              <w:rPr>
                <w:rFonts w:ascii="Swis721 Lt BT"/>
                <w:color w:val="231F20"/>
                <w:spacing w:val="-1"/>
                <w:sz w:val="18"/>
              </w:rPr>
              <w:t> </w:t>
            </w:r>
            <w:r>
              <w:rPr>
                <w:rFonts w:ascii="Swis721 Lt BT"/>
                <w:color w:val="231F20"/>
                <w:sz w:val="18"/>
              </w:rPr>
              <w:t>the</w:t>
            </w:r>
            <w:r>
              <w:rPr>
                <w:rFonts w:ascii="Swis721 Lt BT"/>
                <w:color w:val="231F20"/>
                <w:spacing w:val="-1"/>
                <w:sz w:val="18"/>
              </w:rPr>
              <w:t> </w:t>
            </w:r>
            <w:r>
              <w:rPr>
                <w:rFonts w:ascii="Swis721 Lt BT"/>
                <w:color w:val="231F20"/>
                <w:sz w:val="18"/>
              </w:rPr>
              <w:t>beginning</w:t>
            </w:r>
            <w:r>
              <w:rPr>
                <w:rFonts w:ascii="Swis721 Lt BT"/>
                <w:color w:val="231F20"/>
                <w:spacing w:val="-1"/>
                <w:sz w:val="18"/>
              </w:rPr>
              <w:t> </w:t>
            </w:r>
            <w:r>
              <w:rPr>
                <w:rFonts w:ascii="Swis721 Lt BT"/>
                <w:color w:val="231F20"/>
                <w:sz w:val="18"/>
              </w:rPr>
              <w:t>of</w:t>
            </w:r>
            <w:r>
              <w:rPr>
                <w:rFonts w:ascii="Swis721 Lt BT"/>
                <w:color w:val="231F20"/>
                <w:spacing w:val="-1"/>
                <w:sz w:val="18"/>
              </w:rPr>
              <w:t> </w:t>
            </w:r>
            <w:r>
              <w:rPr>
                <w:rFonts w:ascii="Swis721 Lt BT"/>
                <w:color w:val="231F20"/>
                <w:sz w:val="18"/>
              </w:rPr>
              <w:t>the</w:t>
            </w:r>
            <w:r>
              <w:rPr>
                <w:rFonts w:ascii="Swis721 Lt BT"/>
                <w:color w:val="231F20"/>
                <w:spacing w:val="-1"/>
                <w:sz w:val="18"/>
              </w:rPr>
              <w:t> </w:t>
            </w:r>
            <w:r>
              <w:rPr>
                <w:rFonts w:ascii="Swis721 Lt BT"/>
                <w:color w:val="231F20"/>
                <w:sz w:val="18"/>
              </w:rPr>
              <w:t>financial</w:t>
            </w:r>
            <w:r>
              <w:rPr>
                <w:rFonts w:ascii="Swis721 Lt BT"/>
                <w:color w:val="231F20"/>
                <w:spacing w:val="-1"/>
                <w:sz w:val="18"/>
              </w:rPr>
              <w:t> </w:t>
            </w:r>
            <w:r>
              <w:rPr>
                <w:rFonts w:ascii="Swis721 Lt BT"/>
                <w:color w:val="231F20"/>
                <w:sz w:val="18"/>
              </w:rPr>
              <w:t>year</w:t>
            </w:r>
            <w:r>
              <w:rPr>
                <w:rFonts w:ascii="Swis721 Lt BT"/>
                <w:sz w:val="18"/>
              </w:rPr>
            </w:r>
          </w:p>
        </w:tc>
        <w:tc>
          <w:tcPr>
            <w:tcW w:w="633" w:type="dxa"/>
            <w:tcBorders>
              <w:top w:val="single" w:sz="2" w:space="0" w:color="848B91"/>
              <w:left w:val="nil" w:sz="6" w:space="0" w:color="auto"/>
              <w:bottom w:val="single" w:sz="8" w:space="0" w:color="848B91"/>
              <w:right w:val="nil" w:sz="6" w:space="0" w:color="auto"/>
            </w:tcBorders>
          </w:tcPr>
          <w:p>
            <w:pPr/>
          </w:p>
        </w:tc>
        <w:tc>
          <w:tcPr>
            <w:tcW w:w="1240"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368" w:right="0"/>
              <w:jc w:val="left"/>
              <w:rPr>
                <w:rFonts w:ascii="Swis721 Lt BT" w:hAnsi="Swis721 Lt BT" w:cs="Swis721 Lt BT" w:eastAsia="Swis721 Lt BT"/>
                <w:sz w:val="18"/>
                <w:szCs w:val="18"/>
              </w:rPr>
            </w:pPr>
            <w:r>
              <w:rPr>
                <w:rFonts w:ascii="Swis721 Lt BT"/>
                <w:color w:val="231F20"/>
                <w:sz w:val="18"/>
              </w:rPr>
              <w:t>5,978,503</w:t>
            </w:r>
            <w:r>
              <w:rPr>
                <w:rFonts w:ascii="Swis721 Lt BT"/>
                <w:sz w:val="18"/>
              </w:rPr>
            </w:r>
          </w:p>
        </w:tc>
        <w:tc>
          <w:tcPr>
            <w:tcW w:w="124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368" w:right="0"/>
              <w:jc w:val="left"/>
              <w:rPr>
                <w:rFonts w:ascii="Swis721 Lt BT" w:hAnsi="Swis721 Lt BT" w:cs="Swis721 Lt BT" w:eastAsia="Swis721 Lt BT"/>
                <w:sz w:val="18"/>
                <w:szCs w:val="18"/>
              </w:rPr>
            </w:pPr>
            <w:r>
              <w:rPr>
                <w:rFonts w:ascii="Swis721 Lt BT"/>
                <w:color w:val="231F20"/>
                <w:sz w:val="18"/>
              </w:rPr>
              <w:t>4,235,365</w:t>
            </w:r>
            <w:r>
              <w:rPr>
                <w:rFonts w:ascii="Swis721 Lt BT"/>
                <w:sz w:val="18"/>
              </w:rPr>
            </w:r>
          </w:p>
        </w:tc>
        <w:tc>
          <w:tcPr>
            <w:tcW w:w="1225"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364" w:right="0"/>
              <w:jc w:val="left"/>
              <w:rPr>
                <w:rFonts w:ascii="Swis721 Lt BT" w:hAnsi="Swis721 Lt BT" w:cs="Swis721 Lt BT" w:eastAsia="Swis721 Lt BT"/>
                <w:sz w:val="18"/>
                <w:szCs w:val="18"/>
              </w:rPr>
            </w:pPr>
            <w:r>
              <w:rPr>
                <w:rFonts w:ascii="Swis721 Lt BT"/>
                <w:color w:val="231F20"/>
                <w:sz w:val="18"/>
              </w:rPr>
              <w:t>4,267,000</w:t>
            </w:r>
            <w:r>
              <w:rPr>
                <w:rFonts w:ascii="Swis721 Lt BT"/>
                <w:sz w:val="18"/>
              </w:rPr>
            </w:r>
          </w:p>
        </w:tc>
      </w:tr>
      <w:tr>
        <w:trPr>
          <w:trHeight w:val="349" w:hRule="exact"/>
        </w:trPr>
        <w:tc>
          <w:tcPr>
            <w:tcW w:w="365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z w:val="18"/>
              </w:rPr>
              <w:t>Cash</w:t>
            </w:r>
            <w:r>
              <w:rPr>
                <w:rFonts w:ascii="Swis721 Md BT"/>
                <w:color w:val="231F20"/>
                <w:spacing w:val="-1"/>
                <w:sz w:val="18"/>
              </w:rPr>
              <w:t> </w:t>
            </w:r>
            <w:r>
              <w:rPr>
                <w:rFonts w:ascii="Swis721 Md BT"/>
                <w:color w:val="231F20"/>
                <w:sz w:val="18"/>
              </w:rPr>
              <w:t>at</w:t>
            </w:r>
            <w:r>
              <w:rPr>
                <w:rFonts w:ascii="Swis721 Md BT"/>
                <w:color w:val="231F20"/>
                <w:spacing w:val="-1"/>
                <w:sz w:val="18"/>
              </w:rPr>
              <w:t> </w:t>
            </w:r>
            <w:r>
              <w:rPr>
                <w:rFonts w:ascii="Swis721 Md BT"/>
                <w:color w:val="231F20"/>
                <w:sz w:val="18"/>
              </w:rPr>
              <w:t>the</w:t>
            </w:r>
            <w:r>
              <w:rPr>
                <w:rFonts w:ascii="Swis721 Md BT"/>
                <w:color w:val="231F20"/>
                <w:spacing w:val="-1"/>
                <w:sz w:val="18"/>
              </w:rPr>
              <w:t> </w:t>
            </w:r>
            <w:r>
              <w:rPr>
                <w:rFonts w:ascii="Swis721 Md BT"/>
                <w:color w:val="231F20"/>
                <w:sz w:val="18"/>
              </w:rPr>
              <w:t>end</w:t>
            </w:r>
            <w:r>
              <w:rPr>
                <w:rFonts w:ascii="Swis721 Md BT"/>
                <w:color w:val="231F20"/>
                <w:spacing w:val="-1"/>
                <w:sz w:val="18"/>
              </w:rPr>
              <w:t> </w:t>
            </w:r>
            <w:r>
              <w:rPr>
                <w:rFonts w:ascii="Swis721 Md BT"/>
                <w:color w:val="231F20"/>
                <w:sz w:val="18"/>
              </w:rPr>
              <w:t>of</w:t>
            </w:r>
            <w:r>
              <w:rPr>
                <w:rFonts w:ascii="Swis721 Md BT"/>
                <w:color w:val="231F20"/>
                <w:spacing w:val="-1"/>
                <w:sz w:val="18"/>
              </w:rPr>
              <w:t> </w:t>
            </w:r>
            <w:r>
              <w:rPr>
                <w:rFonts w:ascii="Swis721 Md BT"/>
                <w:color w:val="231F20"/>
                <w:sz w:val="18"/>
              </w:rPr>
              <w:t>the</w:t>
            </w:r>
            <w:r>
              <w:rPr>
                <w:rFonts w:ascii="Swis721 Md BT"/>
                <w:color w:val="231F20"/>
                <w:spacing w:val="-1"/>
                <w:sz w:val="18"/>
              </w:rPr>
              <w:t> </w:t>
            </w:r>
            <w:r>
              <w:rPr>
                <w:rFonts w:ascii="Swis721 Md BT"/>
                <w:color w:val="231F20"/>
                <w:sz w:val="18"/>
              </w:rPr>
              <w:t>financial</w:t>
            </w:r>
            <w:r>
              <w:rPr>
                <w:rFonts w:ascii="Swis721 Md BT"/>
                <w:color w:val="231F20"/>
                <w:spacing w:val="-1"/>
                <w:sz w:val="18"/>
              </w:rPr>
              <w:t> </w:t>
            </w:r>
            <w:r>
              <w:rPr>
                <w:rFonts w:ascii="Swis721 Md BT"/>
                <w:color w:val="231F20"/>
                <w:sz w:val="18"/>
              </w:rPr>
              <w:t>year</w:t>
            </w:r>
            <w:r>
              <w:rPr>
                <w:rFonts w:ascii="Swis721 Md BT"/>
                <w:sz w:val="18"/>
              </w:rPr>
            </w:r>
          </w:p>
        </w:tc>
        <w:tc>
          <w:tcPr>
            <w:tcW w:w="63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right="103"/>
              <w:jc w:val="right"/>
              <w:rPr>
                <w:rFonts w:ascii="Swis721 Md BT" w:hAnsi="Swis721 Md BT" w:cs="Swis721 Md BT" w:eastAsia="Swis721 Md BT"/>
                <w:sz w:val="18"/>
                <w:szCs w:val="18"/>
              </w:rPr>
            </w:pPr>
            <w:r>
              <w:rPr>
                <w:rFonts w:ascii="Swis721 Md BT"/>
                <w:color w:val="231F20"/>
                <w:sz w:val="18"/>
              </w:rPr>
              <w:t>7</w:t>
            </w:r>
            <w:r>
              <w:rPr>
                <w:rFonts w:ascii="Swis721 Md BT"/>
                <w:sz w:val="18"/>
              </w:rPr>
            </w:r>
          </w:p>
        </w:tc>
        <w:tc>
          <w:tcPr>
            <w:tcW w:w="1240"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32" w:right="0"/>
              <w:jc w:val="left"/>
              <w:rPr>
                <w:rFonts w:ascii="Swis721 Md BT" w:hAnsi="Swis721 Md BT" w:cs="Swis721 Md BT" w:eastAsia="Swis721 Md BT"/>
                <w:sz w:val="18"/>
                <w:szCs w:val="18"/>
              </w:rPr>
            </w:pPr>
            <w:r>
              <w:rPr>
                <w:rFonts w:ascii="Swis721 Md BT"/>
                <w:color w:val="231F20"/>
                <w:sz w:val="18"/>
              </w:rPr>
              <w:t>6,377,094</w:t>
            </w:r>
            <w:r>
              <w:rPr>
                <w:rFonts w:ascii="Swis721 Md BT"/>
                <w:sz w:val="18"/>
              </w:rPr>
            </w:r>
          </w:p>
        </w:tc>
        <w:tc>
          <w:tcPr>
            <w:tcW w:w="124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32" w:right="0"/>
              <w:jc w:val="left"/>
              <w:rPr>
                <w:rFonts w:ascii="Swis721 Md BT" w:hAnsi="Swis721 Md BT" w:cs="Swis721 Md BT" w:eastAsia="Swis721 Md BT"/>
                <w:sz w:val="18"/>
                <w:szCs w:val="18"/>
              </w:rPr>
            </w:pPr>
            <w:r>
              <w:rPr>
                <w:rFonts w:ascii="Swis721 Md BT"/>
                <w:color w:val="231F20"/>
                <w:sz w:val="18"/>
              </w:rPr>
              <w:t>5,978,503</w:t>
            </w:r>
            <w:r>
              <w:rPr>
                <w:rFonts w:ascii="Swis721 Md BT"/>
                <w:sz w:val="18"/>
              </w:rPr>
            </w:r>
          </w:p>
        </w:tc>
        <w:tc>
          <w:tcPr>
            <w:tcW w:w="1225"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29" w:right="0"/>
              <w:jc w:val="left"/>
              <w:rPr>
                <w:rFonts w:ascii="Swis721 Md BT" w:hAnsi="Swis721 Md BT" w:cs="Swis721 Md BT" w:eastAsia="Swis721 Md BT"/>
                <w:sz w:val="18"/>
                <w:szCs w:val="18"/>
              </w:rPr>
            </w:pPr>
            <w:r>
              <w:rPr>
                <w:rFonts w:ascii="Swis721 Md BT"/>
                <w:color w:val="231F20"/>
                <w:sz w:val="18"/>
              </w:rPr>
              <w:t>4,466,000</w:t>
            </w:r>
            <w:r>
              <w:rPr>
                <w:rFonts w:ascii="Swis721 Md BT"/>
                <w:sz w:val="18"/>
              </w:rPr>
            </w:r>
          </w:p>
        </w:tc>
      </w:tr>
    </w:tbl>
    <w:p>
      <w:pPr>
        <w:spacing w:line="311" w:lineRule="auto" w:before="29"/>
        <w:ind w:left="113" w:right="827" w:firstLine="0"/>
        <w:jc w:val="left"/>
        <w:rPr>
          <w:rFonts w:ascii="Swis721 Lt BT" w:hAnsi="Swis721 Lt BT" w:cs="Swis721 Lt BT" w:eastAsia="Swis721 Lt BT"/>
          <w:sz w:val="16"/>
          <w:szCs w:val="16"/>
        </w:rPr>
      </w:pPr>
      <w:r>
        <w:rPr>
          <w:rFonts w:ascii="Swis721 Lt BT"/>
          <w:i/>
          <w:color w:val="231F20"/>
          <w:sz w:val="16"/>
        </w:rPr>
        <w:t>The original budget was reported in the 2018-2019 Portfolio Budget Statements published in May 2018.</w:t>
      </w:r>
      <w:r>
        <w:rPr>
          <w:rFonts w:ascii="Swis721 Lt BT"/>
          <w:i/>
          <w:color w:val="231F20"/>
          <w:spacing w:val="21"/>
          <w:sz w:val="16"/>
        </w:rPr>
        <w:t> </w:t>
      </w:r>
      <w:r>
        <w:rPr>
          <w:rFonts w:ascii="Swis721 Lt BT"/>
          <w:i/>
          <w:color w:val="231F20"/>
          <w:sz w:val="16"/>
        </w:rPr>
        <w:t>This statement should be read in conjunction with the accompanying notes.</w:t>
      </w:r>
      <w:r>
        <w:rPr>
          <w:rFonts w:ascii="Swis721 Lt BT"/>
          <w:sz w:val="16"/>
        </w:rPr>
      </w:r>
    </w:p>
    <w:p>
      <w:pPr>
        <w:spacing w:before="0"/>
        <w:ind w:left="113" w:right="0" w:firstLine="0"/>
        <w:jc w:val="left"/>
        <w:rPr>
          <w:rFonts w:ascii="Swis721 BT" w:hAnsi="Swis721 BT" w:cs="Swis721 BT" w:eastAsia="Swis721 BT"/>
          <w:sz w:val="16"/>
          <w:szCs w:val="16"/>
        </w:rPr>
      </w:pPr>
      <w:r>
        <w:rPr>
          <w:rFonts w:ascii="Swis721 BT"/>
          <w:b/>
          <w:i/>
          <w:color w:val="231F20"/>
          <w:sz w:val="16"/>
        </w:rPr>
        <w:t>Budget </w:t>
      </w:r>
      <w:r>
        <w:rPr>
          <w:rFonts w:ascii="Swis721 BT"/>
          <w:b/>
          <w:i/>
          <w:color w:val="231F20"/>
          <w:spacing w:val="-1"/>
          <w:sz w:val="16"/>
        </w:rPr>
        <w:t>Variance</w:t>
      </w:r>
      <w:r>
        <w:rPr>
          <w:rFonts w:ascii="Swis721 BT"/>
          <w:b/>
          <w:i/>
          <w:color w:val="231F20"/>
          <w:sz w:val="16"/>
        </w:rPr>
        <w:t> Commentary</w:t>
      </w:r>
      <w:r>
        <w:rPr>
          <w:rFonts w:ascii="Swis721 BT"/>
          <w:sz w:val="16"/>
        </w:rPr>
      </w:r>
    </w:p>
    <w:p>
      <w:pPr>
        <w:spacing w:before="0"/>
        <w:ind w:left="113" w:right="0" w:firstLine="0"/>
        <w:jc w:val="left"/>
        <w:rPr>
          <w:rFonts w:ascii="Swis721 Lt BT" w:hAnsi="Swis721 Lt BT" w:cs="Swis721 Lt BT" w:eastAsia="Swis721 Lt BT"/>
          <w:sz w:val="16"/>
          <w:szCs w:val="16"/>
        </w:rPr>
      </w:pPr>
      <w:r>
        <w:rPr>
          <w:rFonts w:ascii="Swis721 Lt BT"/>
          <w:i/>
          <w:color w:val="231F20"/>
          <w:sz w:val="16"/>
        </w:rPr>
        <w:t>Budget variance explanations are outlined in Note 12.</w:t>
      </w:r>
      <w:r>
        <w:rPr>
          <w:rFonts w:ascii="Swis721 Lt BT"/>
          <w:sz w:val="16"/>
        </w:rPr>
      </w:r>
    </w:p>
    <w:p>
      <w:pPr>
        <w:spacing w:after="0"/>
        <w:jc w:val="left"/>
        <w:rPr>
          <w:rFonts w:ascii="Swis721 Lt BT" w:hAnsi="Swis721 Lt BT" w:cs="Swis721 Lt BT" w:eastAsia="Swis721 Lt BT"/>
          <w:sz w:val="16"/>
          <w:szCs w:val="16"/>
        </w:rPr>
        <w:sectPr>
          <w:pgSz w:w="9980" w:h="14180"/>
          <w:pgMar w:header="0" w:footer="452" w:top="360" w:bottom="640" w:left="1020" w:right="740"/>
        </w:sectPr>
      </w:pPr>
    </w:p>
    <w:p>
      <w:pPr>
        <w:pStyle w:val="Heading2"/>
        <w:spacing w:line="240" w:lineRule="auto" w:before="16"/>
        <w:ind w:right="3016"/>
        <w:jc w:val="left"/>
        <w:rPr>
          <w:b w:val="0"/>
          <w:bCs w:val="0"/>
        </w:rPr>
      </w:pPr>
      <w:bookmarkStart w:name="_TOC_250002" w:id="26"/>
      <w:bookmarkStart w:name="NOTES TO THE FINANCIAL STATEMENTS" w:id="27"/>
      <w:r>
        <w:rPr>
          <w:b w:val="0"/>
        </w:rPr>
      </w:r>
      <w:bookmarkStart w:name="NOTE 1. OBJECTIVE OF THE ENTITY" w:id="28"/>
      <w:bookmarkEnd w:id="28"/>
      <w:r>
        <w:rPr>
          <w:b w:val="0"/>
        </w:rPr>
      </w:r>
      <w:bookmarkStart w:name="NOTE 2. BASIS OF PREPARATION" w:id="29"/>
      <w:bookmarkEnd w:id="29"/>
      <w:r>
        <w:rPr>
          <w:b w:val="0"/>
        </w:rPr>
      </w:r>
      <w:r>
        <w:rPr>
          <w:color w:val="005E63"/>
        </w:rPr>
        <w:t>NOTES TO THE</w:t>
      </w:r>
      <w:r>
        <w:rPr>
          <w:color w:val="005E63"/>
        </w:rPr>
        <w:t> FINANCIAL </w:t>
      </w:r>
      <w:r>
        <w:rPr>
          <w:color w:val="005E63"/>
          <w:spacing w:val="-3"/>
        </w:rPr>
        <w:t>STATEMENTS</w:t>
      </w:r>
      <w:bookmarkEnd w:id="26"/>
      <w:r>
        <w:rPr>
          <w:b w:val="0"/>
        </w:rPr>
      </w:r>
    </w:p>
    <w:p>
      <w:pPr>
        <w:pStyle w:val="Heading8"/>
        <w:spacing w:line="240" w:lineRule="auto" w:before="67"/>
        <w:ind w:right="0"/>
        <w:jc w:val="left"/>
      </w:pPr>
      <w:r>
        <w:rPr>
          <w:color w:val="00757A"/>
          <w:spacing w:val="-2"/>
        </w:rPr>
        <w:t>For</w:t>
      </w:r>
      <w:r>
        <w:rPr>
          <w:color w:val="00757A"/>
        </w:rPr>
        <w:t> the year ended 30 June 2019</w:t>
      </w:r>
      <w:r>
        <w:rPr/>
      </w:r>
    </w:p>
    <w:p>
      <w:pPr>
        <w:spacing w:line="240" w:lineRule="auto" w:before="0"/>
        <w:rPr>
          <w:rFonts w:ascii="Swis721 Md BT" w:hAnsi="Swis721 Md BT" w:cs="Swis721 Md BT" w:eastAsia="Swis721 Md BT"/>
          <w:sz w:val="22"/>
          <w:szCs w:val="22"/>
        </w:rPr>
      </w:pPr>
    </w:p>
    <w:p>
      <w:pPr>
        <w:spacing w:line="240" w:lineRule="auto" w:before="2"/>
        <w:rPr>
          <w:rFonts w:ascii="Swis721 Md BT" w:hAnsi="Swis721 Md BT" w:cs="Swis721 Md BT" w:eastAsia="Swis721 Md BT"/>
          <w:sz w:val="21"/>
          <w:szCs w:val="21"/>
        </w:rPr>
      </w:pPr>
    </w:p>
    <w:p>
      <w:pPr>
        <w:spacing w:before="0"/>
        <w:ind w:left="110" w:right="0" w:firstLine="0"/>
        <w:jc w:val="left"/>
        <w:rPr>
          <w:rFonts w:ascii="Swis721 BT" w:hAnsi="Swis721 BT" w:cs="Swis721 BT" w:eastAsia="Swis721 BT"/>
          <w:sz w:val="24"/>
          <w:szCs w:val="24"/>
        </w:rPr>
      </w:pPr>
      <w:r>
        <w:rPr>
          <w:rFonts w:ascii="Swis721 Hv BT"/>
          <w:b/>
          <w:color w:val="005E63"/>
          <w:sz w:val="24"/>
        </w:rPr>
        <w:t>NOTE</w:t>
      </w:r>
      <w:r>
        <w:rPr>
          <w:rFonts w:ascii="Swis721 Hv BT"/>
          <w:b/>
          <w:color w:val="005E63"/>
          <w:spacing w:val="-2"/>
          <w:sz w:val="24"/>
        </w:rPr>
        <w:t> </w:t>
      </w:r>
      <w:r>
        <w:rPr>
          <w:rFonts w:ascii="Swis721 Hv BT"/>
          <w:b/>
          <w:color w:val="005E63"/>
          <w:sz w:val="24"/>
        </w:rPr>
        <w:t>1.</w:t>
      </w:r>
      <w:r>
        <w:rPr>
          <w:rFonts w:ascii="Swis721 Hv BT"/>
          <w:b/>
          <w:color w:val="005E63"/>
          <w:spacing w:val="-7"/>
          <w:sz w:val="24"/>
        </w:rPr>
        <w:t> </w:t>
      </w:r>
      <w:r>
        <w:rPr>
          <w:rFonts w:ascii="Swis721 BT"/>
          <w:color w:val="005E63"/>
          <w:sz w:val="24"/>
        </w:rPr>
        <w:t>OBJECTIVE</w:t>
      </w:r>
      <w:r>
        <w:rPr>
          <w:rFonts w:ascii="Swis721 BT"/>
          <w:color w:val="005E63"/>
          <w:spacing w:val="-2"/>
          <w:sz w:val="24"/>
        </w:rPr>
        <w:t> </w:t>
      </w:r>
      <w:r>
        <w:rPr>
          <w:rFonts w:ascii="Swis721 BT"/>
          <w:color w:val="005E63"/>
          <w:sz w:val="24"/>
        </w:rPr>
        <w:t>OF</w:t>
      </w:r>
      <w:r>
        <w:rPr>
          <w:rFonts w:ascii="Swis721 BT"/>
          <w:color w:val="005E63"/>
          <w:spacing w:val="-1"/>
          <w:sz w:val="24"/>
        </w:rPr>
        <w:t> </w:t>
      </w:r>
      <w:r>
        <w:rPr>
          <w:rFonts w:ascii="Swis721 BT"/>
          <w:color w:val="005E63"/>
          <w:sz w:val="24"/>
        </w:rPr>
        <w:t>THE</w:t>
      </w:r>
      <w:r>
        <w:rPr>
          <w:rFonts w:ascii="Swis721 BT"/>
          <w:color w:val="005E63"/>
          <w:spacing w:val="-1"/>
          <w:sz w:val="24"/>
        </w:rPr>
        <w:t> </w:t>
      </w:r>
      <w:r>
        <w:rPr>
          <w:rFonts w:ascii="Swis721 BT"/>
          <w:color w:val="005E63"/>
          <w:sz w:val="24"/>
        </w:rPr>
        <w:t>ENTITY</w:t>
      </w:r>
      <w:r>
        <w:rPr>
          <w:rFonts w:ascii="Swis721 BT"/>
          <w:sz w:val="24"/>
        </w:rPr>
      </w:r>
    </w:p>
    <w:p>
      <w:pPr>
        <w:pStyle w:val="BodyText"/>
        <w:spacing w:line="240" w:lineRule="auto" w:before="215"/>
        <w:ind w:right="157"/>
        <w:jc w:val="left"/>
      </w:pPr>
      <w:r>
        <w:rPr>
          <w:color w:val="231F20"/>
        </w:rPr>
        <w:t>The objective of the Australian Institute for </w:t>
      </w:r>
      <w:r>
        <w:rPr>
          <w:color w:val="231F20"/>
          <w:spacing w:val="-26"/>
        </w:rPr>
        <w:t>T</w:t>
      </w:r>
      <w:r>
        <w:rPr>
          <w:color w:val="231F20"/>
        </w:rPr>
        <w:t>eaching and School Leadership (AITSL) is to provide</w:t>
      </w:r>
      <w:r>
        <w:rPr>
          <w:color w:val="231F20"/>
        </w:rPr>
        <w:t> national leadership for the Commonwealth, state and territory governments in promoting excellence in the profession of teaching and school leadership.</w:t>
      </w:r>
      <w:r>
        <w:rPr/>
      </w:r>
    </w:p>
    <w:p>
      <w:pPr>
        <w:spacing w:line="240" w:lineRule="auto" w:before="0"/>
        <w:rPr>
          <w:rFonts w:ascii="Swis721 Lt BT" w:hAnsi="Swis721 Lt BT" w:cs="Swis721 Lt BT" w:eastAsia="Swis721 Lt BT"/>
          <w:sz w:val="18"/>
          <w:szCs w:val="18"/>
        </w:rPr>
      </w:pPr>
    </w:p>
    <w:p>
      <w:pPr>
        <w:spacing w:line="240" w:lineRule="auto" w:before="9"/>
        <w:rPr>
          <w:rFonts w:ascii="Swis721 Lt BT" w:hAnsi="Swis721 Lt BT" w:cs="Swis721 Lt BT" w:eastAsia="Swis721 Lt BT"/>
          <w:sz w:val="25"/>
          <w:szCs w:val="25"/>
        </w:rPr>
      </w:pPr>
    </w:p>
    <w:p>
      <w:pPr>
        <w:spacing w:before="0"/>
        <w:ind w:left="110" w:right="0" w:firstLine="0"/>
        <w:jc w:val="left"/>
        <w:rPr>
          <w:rFonts w:ascii="Swis721 BT" w:hAnsi="Swis721 BT" w:cs="Swis721 BT" w:eastAsia="Swis721 BT"/>
          <w:sz w:val="24"/>
          <w:szCs w:val="24"/>
        </w:rPr>
      </w:pPr>
      <w:r>
        <w:rPr>
          <w:rFonts w:ascii="Swis721 Hv BT"/>
          <w:b/>
          <w:color w:val="005E63"/>
          <w:sz w:val="24"/>
        </w:rPr>
        <w:t>NOTE</w:t>
      </w:r>
      <w:r>
        <w:rPr>
          <w:rFonts w:ascii="Swis721 Hv BT"/>
          <w:b/>
          <w:color w:val="005E63"/>
          <w:spacing w:val="-2"/>
          <w:sz w:val="24"/>
        </w:rPr>
        <w:t> </w:t>
      </w:r>
      <w:r>
        <w:rPr>
          <w:rFonts w:ascii="Swis721 Hv BT"/>
          <w:b/>
          <w:color w:val="005E63"/>
          <w:sz w:val="24"/>
        </w:rPr>
        <w:t>2.</w:t>
      </w:r>
      <w:r>
        <w:rPr>
          <w:rFonts w:ascii="Swis721 Hv BT"/>
          <w:b/>
          <w:color w:val="005E63"/>
          <w:spacing w:val="-8"/>
          <w:sz w:val="24"/>
        </w:rPr>
        <w:t> </w:t>
      </w:r>
      <w:r>
        <w:rPr>
          <w:rFonts w:ascii="Swis721 BT"/>
          <w:color w:val="005E63"/>
          <w:sz w:val="24"/>
        </w:rPr>
        <w:t>BASIS</w:t>
      </w:r>
      <w:r>
        <w:rPr>
          <w:rFonts w:ascii="Swis721 BT"/>
          <w:color w:val="005E63"/>
          <w:spacing w:val="-2"/>
          <w:sz w:val="24"/>
        </w:rPr>
        <w:t> </w:t>
      </w:r>
      <w:r>
        <w:rPr>
          <w:rFonts w:ascii="Swis721 BT"/>
          <w:color w:val="005E63"/>
          <w:sz w:val="24"/>
        </w:rPr>
        <w:t>OF</w:t>
      </w:r>
      <w:r>
        <w:rPr>
          <w:rFonts w:ascii="Swis721 BT"/>
          <w:color w:val="005E63"/>
          <w:spacing w:val="-1"/>
          <w:sz w:val="24"/>
        </w:rPr>
        <w:t> </w:t>
      </w:r>
      <w:r>
        <w:rPr>
          <w:rFonts w:ascii="Swis721 BT"/>
          <w:color w:val="005E63"/>
          <w:spacing w:val="-3"/>
          <w:sz w:val="24"/>
        </w:rPr>
        <w:t>PREPARATION</w:t>
      </w:r>
      <w:r>
        <w:rPr>
          <w:rFonts w:ascii="Swis721 BT"/>
          <w:sz w:val="24"/>
        </w:rPr>
      </w:r>
    </w:p>
    <w:p>
      <w:pPr>
        <w:spacing w:line="240" w:lineRule="auto" w:before="2"/>
        <w:rPr>
          <w:rFonts w:ascii="Swis721 BT" w:hAnsi="Swis721 BT" w:cs="Swis721 BT" w:eastAsia="Swis721 BT"/>
          <w:sz w:val="18"/>
          <w:szCs w:val="18"/>
        </w:rPr>
      </w:pPr>
    </w:p>
    <w:p>
      <w:pPr>
        <w:pStyle w:val="Heading8"/>
        <w:numPr>
          <w:ilvl w:val="1"/>
          <w:numId w:val="4"/>
        </w:numPr>
        <w:tabs>
          <w:tab w:pos="478" w:val="left" w:leader="none"/>
        </w:tabs>
        <w:spacing w:line="240" w:lineRule="auto" w:before="0" w:after="0"/>
        <w:ind w:left="477" w:right="0" w:hanging="367"/>
        <w:jc w:val="left"/>
      </w:pPr>
      <w:r>
        <w:rPr>
          <w:color w:val="00757A"/>
        </w:rPr>
        <w:t>Statement of compliance</w:t>
      </w:r>
      <w:r>
        <w:rPr/>
      </w:r>
    </w:p>
    <w:p>
      <w:pPr>
        <w:pStyle w:val="BodyText"/>
        <w:spacing w:line="240" w:lineRule="auto" w:before="106"/>
        <w:ind w:right="114"/>
        <w:jc w:val="left"/>
      </w:pPr>
      <w:r>
        <w:rPr>
          <w:color w:val="231F20"/>
        </w:rPr>
        <w:t>The</w:t>
      </w:r>
      <w:r>
        <w:rPr>
          <w:color w:val="231F20"/>
          <w:spacing w:val="-2"/>
        </w:rPr>
        <w:t> </w:t>
      </w:r>
      <w:r>
        <w:rPr>
          <w:color w:val="231F20"/>
        </w:rPr>
        <w:t>financial</w:t>
      </w:r>
      <w:r>
        <w:rPr>
          <w:color w:val="231F20"/>
          <w:spacing w:val="-1"/>
        </w:rPr>
        <w:t> </w:t>
      </w:r>
      <w:r>
        <w:rPr>
          <w:color w:val="231F20"/>
        </w:rPr>
        <w:t>statements</w:t>
      </w:r>
      <w:r>
        <w:rPr>
          <w:color w:val="231F20"/>
          <w:spacing w:val="-1"/>
        </w:rPr>
        <w:t> </w:t>
      </w:r>
      <w:r>
        <w:rPr>
          <w:color w:val="231F20"/>
        </w:rPr>
        <w:t>are</w:t>
      </w:r>
      <w:r>
        <w:rPr>
          <w:color w:val="231F20"/>
          <w:spacing w:val="-1"/>
        </w:rPr>
        <w:t> </w:t>
      </w:r>
      <w:r>
        <w:rPr>
          <w:color w:val="231F20"/>
        </w:rPr>
        <w:t>a</w:t>
      </w:r>
      <w:r>
        <w:rPr>
          <w:color w:val="231F20"/>
          <w:spacing w:val="-1"/>
        </w:rPr>
        <w:t> </w:t>
      </w:r>
      <w:r>
        <w:rPr>
          <w:color w:val="231F20"/>
        </w:rPr>
        <w:t>general</w:t>
      </w:r>
      <w:r>
        <w:rPr>
          <w:color w:val="231F20"/>
          <w:spacing w:val="-1"/>
        </w:rPr>
        <w:t> </w:t>
      </w:r>
      <w:r>
        <w:rPr>
          <w:color w:val="231F20"/>
        </w:rPr>
        <w:t>purpose</w:t>
      </w:r>
      <w:r>
        <w:rPr>
          <w:color w:val="231F20"/>
          <w:spacing w:val="-1"/>
        </w:rPr>
        <w:t> </w:t>
      </w:r>
      <w:r>
        <w:rPr>
          <w:color w:val="231F20"/>
        </w:rPr>
        <w:t>financial</w:t>
      </w:r>
      <w:r>
        <w:rPr>
          <w:color w:val="231F20"/>
          <w:spacing w:val="-1"/>
        </w:rPr>
        <w:t> </w:t>
      </w:r>
      <w:r>
        <w:rPr>
          <w:color w:val="231F20"/>
        </w:rPr>
        <w:t>report</w:t>
      </w:r>
      <w:r>
        <w:rPr>
          <w:color w:val="231F20"/>
          <w:spacing w:val="-1"/>
        </w:rPr>
        <w:t> </w:t>
      </w:r>
      <w:r>
        <w:rPr>
          <w:color w:val="231F20"/>
        </w:rPr>
        <w:t>that</w:t>
      </w:r>
      <w:r>
        <w:rPr>
          <w:color w:val="231F20"/>
          <w:spacing w:val="-1"/>
        </w:rPr>
        <w:t> </w:t>
      </w:r>
      <w:r>
        <w:rPr>
          <w:color w:val="231F20"/>
        </w:rPr>
        <w:t>has</w:t>
      </w:r>
      <w:r>
        <w:rPr>
          <w:color w:val="231F20"/>
          <w:spacing w:val="-1"/>
        </w:rPr>
        <w:t> </w:t>
      </w:r>
      <w:r>
        <w:rPr>
          <w:color w:val="231F20"/>
        </w:rPr>
        <w:t>been</w:t>
      </w:r>
      <w:r>
        <w:rPr>
          <w:color w:val="231F20"/>
          <w:spacing w:val="-1"/>
        </w:rPr>
        <w:t> </w:t>
      </w:r>
      <w:r>
        <w:rPr>
          <w:color w:val="231F20"/>
        </w:rPr>
        <w:t>prepared</w:t>
      </w:r>
      <w:r>
        <w:rPr>
          <w:color w:val="231F20"/>
          <w:spacing w:val="-1"/>
        </w:rPr>
        <w:t> </w:t>
      </w:r>
      <w:r>
        <w:rPr>
          <w:color w:val="231F20"/>
        </w:rPr>
        <w:t>in</w:t>
      </w:r>
      <w:r>
        <w:rPr>
          <w:color w:val="231F20"/>
        </w:rPr>
        <w:t> accordance with Australian Accounting Standards Reduced Disclosure Requirements (including the Australian Accounting Interpretations) adopted by the Australian Accounting Standards Board (AASB) that apply for the reporting period, the </w:t>
      </w:r>
      <w:r>
        <w:rPr>
          <w:rFonts w:ascii="Swis721 Lt BT"/>
          <w:i/>
          <w:color w:val="231F20"/>
        </w:rPr>
        <w:t>Australian Charities and </w:t>
      </w:r>
      <w:r>
        <w:rPr>
          <w:rFonts w:ascii="Swis721 Lt BT"/>
          <w:i/>
          <w:color w:val="231F20"/>
          <w:spacing w:val="-2"/>
        </w:rPr>
        <w:t>Not-for-profit</w:t>
      </w:r>
      <w:r>
        <w:rPr>
          <w:rFonts w:ascii="Swis721 Lt BT"/>
          <w:i/>
          <w:color w:val="231F20"/>
        </w:rPr>
        <w:t> Commission</w:t>
      </w:r>
      <w:r>
        <w:rPr>
          <w:rFonts w:ascii="Swis721 Lt BT"/>
          <w:i/>
          <w:color w:val="231F20"/>
          <w:spacing w:val="27"/>
        </w:rPr>
        <w:t> </w:t>
      </w:r>
      <w:r>
        <w:rPr>
          <w:rFonts w:ascii="Swis721 Lt BT"/>
          <w:i/>
          <w:color w:val="231F20"/>
        </w:rPr>
        <w:t>Act 2012 </w:t>
      </w:r>
      <w:r>
        <w:rPr>
          <w:color w:val="231F20"/>
        </w:rPr>
        <w:t>and the </w:t>
      </w:r>
      <w:r>
        <w:rPr>
          <w:rFonts w:ascii="Swis721 Lt BT"/>
          <w:i/>
          <w:color w:val="231F20"/>
        </w:rPr>
        <w:t>Corporations Act 2001</w:t>
      </w:r>
      <w:r>
        <w:rPr>
          <w:color w:val="231F20"/>
        </w:rPr>
        <w:t>.</w:t>
      </w:r>
      <w:r>
        <w:rPr/>
      </w:r>
    </w:p>
    <w:p>
      <w:pPr>
        <w:pStyle w:val="BodyText"/>
        <w:spacing w:line="240" w:lineRule="auto"/>
        <w:ind w:right="114"/>
        <w:jc w:val="left"/>
      </w:pPr>
      <w:r>
        <w:rPr>
          <w:color w:val="231F20"/>
        </w:rPr>
        <w:t>AITSL has adopted all of the new or amended Accounting Standards and Interpretations issued by the AASB that are mandatory for the current reporting period. These have not had a material impact</w:t>
      </w:r>
      <w:r>
        <w:rPr>
          <w:color w:val="231F20"/>
          <w:spacing w:val="-1"/>
        </w:rPr>
        <w:t> </w:t>
      </w:r>
      <w:r>
        <w:rPr>
          <w:color w:val="231F20"/>
        </w:rPr>
        <w:t>on</w:t>
      </w:r>
      <w:r>
        <w:rPr>
          <w:color w:val="231F20"/>
          <w:spacing w:val="-1"/>
        </w:rPr>
        <w:t> </w:t>
      </w:r>
      <w:r>
        <w:rPr>
          <w:color w:val="231F20"/>
        </w:rPr>
        <w:t>the financial</w:t>
      </w:r>
      <w:r>
        <w:rPr>
          <w:color w:val="231F20"/>
          <w:spacing w:val="-1"/>
        </w:rPr>
        <w:t> </w:t>
      </w:r>
      <w:r>
        <w:rPr>
          <w:color w:val="231F20"/>
        </w:rPr>
        <w:t>statements. New</w:t>
      </w:r>
      <w:r>
        <w:rPr>
          <w:color w:val="231F20"/>
          <w:spacing w:val="-1"/>
        </w:rPr>
        <w:t> </w:t>
      </w:r>
      <w:r>
        <w:rPr>
          <w:color w:val="231F20"/>
        </w:rPr>
        <w:t>or amended</w:t>
      </w:r>
      <w:r>
        <w:rPr>
          <w:color w:val="231F20"/>
          <w:spacing w:val="-1"/>
        </w:rPr>
        <w:t> </w:t>
      </w:r>
      <w:r>
        <w:rPr>
          <w:color w:val="231F20"/>
        </w:rPr>
        <w:t>Accounting</w:t>
      </w:r>
      <w:r>
        <w:rPr>
          <w:color w:val="231F20"/>
          <w:spacing w:val="-1"/>
        </w:rPr>
        <w:t> </w:t>
      </w:r>
      <w:r>
        <w:rPr>
          <w:color w:val="231F20"/>
        </w:rPr>
        <w:t>Standards or</w:t>
      </w:r>
      <w:r>
        <w:rPr>
          <w:color w:val="231F20"/>
          <w:spacing w:val="-1"/>
        </w:rPr>
        <w:t> </w:t>
      </w:r>
      <w:r>
        <w:rPr>
          <w:color w:val="231F20"/>
        </w:rPr>
        <w:t>Interpretations that</w:t>
      </w:r>
      <w:r>
        <w:rPr>
          <w:color w:val="231F20"/>
        </w:rPr>
        <w:t> are not yet mandatory have not been adopted.</w:t>
      </w:r>
      <w:r>
        <w:rPr/>
      </w:r>
    </w:p>
    <w:p>
      <w:pPr>
        <w:pStyle w:val="BodyText"/>
        <w:spacing w:line="240" w:lineRule="auto"/>
        <w:ind w:right="466"/>
        <w:jc w:val="left"/>
      </w:pPr>
      <w:r>
        <w:rPr>
          <w:color w:val="231F20"/>
        </w:rPr>
        <w:t>The</w:t>
      </w:r>
      <w:r>
        <w:rPr>
          <w:color w:val="231F20"/>
          <w:spacing w:val="-1"/>
        </w:rPr>
        <w:t> </w:t>
      </w:r>
      <w:r>
        <w:rPr>
          <w:color w:val="231F20"/>
        </w:rPr>
        <w:t>financial statements</w:t>
      </w:r>
      <w:r>
        <w:rPr>
          <w:color w:val="231F20"/>
          <w:spacing w:val="-1"/>
        </w:rPr>
        <w:t> </w:t>
      </w:r>
      <w:r>
        <w:rPr>
          <w:color w:val="231F20"/>
        </w:rPr>
        <w:t>have been</w:t>
      </w:r>
      <w:r>
        <w:rPr>
          <w:color w:val="231F20"/>
          <w:spacing w:val="-1"/>
        </w:rPr>
        <w:t> </w:t>
      </w:r>
      <w:r>
        <w:rPr>
          <w:color w:val="231F20"/>
        </w:rPr>
        <w:t>prepared on</w:t>
      </w:r>
      <w:r>
        <w:rPr>
          <w:color w:val="231F20"/>
          <w:spacing w:val="-1"/>
        </w:rPr>
        <w:t> </w:t>
      </w:r>
      <w:r>
        <w:rPr>
          <w:color w:val="231F20"/>
        </w:rPr>
        <w:t>an accrual</w:t>
      </w:r>
      <w:r>
        <w:rPr>
          <w:color w:val="231F20"/>
          <w:spacing w:val="-1"/>
        </w:rPr>
        <w:t> </w:t>
      </w:r>
      <w:r>
        <w:rPr>
          <w:color w:val="231F20"/>
        </w:rPr>
        <w:t>basis and</w:t>
      </w:r>
      <w:r>
        <w:rPr>
          <w:color w:val="231F20"/>
          <w:spacing w:val="-1"/>
        </w:rPr>
        <w:t> </w:t>
      </w:r>
      <w:r>
        <w:rPr>
          <w:color w:val="231F20"/>
        </w:rPr>
        <w:t>are in</w:t>
      </w:r>
      <w:r>
        <w:rPr>
          <w:color w:val="231F20"/>
          <w:spacing w:val="-1"/>
        </w:rPr>
        <w:t> </w:t>
      </w:r>
      <w:r>
        <w:rPr>
          <w:color w:val="231F20"/>
        </w:rPr>
        <w:t>accordance with</w:t>
      </w:r>
      <w:r>
        <w:rPr>
          <w:color w:val="231F20"/>
        </w:rPr>
        <w:t> historical cost convention, except for certain assets, which as noted, are valued at fair value. The</w:t>
      </w:r>
      <w:r>
        <w:rPr>
          <w:color w:val="231F20"/>
          <w:spacing w:val="-1"/>
        </w:rPr>
        <w:t> </w:t>
      </w:r>
      <w:r>
        <w:rPr>
          <w:color w:val="231F20"/>
        </w:rPr>
        <w:t>financial</w:t>
      </w:r>
      <w:r>
        <w:rPr>
          <w:color w:val="231F20"/>
          <w:spacing w:val="-1"/>
        </w:rPr>
        <w:t> </w:t>
      </w:r>
      <w:r>
        <w:rPr>
          <w:color w:val="231F20"/>
        </w:rPr>
        <w:t>statements</w:t>
      </w:r>
      <w:r>
        <w:rPr>
          <w:color w:val="231F20"/>
          <w:spacing w:val="-1"/>
        </w:rPr>
        <w:t> </w:t>
      </w:r>
      <w:r>
        <w:rPr>
          <w:color w:val="231F20"/>
        </w:rPr>
        <w:t>are</w:t>
      </w:r>
      <w:r>
        <w:rPr>
          <w:color w:val="231F20"/>
          <w:spacing w:val="-1"/>
        </w:rPr>
        <w:t> </w:t>
      </w:r>
      <w:r>
        <w:rPr>
          <w:color w:val="231F20"/>
        </w:rPr>
        <w:t>presented</w:t>
      </w:r>
      <w:r>
        <w:rPr>
          <w:color w:val="231F20"/>
          <w:spacing w:val="-1"/>
        </w:rPr>
        <w:t> </w:t>
      </w:r>
      <w:r>
        <w:rPr>
          <w:color w:val="231F20"/>
        </w:rPr>
        <w:t>in</w:t>
      </w:r>
      <w:r>
        <w:rPr>
          <w:color w:val="231F20"/>
          <w:spacing w:val="-1"/>
        </w:rPr>
        <w:t> </w:t>
      </w:r>
      <w:r>
        <w:rPr>
          <w:color w:val="231F20"/>
        </w:rPr>
        <w:t>Australian</w:t>
      </w:r>
      <w:r>
        <w:rPr>
          <w:color w:val="231F20"/>
          <w:spacing w:val="-1"/>
        </w:rPr>
        <w:t> </w:t>
      </w:r>
      <w:r>
        <w:rPr>
          <w:color w:val="231F20"/>
        </w:rPr>
        <w:t>dollars.</w:t>
      </w:r>
      <w:r>
        <w:rPr/>
      </w:r>
    </w:p>
    <w:p>
      <w:pPr>
        <w:pStyle w:val="BodyText"/>
        <w:spacing w:line="240" w:lineRule="auto"/>
        <w:ind w:right="868"/>
        <w:jc w:val="left"/>
      </w:pPr>
      <w:r>
        <w:rPr>
          <w:color w:val="231F20"/>
        </w:rPr>
        <w:t>The</w:t>
      </w:r>
      <w:r>
        <w:rPr>
          <w:color w:val="231F20"/>
          <w:spacing w:val="-1"/>
        </w:rPr>
        <w:t> </w:t>
      </w:r>
      <w:r>
        <w:rPr>
          <w:color w:val="231F20"/>
        </w:rPr>
        <w:t>financial report</w:t>
      </w:r>
      <w:r>
        <w:rPr>
          <w:color w:val="231F20"/>
          <w:spacing w:val="-1"/>
        </w:rPr>
        <w:t> </w:t>
      </w:r>
      <w:r>
        <w:rPr>
          <w:color w:val="231F20"/>
        </w:rPr>
        <w:t>was approved</w:t>
      </w:r>
      <w:r>
        <w:rPr>
          <w:color w:val="231F20"/>
          <w:spacing w:val="-1"/>
        </w:rPr>
        <w:t> </w:t>
      </w:r>
      <w:r>
        <w:rPr>
          <w:color w:val="231F20"/>
        </w:rPr>
        <w:t>and authorised</w:t>
      </w:r>
      <w:r>
        <w:rPr>
          <w:color w:val="231F20"/>
          <w:spacing w:val="-1"/>
        </w:rPr>
        <w:t> </w:t>
      </w:r>
      <w:r>
        <w:rPr>
          <w:color w:val="231F20"/>
        </w:rPr>
        <w:t>for issue</w:t>
      </w:r>
      <w:r>
        <w:rPr>
          <w:color w:val="231F20"/>
          <w:spacing w:val="-1"/>
        </w:rPr>
        <w:t> </w:t>
      </w:r>
      <w:r>
        <w:rPr>
          <w:color w:val="231F20"/>
        </w:rPr>
        <w:t>by the</w:t>
      </w:r>
      <w:r>
        <w:rPr>
          <w:color w:val="231F20"/>
          <w:spacing w:val="-1"/>
        </w:rPr>
        <w:t> </w:t>
      </w:r>
      <w:r>
        <w:rPr>
          <w:color w:val="231F20"/>
        </w:rPr>
        <w:t>Board of</w:t>
      </w:r>
      <w:r>
        <w:rPr>
          <w:color w:val="231F20"/>
          <w:spacing w:val="-1"/>
        </w:rPr>
        <w:t> </w:t>
      </w:r>
      <w:r>
        <w:rPr>
          <w:color w:val="231F20"/>
        </w:rPr>
        <w:t>Directors on</w:t>
      </w:r>
      <w:r>
        <w:rPr>
          <w:color w:val="231F20"/>
        </w:rPr>
        <w:t> 8 October 2019.</w:t>
      </w:r>
      <w:r>
        <w:rPr/>
      </w:r>
    </w:p>
    <w:p>
      <w:pPr>
        <w:spacing w:line="240" w:lineRule="auto" w:before="0"/>
        <w:rPr>
          <w:rFonts w:ascii="Swis721 Lt BT" w:hAnsi="Swis721 Lt BT" w:cs="Swis721 Lt BT" w:eastAsia="Swis721 Lt BT"/>
          <w:sz w:val="18"/>
          <w:szCs w:val="18"/>
        </w:rPr>
      </w:pPr>
    </w:p>
    <w:p>
      <w:pPr>
        <w:pStyle w:val="Heading8"/>
        <w:numPr>
          <w:ilvl w:val="1"/>
          <w:numId w:val="4"/>
        </w:numPr>
        <w:tabs>
          <w:tab w:pos="478" w:val="left" w:leader="none"/>
        </w:tabs>
        <w:spacing w:line="240" w:lineRule="auto" w:before="127" w:after="0"/>
        <w:ind w:left="477" w:right="0" w:hanging="367"/>
        <w:jc w:val="left"/>
      </w:pPr>
      <w:r>
        <w:rPr>
          <w:color w:val="00757A"/>
        </w:rPr>
        <w:t>Economic dependency</w:t>
      </w:r>
      <w:r>
        <w:rPr/>
      </w:r>
    </w:p>
    <w:p>
      <w:pPr>
        <w:pStyle w:val="BodyText"/>
        <w:spacing w:line="240" w:lineRule="auto" w:before="106"/>
        <w:ind w:right="114"/>
        <w:jc w:val="left"/>
      </w:pPr>
      <w:r>
        <w:rPr>
          <w:color w:val="231F20"/>
        </w:rPr>
        <w:t>AITSL is dependent on the Department of Education for the majority of the revenue used to carry out its ordinary activities. At the date of this report, the Board of Directors has no reason to believe that the Department of Education will not continue to support AITSL.</w:t>
      </w:r>
      <w:r>
        <w:rPr/>
      </w:r>
    </w:p>
    <w:p>
      <w:pPr>
        <w:spacing w:after="0" w:line="240" w:lineRule="auto"/>
        <w:jc w:val="left"/>
        <w:sectPr>
          <w:pgSz w:w="9980" w:h="14180"/>
          <w:pgMar w:header="0" w:footer="452" w:top="1040" w:bottom="640" w:left="740" w:right="1020"/>
        </w:sectPr>
      </w:pPr>
    </w:p>
    <w:p>
      <w:pPr>
        <w:spacing w:before="58"/>
        <w:ind w:left="0" w:right="108" w:firstLine="0"/>
        <w:jc w:val="right"/>
        <w:rPr>
          <w:rFonts w:ascii="Swis721 Lt BT" w:hAnsi="Swis721 Lt BT" w:cs="Swis721 Lt BT" w:eastAsia="Swis721 Lt BT"/>
          <w:sz w:val="14"/>
          <w:szCs w:val="14"/>
        </w:rPr>
      </w:pPr>
      <w:bookmarkStart w:name="NOTE 3. SIGNIFICANT ACCOUNTING POLICIES" w:id="30"/>
      <w:bookmarkEnd w:id="30"/>
      <w:r>
        <w:rPr/>
      </w: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16"/>
          <w:szCs w:val="16"/>
        </w:rPr>
      </w:pPr>
    </w:p>
    <w:p>
      <w:pPr>
        <w:pStyle w:val="Heading8"/>
        <w:numPr>
          <w:ilvl w:val="1"/>
          <w:numId w:val="4"/>
        </w:numPr>
        <w:tabs>
          <w:tab w:pos="482" w:val="left" w:leader="none"/>
        </w:tabs>
        <w:spacing w:line="240" w:lineRule="auto" w:before="65" w:after="0"/>
        <w:ind w:left="481" w:right="0" w:hanging="368"/>
        <w:jc w:val="left"/>
      </w:pPr>
      <w:r>
        <w:rPr>
          <w:color w:val="00757A"/>
        </w:rPr>
        <w:t>Use of estimates and judgments</w:t>
      </w:r>
      <w:r>
        <w:rPr/>
      </w:r>
    </w:p>
    <w:p>
      <w:pPr>
        <w:pStyle w:val="BodyText"/>
        <w:spacing w:line="240" w:lineRule="auto" w:before="106"/>
        <w:ind w:left="113" w:right="157"/>
        <w:jc w:val="left"/>
      </w:pPr>
      <w:r>
        <w:rPr>
          <w:color w:val="231F20"/>
        </w:rPr>
        <w:t>The</w:t>
      </w:r>
      <w:r>
        <w:rPr>
          <w:color w:val="231F20"/>
          <w:spacing w:val="-1"/>
        </w:rPr>
        <w:t> </w:t>
      </w:r>
      <w:r>
        <w:rPr>
          <w:color w:val="231F20"/>
        </w:rPr>
        <w:t>preparation</w:t>
      </w:r>
      <w:r>
        <w:rPr>
          <w:color w:val="231F20"/>
          <w:spacing w:val="-1"/>
        </w:rPr>
        <w:t> </w:t>
      </w:r>
      <w:r>
        <w:rPr>
          <w:color w:val="231F20"/>
        </w:rPr>
        <w:t>of</w:t>
      </w:r>
      <w:r>
        <w:rPr>
          <w:color w:val="231F20"/>
          <w:spacing w:val="-1"/>
        </w:rPr>
        <w:t> </w:t>
      </w:r>
      <w:r>
        <w:rPr>
          <w:color w:val="231F20"/>
        </w:rPr>
        <w:t>financial statements</w:t>
      </w:r>
      <w:r>
        <w:rPr>
          <w:color w:val="231F20"/>
          <w:spacing w:val="-1"/>
        </w:rPr>
        <w:t> </w:t>
      </w:r>
      <w:r>
        <w:rPr>
          <w:color w:val="231F20"/>
        </w:rPr>
        <w:t>in</w:t>
      </w:r>
      <w:r>
        <w:rPr>
          <w:color w:val="231F20"/>
          <w:spacing w:val="-1"/>
        </w:rPr>
        <w:t> </w:t>
      </w:r>
      <w:r>
        <w:rPr>
          <w:color w:val="231F20"/>
        </w:rPr>
        <w:t>conformity with</w:t>
      </w:r>
      <w:r>
        <w:rPr>
          <w:color w:val="231F20"/>
          <w:spacing w:val="-1"/>
        </w:rPr>
        <w:t> </w:t>
      </w:r>
      <w:r>
        <w:rPr>
          <w:color w:val="231F20"/>
        </w:rPr>
        <w:t>Australian</w:t>
      </w:r>
      <w:r>
        <w:rPr>
          <w:color w:val="231F20"/>
          <w:spacing w:val="-1"/>
        </w:rPr>
        <w:t> </w:t>
      </w:r>
      <w:r>
        <w:rPr>
          <w:color w:val="231F20"/>
        </w:rPr>
        <w:t>Accounting Standards</w:t>
      </w:r>
      <w:r>
        <w:rPr>
          <w:color w:val="231F20"/>
        </w:rPr>
        <w:t> required management to make judgments, estimates and assumptions that affect the application of accounting policies and the reported amounts of assets, liabilities, income and expenses.</w:t>
      </w:r>
      <w:r>
        <w:rPr/>
      </w:r>
    </w:p>
    <w:p>
      <w:pPr>
        <w:pStyle w:val="BodyText"/>
        <w:spacing w:line="240" w:lineRule="auto" w:before="0"/>
        <w:ind w:left="113" w:right="0"/>
        <w:jc w:val="left"/>
      </w:pPr>
      <w:r>
        <w:rPr>
          <w:color w:val="231F20"/>
        </w:rPr>
        <w:t>Actual results may differ from these assumptions.</w:t>
      </w:r>
      <w:r>
        <w:rPr/>
      </w:r>
    </w:p>
    <w:p>
      <w:pPr>
        <w:pStyle w:val="BodyText"/>
        <w:spacing w:line="240" w:lineRule="auto"/>
        <w:ind w:left="113" w:right="466"/>
        <w:jc w:val="left"/>
      </w:pPr>
      <w:r>
        <w:rPr>
          <w:color w:val="231F20"/>
        </w:rPr>
        <w:t>Estimates and underlying assumptions are reviewed on an ongoing basis. Revisions to accounting estimates are recognised in the period in which estimates are revised and in any future period affected.</w:t>
      </w:r>
      <w:r>
        <w:rPr/>
      </w:r>
    </w:p>
    <w:p>
      <w:pPr>
        <w:pStyle w:val="BodyText"/>
        <w:spacing w:line="240" w:lineRule="auto"/>
        <w:ind w:left="113" w:right="157"/>
        <w:jc w:val="left"/>
      </w:pPr>
      <w:r>
        <w:rPr>
          <w:color w:val="231F20"/>
        </w:rPr>
        <w:t>No</w:t>
      </w:r>
      <w:r>
        <w:rPr>
          <w:color w:val="231F20"/>
          <w:spacing w:val="-1"/>
        </w:rPr>
        <w:t> </w:t>
      </w:r>
      <w:r>
        <w:rPr>
          <w:color w:val="231F20"/>
        </w:rPr>
        <w:t>estimate</w:t>
      </w:r>
      <w:r>
        <w:rPr>
          <w:color w:val="231F20"/>
          <w:spacing w:val="-1"/>
        </w:rPr>
        <w:t> </w:t>
      </w:r>
      <w:r>
        <w:rPr>
          <w:color w:val="231F20"/>
        </w:rPr>
        <w:t>or</w:t>
      </w:r>
      <w:r>
        <w:rPr>
          <w:color w:val="231F20"/>
          <w:spacing w:val="-1"/>
        </w:rPr>
        <w:t> </w:t>
      </w:r>
      <w:r>
        <w:rPr>
          <w:color w:val="231F20"/>
        </w:rPr>
        <w:t>judgment</w:t>
      </w:r>
      <w:r>
        <w:rPr>
          <w:color w:val="231F20"/>
          <w:spacing w:val="-1"/>
        </w:rPr>
        <w:t> </w:t>
      </w:r>
      <w:r>
        <w:rPr>
          <w:color w:val="231F20"/>
        </w:rPr>
        <w:t>has</w:t>
      </w:r>
      <w:r>
        <w:rPr>
          <w:color w:val="231F20"/>
          <w:spacing w:val="-1"/>
        </w:rPr>
        <w:t> </w:t>
      </w:r>
      <w:r>
        <w:rPr>
          <w:color w:val="231F20"/>
        </w:rPr>
        <w:t>made</w:t>
      </w:r>
      <w:r>
        <w:rPr>
          <w:color w:val="231F20"/>
          <w:spacing w:val="-1"/>
        </w:rPr>
        <w:t> </w:t>
      </w:r>
      <w:r>
        <w:rPr>
          <w:color w:val="231F20"/>
        </w:rPr>
        <w:t>a</w:t>
      </w:r>
      <w:r>
        <w:rPr>
          <w:color w:val="231F20"/>
          <w:spacing w:val="-1"/>
        </w:rPr>
        <w:t> </w:t>
      </w:r>
      <w:r>
        <w:rPr>
          <w:color w:val="231F20"/>
        </w:rPr>
        <w:t>significant</w:t>
      </w:r>
      <w:r>
        <w:rPr>
          <w:color w:val="231F20"/>
          <w:spacing w:val="-1"/>
        </w:rPr>
        <w:t> </w:t>
      </w:r>
      <w:r>
        <w:rPr>
          <w:color w:val="231F20"/>
        </w:rPr>
        <w:t>impact</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amounts</w:t>
      </w:r>
      <w:r>
        <w:rPr>
          <w:color w:val="231F20"/>
          <w:spacing w:val="-1"/>
        </w:rPr>
        <w:t> </w:t>
      </w:r>
      <w:r>
        <w:rPr>
          <w:color w:val="231F20"/>
        </w:rPr>
        <w:t>recorded</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financial</w:t>
      </w:r>
      <w:r>
        <w:rPr>
          <w:color w:val="231F20"/>
          <w:w w:val="99"/>
        </w:rPr>
        <w:t> </w:t>
      </w:r>
      <w:r>
        <w:rPr>
          <w:color w:val="231F20"/>
        </w:rPr>
        <w:t>statements.</w:t>
      </w:r>
      <w:r>
        <w:rPr>
          <w:color w:val="231F20"/>
          <w:spacing w:val="-2"/>
        </w:rPr>
        <w:t> </w:t>
      </w:r>
      <w:r>
        <w:rPr>
          <w:color w:val="231F20"/>
        </w:rPr>
        <w:t>No</w:t>
      </w:r>
      <w:r>
        <w:rPr>
          <w:color w:val="231F20"/>
          <w:spacing w:val="-1"/>
        </w:rPr>
        <w:t> </w:t>
      </w:r>
      <w:r>
        <w:rPr>
          <w:color w:val="231F20"/>
        </w:rPr>
        <w:t>accounting</w:t>
      </w:r>
      <w:r>
        <w:rPr>
          <w:color w:val="231F20"/>
          <w:spacing w:val="-1"/>
        </w:rPr>
        <w:t> </w:t>
      </w:r>
      <w:r>
        <w:rPr>
          <w:color w:val="231F20"/>
        </w:rPr>
        <w:t>assumptions</w:t>
      </w:r>
      <w:r>
        <w:rPr>
          <w:color w:val="231F20"/>
          <w:spacing w:val="-2"/>
        </w:rPr>
        <w:t> </w:t>
      </w:r>
      <w:r>
        <w:rPr>
          <w:color w:val="231F20"/>
        </w:rPr>
        <w:t>or</w:t>
      </w:r>
      <w:r>
        <w:rPr>
          <w:color w:val="231F20"/>
          <w:spacing w:val="-1"/>
        </w:rPr>
        <w:t> </w:t>
      </w:r>
      <w:r>
        <w:rPr>
          <w:color w:val="231F20"/>
        </w:rPr>
        <w:t>estimates</w:t>
      </w:r>
      <w:r>
        <w:rPr>
          <w:color w:val="231F20"/>
          <w:spacing w:val="-1"/>
        </w:rPr>
        <w:t> </w:t>
      </w:r>
      <w:r>
        <w:rPr>
          <w:color w:val="231F20"/>
        </w:rPr>
        <w:t>have</w:t>
      </w:r>
      <w:r>
        <w:rPr>
          <w:color w:val="231F20"/>
          <w:spacing w:val="-2"/>
        </w:rPr>
        <w:t> </w:t>
      </w:r>
      <w:r>
        <w:rPr>
          <w:color w:val="231F20"/>
        </w:rPr>
        <w:t>been</w:t>
      </w:r>
      <w:r>
        <w:rPr>
          <w:color w:val="231F20"/>
          <w:spacing w:val="-1"/>
        </w:rPr>
        <w:t> </w:t>
      </w:r>
      <w:r>
        <w:rPr>
          <w:color w:val="231F20"/>
        </w:rPr>
        <w:t>identified</w:t>
      </w:r>
      <w:r>
        <w:rPr>
          <w:color w:val="231F20"/>
          <w:spacing w:val="-1"/>
        </w:rPr>
        <w:t> </w:t>
      </w:r>
      <w:r>
        <w:rPr>
          <w:color w:val="231F20"/>
        </w:rPr>
        <w:t>that</w:t>
      </w:r>
      <w:r>
        <w:rPr>
          <w:color w:val="231F20"/>
          <w:spacing w:val="-2"/>
        </w:rPr>
        <w:t> </w:t>
      </w:r>
      <w:r>
        <w:rPr>
          <w:color w:val="231F20"/>
        </w:rPr>
        <w:t>have</w:t>
      </w:r>
      <w:r>
        <w:rPr>
          <w:color w:val="231F20"/>
          <w:spacing w:val="-1"/>
        </w:rPr>
        <w:t> </w:t>
      </w:r>
      <w:r>
        <w:rPr>
          <w:color w:val="231F20"/>
        </w:rPr>
        <w:t>a</w:t>
      </w:r>
      <w:r>
        <w:rPr>
          <w:color w:val="231F20"/>
          <w:spacing w:val="-1"/>
        </w:rPr>
        <w:t> </w:t>
      </w:r>
      <w:r>
        <w:rPr>
          <w:color w:val="231F20"/>
        </w:rPr>
        <w:t>significant</w:t>
      </w:r>
      <w:r>
        <w:rPr>
          <w:color w:val="231F20"/>
          <w:w w:val="99"/>
        </w:rPr>
        <w:t> </w:t>
      </w:r>
      <w:r>
        <w:rPr>
          <w:color w:val="231F20"/>
        </w:rPr>
        <w:t>risk of causing a material adjustment to the carrying amount of assets and liabilities in the next</w:t>
      </w:r>
      <w:r>
        <w:rPr>
          <w:color w:val="231F20"/>
        </w:rPr>
        <w:t> reporting period.</w:t>
      </w:r>
      <w:r>
        <w:rPr/>
      </w:r>
    </w:p>
    <w:p>
      <w:pPr>
        <w:spacing w:line="240" w:lineRule="auto" w:before="0"/>
        <w:rPr>
          <w:rFonts w:ascii="Swis721 Lt BT" w:hAnsi="Swis721 Lt BT" w:cs="Swis721 Lt BT" w:eastAsia="Swis721 Lt BT"/>
          <w:sz w:val="18"/>
          <w:szCs w:val="18"/>
        </w:rPr>
      </w:pPr>
    </w:p>
    <w:p>
      <w:pPr>
        <w:pStyle w:val="Heading8"/>
        <w:numPr>
          <w:ilvl w:val="1"/>
          <w:numId w:val="4"/>
        </w:numPr>
        <w:tabs>
          <w:tab w:pos="482" w:val="left" w:leader="none"/>
        </w:tabs>
        <w:spacing w:line="240" w:lineRule="auto" w:before="127" w:after="0"/>
        <w:ind w:left="481" w:right="0" w:hanging="368"/>
        <w:jc w:val="left"/>
      </w:pPr>
      <w:r>
        <w:rPr>
          <w:color w:val="00757A"/>
        </w:rPr>
        <w:t>Adjustment to prior year comparatives</w:t>
      </w:r>
      <w:r>
        <w:rPr/>
      </w:r>
    </w:p>
    <w:p>
      <w:pPr>
        <w:pStyle w:val="BodyText"/>
        <w:spacing w:line="240" w:lineRule="auto" w:before="106"/>
        <w:ind w:left="113" w:right="172"/>
        <w:jc w:val="left"/>
      </w:pPr>
      <w:r>
        <w:rPr>
          <w:color w:val="231F20"/>
        </w:rPr>
        <w:t>The </w:t>
      </w:r>
      <w:r>
        <w:rPr>
          <w:color w:val="231F20"/>
          <w:spacing w:val="-2"/>
        </w:rPr>
        <w:t>Key</w:t>
      </w:r>
      <w:r>
        <w:rPr>
          <w:color w:val="231F20"/>
        </w:rPr>
        <w:t> Management </w:t>
      </w:r>
      <w:r>
        <w:rPr>
          <w:color w:val="231F20"/>
          <w:spacing w:val="-1"/>
        </w:rPr>
        <w:t>Personnel</w:t>
      </w:r>
      <w:r>
        <w:rPr>
          <w:color w:val="231F20"/>
        </w:rPr>
        <w:t> remuneration disclosed in Note 8 includes the remuneration for</w:t>
      </w:r>
      <w:r>
        <w:rPr>
          <w:color w:val="231F20"/>
          <w:spacing w:val="25"/>
        </w:rPr>
        <w:t> </w:t>
      </w:r>
      <w:r>
        <w:rPr>
          <w:color w:val="231F20"/>
        </w:rPr>
        <w:t>5 Executive Managers. In the previous year the information included remuneration for 7 Executive</w:t>
      </w:r>
      <w:r>
        <w:rPr>
          <w:color w:val="231F20"/>
        </w:rPr>
        <w:t> Managers.</w:t>
      </w:r>
      <w:r>
        <w:rPr>
          <w:color w:val="231F20"/>
          <w:spacing w:val="-1"/>
        </w:rPr>
        <w:t> Further </w:t>
      </w:r>
      <w:r>
        <w:rPr>
          <w:color w:val="231F20"/>
        </w:rPr>
        <w:t>consideration, in</w:t>
      </w:r>
      <w:r>
        <w:rPr>
          <w:color w:val="231F20"/>
          <w:spacing w:val="-1"/>
        </w:rPr>
        <w:t> </w:t>
      </w:r>
      <w:r>
        <w:rPr>
          <w:color w:val="231F20"/>
        </w:rPr>
        <w:t>the</w:t>
      </w:r>
      <w:r>
        <w:rPr>
          <w:color w:val="231F20"/>
          <w:spacing w:val="-1"/>
        </w:rPr>
        <w:t> </w:t>
      </w:r>
      <w:r>
        <w:rPr>
          <w:color w:val="231F20"/>
        </w:rPr>
        <w:t>current </w:t>
      </w:r>
      <w:r>
        <w:rPr>
          <w:color w:val="231F20"/>
          <w:spacing w:val="-4"/>
        </w:rPr>
        <w:t>year,</w:t>
      </w:r>
      <w:r>
        <w:rPr>
          <w:color w:val="231F20"/>
          <w:spacing w:val="-1"/>
        </w:rPr>
        <w:t> </w:t>
      </w:r>
      <w:r>
        <w:rPr>
          <w:color w:val="231F20"/>
        </w:rPr>
        <w:t>of the</w:t>
      </w:r>
      <w:r>
        <w:rPr>
          <w:color w:val="231F20"/>
          <w:spacing w:val="-1"/>
        </w:rPr>
        <w:t> </w:t>
      </w:r>
      <w:r>
        <w:rPr>
          <w:color w:val="231F20"/>
        </w:rPr>
        <w:t>definition</w:t>
      </w:r>
      <w:r>
        <w:rPr>
          <w:color w:val="231F20"/>
          <w:spacing w:val="-1"/>
        </w:rPr>
        <w:t> </w:t>
      </w:r>
      <w:r>
        <w:rPr>
          <w:color w:val="231F20"/>
        </w:rPr>
        <w:t>of </w:t>
      </w:r>
      <w:r>
        <w:rPr>
          <w:color w:val="231F20"/>
          <w:spacing w:val="-2"/>
        </w:rPr>
        <w:t>Key</w:t>
      </w:r>
      <w:r>
        <w:rPr>
          <w:color w:val="231F20"/>
          <w:spacing w:val="-1"/>
        </w:rPr>
        <w:t> </w:t>
      </w:r>
      <w:r>
        <w:rPr>
          <w:color w:val="231F20"/>
        </w:rPr>
        <w:t>Management</w:t>
      </w:r>
      <w:r>
        <w:rPr>
          <w:color w:val="231F20"/>
          <w:spacing w:val="27"/>
        </w:rPr>
        <w:t> </w:t>
      </w:r>
      <w:r>
        <w:rPr>
          <w:color w:val="231F20"/>
          <w:spacing w:val="-1"/>
        </w:rPr>
        <w:t>Personnel </w:t>
      </w:r>
      <w:r>
        <w:rPr>
          <w:color w:val="231F20"/>
        </w:rPr>
        <w:t>has</w:t>
      </w:r>
      <w:r>
        <w:rPr>
          <w:color w:val="231F20"/>
          <w:spacing w:val="-1"/>
        </w:rPr>
        <w:t> </w:t>
      </w:r>
      <w:r>
        <w:rPr>
          <w:color w:val="231F20"/>
        </w:rPr>
        <w:t>concluded that</w:t>
      </w:r>
      <w:r>
        <w:rPr>
          <w:color w:val="231F20"/>
          <w:spacing w:val="-1"/>
        </w:rPr>
        <w:t> </w:t>
      </w:r>
      <w:r>
        <w:rPr>
          <w:color w:val="231F20"/>
        </w:rPr>
        <w:t>only</w:t>
      </w:r>
      <w:r>
        <w:rPr>
          <w:color w:val="231F20"/>
          <w:spacing w:val="-1"/>
        </w:rPr>
        <w:t> </w:t>
      </w:r>
      <w:r>
        <w:rPr>
          <w:color w:val="231F20"/>
        </w:rPr>
        <w:t>3 Executive</w:t>
      </w:r>
      <w:r>
        <w:rPr>
          <w:color w:val="231F20"/>
          <w:spacing w:val="-1"/>
        </w:rPr>
        <w:t> </w:t>
      </w:r>
      <w:r>
        <w:rPr>
          <w:color w:val="231F20"/>
        </w:rPr>
        <w:t>Managers</w:t>
      </w:r>
      <w:r>
        <w:rPr>
          <w:color w:val="231F20"/>
          <w:spacing w:val="-1"/>
        </w:rPr>
        <w:t> </w:t>
      </w:r>
      <w:r>
        <w:rPr>
          <w:color w:val="231F20"/>
        </w:rPr>
        <w:t>meet the</w:t>
      </w:r>
      <w:r>
        <w:rPr>
          <w:color w:val="231F20"/>
          <w:spacing w:val="-1"/>
        </w:rPr>
        <w:t> </w:t>
      </w:r>
      <w:r>
        <w:rPr>
          <w:color w:val="231F20"/>
        </w:rPr>
        <w:t>definition,</w:t>
      </w:r>
      <w:r>
        <w:rPr>
          <w:color w:val="231F20"/>
          <w:spacing w:val="-1"/>
        </w:rPr>
        <w:t> </w:t>
      </w:r>
      <w:r>
        <w:rPr>
          <w:color w:val="231F20"/>
        </w:rPr>
        <w:t>provided in</w:t>
      </w:r>
      <w:r>
        <w:rPr>
          <w:color w:val="231F20"/>
          <w:spacing w:val="23"/>
        </w:rPr>
        <w:t> </w:t>
      </w:r>
      <w:r>
        <w:rPr>
          <w:color w:val="231F20"/>
        </w:rPr>
        <w:t>accounting standard AASB 124, in the prior </w:t>
      </w:r>
      <w:r>
        <w:rPr>
          <w:color w:val="231F20"/>
          <w:spacing w:val="-4"/>
        </w:rPr>
        <w:t>year.</w:t>
      </w:r>
      <w:r>
        <w:rPr>
          <w:color w:val="231F20"/>
        </w:rPr>
        <w:t> The prior year comparative in Note 8 has been</w:t>
      </w:r>
      <w:r>
        <w:rPr>
          <w:color w:val="231F20"/>
          <w:spacing w:val="22"/>
        </w:rPr>
        <w:t> </w:t>
      </w:r>
      <w:r>
        <w:rPr>
          <w:color w:val="231F20"/>
        </w:rPr>
        <w:t>adjusted</w:t>
      </w:r>
      <w:r>
        <w:rPr>
          <w:color w:val="231F20"/>
          <w:spacing w:val="-1"/>
        </w:rPr>
        <w:t> </w:t>
      </w:r>
      <w:r>
        <w:rPr>
          <w:color w:val="231F20"/>
        </w:rPr>
        <w:t>to</w:t>
      </w:r>
      <w:r>
        <w:rPr>
          <w:color w:val="231F20"/>
          <w:spacing w:val="-1"/>
        </w:rPr>
        <w:t> </w:t>
      </w:r>
      <w:r>
        <w:rPr>
          <w:color w:val="231F20"/>
        </w:rPr>
        <w:t>include only</w:t>
      </w:r>
      <w:r>
        <w:rPr>
          <w:color w:val="231F20"/>
          <w:spacing w:val="-1"/>
        </w:rPr>
        <w:t> </w:t>
      </w:r>
      <w:r>
        <w:rPr>
          <w:color w:val="231F20"/>
        </w:rPr>
        <w:t>the 3</w:t>
      </w:r>
      <w:r>
        <w:rPr>
          <w:color w:val="231F20"/>
          <w:spacing w:val="-1"/>
        </w:rPr>
        <w:t> </w:t>
      </w:r>
      <w:r>
        <w:rPr>
          <w:color w:val="231F20"/>
        </w:rPr>
        <w:t>Executive Managers</w:t>
      </w:r>
      <w:r>
        <w:rPr>
          <w:color w:val="231F20"/>
          <w:spacing w:val="-1"/>
        </w:rPr>
        <w:t> </w:t>
      </w:r>
      <w:r>
        <w:rPr>
          <w:color w:val="231F20"/>
        </w:rPr>
        <w:t>that</w:t>
      </w:r>
      <w:r>
        <w:rPr>
          <w:color w:val="231F20"/>
          <w:spacing w:val="-1"/>
        </w:rPr>
        <w:t> </w:t>
      </w:r>
      <w:r>
        <w:rPr>
          <w:color w:val="231F20"/>
        </w:rPr>
        <w:t>meet the</w:t>
      </w:r>
      <w:r>
        <w:rPr>
          <w:color w:val="231F20"/>
          <w:spacing w:val="-1"/>
        </w:rPr>
        <w:t> </w:t>
      </w:r>
      <w:r>
        <w:rPr>
          <w:color w:val="231F20"/>
        </w:rPr>
        <w:t>definition. The</w:t>
      </w:r>
      <w:r>
        <w:rPr>
          <w:color w:val="231F20"/>
          <w:spacing w:val="-1"/>
        </w:rPr>
        <w:t> </w:t>
      </w:r>
      <w:r>
        <w:rPr>
          <w:color w:val="231F20"/>
        </w:rPr>
        <w:t>treatment of</w:t>
      </w:r>
      <w:r>
        <w:rPr/>
      </w:r>
    </w:p>
    <w:p>
      <w:pPr>
        <w:pStyle w:val="BodyText"/>
        <w:spacing w:line="240" w:lineRule="auto" w:before="0"/>
        <w:ind w:left="113" w:right="0"/>
        <w:jc w:val="left"/>
      </w:pPr>
      <w:r>
        <w:rPr>
          <w:color w:val="231F20"/>
          <w:spacing w:val="-1"/>
        </w:rPr>
        <w:t>part-time </w:t>
      </w:r>
      <w:r>
        <w:rPr>
          <w:color w:val="231F20"/>
        </w:rPr>
        <w:t>Directors</w:t>
      </w:r>
      <w:r>
        <w:rPr>
          <w:color w:val="231F20"/>
          <w:spacing w:val="-1"/>
        </w:rPr>
        <w:t> </w:t>
      </w:r>
      <w:r>
        <w:rPr>
          <w:color w:val="231F20"/>
        </w:rPr>
        <w:t>has</w:t>
      </w:r>
      <w:r>
        <w:rPr>
          <w:color w:val="231F20"/>
          <w:spacing w:val="-1"/>
        </w:rPr>
        <w:t> </w:t>
      </w:r>
      <w:r>
        <w:rPr>
          <w:color w:val="231F20"/>
        </w:rPr>
        <w:t>not</w:t>
      </w:r>
      <w:r>
        <w:rPr>
          <w:color w:val="231F20"/>
          <w:spacing w:val="-1"/>
        </w:rPr>
        <w:t> </w:t>
      </w:r>
      <w:r>
        <w:rPr>
          <w:color w:val="231F20"/>
        </w:rPr>
        <w:t>changed in</w:t>
      </w:r>
      <w:r>
        <w:rPr>
          <w:color w:val="231F20"/>
          <w:spacing w:val="-1"/>
        </w:rPr>
        <w:t> </w:t>
      </w:r>
      <w:r>
        <w:rPr>
          <w:color w:val="231F20"/>
        </w:rPr>
        <w:t>the</w:t>
      </w:r>
      <w:r>
        <w:rPr>
          <w:color w:val="231F20"/>
          <w:spacing w:val="-1"/>
        </w:rPr>
        <w:t> </w:t>
      </w:r>
      <w:r>
        <w:rPr>
          <w:color w:val="231F20"/>
        </w:rPr>
        <w:t>comparative</w:t>
      </w:r>
      <w:r>
        <w:rPr>
          <w:color w:val="231F20"/>
          <w:spacing w:val="-1"/>
        </w:rPr>
        <w:t> </w:t>
      </w:r>
      <w:r>
        <w:rPr>
          <w:color w:val="231F20"/>
        </w:rPr>
        <w:t>figures.</w:t>
      </w:r>
      <w:r>
        <w:rPr/>
      </w:r>
    </w:p>
    <w:p>
      <w:pPr>
        <w:spacing w:line="240" w:lineRule="auto" w:before="0"/>
        <w:rPr>
          <w:rFonts w:ascii="Swis721 Lt BT" w:hAnsi="Swis721 Lt BT" w:cs="Swis721 Lt BT" w:eastAsia="Swis721 Lt BT"/>
          <w:sz w:val="18"/>
          <w:szCs w:val="18"/>
        </w:rPr>
      </w:pPr>
    </w:p>
    <w:p>
      <w:pPr>
        <w:spacing w:line="240" w:lineRule="auto" w:before="9"/>
        <w:rPr>
          <w:rFonts w:ascii="Swis721 Lt BT" w:hAnsi="Swis721 Lt BT" w:cs="Swis721 Lt BT" w:eastAsia="Swis721 Lt BT"/>
          <w:sz w:val="25"/>
          <w:szCs w:val="25"/>
        </w:rPr>
      </w:pPr>
    </w:p>
    <w:p>
      <w:pPr>
        <w:spacing w:before="0"/>
        <w:ind w:left="113" w:right="0" w:firstLine="0"/>
        <w:jc w:val="left"/>
        <w:rPr>
          <w:rFonts w:ascii="Swis721 BT" w:hAnsi="Swis721 BT" w:cs="Swis721 BT" w:eastAsia="Swis721 BT"/>
          <w:sz w:val="24"/>
          <w:szCs w:val="24"/>
        </w:rPr>
      </w:pPr>
      <w:r>
        <w:rPr>
          <w:rFonts w:ascii="Swis721 Hv BT"/>
          <w:b/>
          <w:color w:val="005E63"/>
          <w:sz w:val="24"/>
        </w:rPr>
        <w:t>NOTE</w:t>
      </w:r>
      <w:r>
        <w:rPr>
          <w:rFonts w:ascii="Swis721 Hv BT"/>
          <w:b/>
          <w:color w:val="005E63"/>
          <w:spacing w:val="-2"/>
          <w:sz w:val="24"/>
        </w:rPr>
        <w:t> </w:t>
      </w:r>
      <w:r>
        <w:rPr>
          <w:rFonts w:ascii="Swis721 Hv BT"/>
          <w:b/>
          <w:color w:val="005E63"/>
          <w:sz w:val="24"/>
        </w:rPr>
        <w:t>3.</w:t>
      </w:r>
      <w:r>
        <w:rPr>
          <w:rFonts w:ascii="Swis721 Hv BT"/>
          <w:b/>
          <w:color w:val="005E63"/>
          <w:spacing w:val="-8"/>
          <w:sz w:val="24"/>
        </w:rPr>
        <w:t> </w:t>
      </w:r>
      <w:r>
        <w:rPr>
          <w:rFonts w:ascii="Swis721 BT"/>
          <w:color w:val="005E63"/>
          <w:sz w:val="24"/>
        </w:rPr>
        <w:t>SIGNIFICANT</w:t>
      </w:r>
      <w:r>
        <w:rPr>
          <w:rFonts w:ascii="Swis721 BT"/>
          <w:color w:val="005E63"/>
          <w:spacing w:val="-2"/>
          <w:sz w:val="24"/>
        </w:rPr>
        <w:t> </w:t>
      </w:r>
      <w:r>
        <w:rPr>
          <w:rFonts w:ascii="Swis721 BT"/>
          <w:color w:val="005E63"/>
          <w:sz w:val="24"/>
        </w:rPr>
        <w:t>ACCOUNTING</w:t>
      </w:r>
      <w:r>
        <w:rPr>
          <w:rFonts w:ascii="Swis721 BT"/>
          <w:color w:val="005E63"/>
          <w:spacing w:val="-1"/>
          <w:sz w:val="24"/>
        </w:rPr>
        <w:t> </w:t>
      </w:r>
      <w:r>
        <w:rPr>
          <w:rFonts w:ascii="Swis721 BT"/>
          <w:color w:val="005E63"/>
          <w:sz w:val="24"/>
        </w:rPr>
        <w:t>POLICIES</w:t>
      </w:r>
      <w:r>
        <w:rPr>
          <w:rFonts w:ascii="Swis721 BT"/>
          <w:sz w:val="24"/>
        </w:rPr>
      </w:r>
    </w:p>
    <w:p>
      <w:pPr>
        <w:spacing w:line="240" w:lineRule="auto" w:before="2"/>
        <w:rPr>
          <w:rFonts w:ascii="Swis721 BT" w:hAnsi="Swis721 BT" w:cs="Swis721 BT" w:eastAsia="Swis721 BT"/>
          <w:sz w:val="18"/>
          <w:szCs w:val="18"/>
        </w:rPr>
      </w:pPr>
    </w:p>
    <w:p>
      <w:pPr>
        <w:pStyle w:val="Heading8"/>
        <w:numPr>
          <w:ilvl w:val="1"/>
          <w:numId w:val="5"/>
        </w:numPr>
        <w:tabs>
          <w:tab w:pos="482" w:val="left" w:leader="none"/>
        </w:tabs>
        <w:spacing w:line="240" w:lineRule="auto" w:before="0" w:after="0"/>
        <w:ind w:left="481" w:right="0" w:hanging="368"/>
        <w:jc w:val="left"/>
      </w:pPr>
      <w:r>
        <w:rPr>
          <w:color w:val="00757A"/>
        </w:rPr>
        <w:t>Revenue</w:t>
      </w:r>
      <w:r>
        <w:rPr/>
      </w:r>
    </w:p>
    <w:p>
      <w:pPr>
        <w:pStyle w:val="BodyText"/>
        <w:spacing w:line="240" w:lineRule="auto" w:before="106"/>
        <w:ind w:left="113" w:right="466"/>
        <w:jc w:val="left"/>
      </w:pPr>
      <w:r>
        <w:rPr>
          <w:color w:val="231F20"/>
        </w:rPr>
        <w:t>Revenue is recognised when the amount of revenue and transaction costs incurred can be reliably measured and collection is probable.</w:t>
      </w:r>
      <w:r>
        <w:rPr/>
      </w:r>
    </w:p>
    <w:p>
      <w:pPr>
        <w:pStyle w:val="BodyText"/>
        <w:spacing w:line="240" w:lineRule="auto"/>
        <w:ind w:left="113" w:right="665"/>
        <w:jc w:val="left"/>
      </w:pPr>
      <w:r>
        <w:rPr>
          <w:color w:val="231F20"/>
        </w:rPr>
        <w:t>AITSL receives revenue through a funding agreement with the Department of Education. The full amount of funding received during the reporting period is recognised as revenue.</w:t>
      </w:r>
      <w:r>
        <w:rPr/>
      </w:r>
    </w:p>
    <w:p>
      <w:pPr>
        <w:pStyle w:val="BodyText"/>
        <w:spacing w:line="240" w:lineRule="auto"/>
        <w:ind w:left="113" w:right="0"/>
        <w:jc w:val="left"/>
      </w:pPr>
      <w:r>
        <w:rPr>
          <w:color w:val="231F20"/>
        </w:rPr>
        <w:t>Interest revenue is recognised on an accrual basis using the effective interest method.</w:t>
      </w:r>
      <w:r>
        <w:rPr/>
      </w:r>
    </w:p>
    <w:p>
      <w:pPr>
        <w:spacing w:line="240" w:lineRule="auto" w:before="0"/>
        <w:rPr>
          <w:rFonts w:ascii="Swis721 Lt BT" w:hAnsi="Swis721 Lt BT" w:cs="Swis721 Lt BT" w:eastAsia="Swis721 Lt BT"/>
          <w:sz w:val="18"/>
          <w:szCs w:val="18"/>
        </w:rPr>
      </w:pPr>
    </w:p>
    <w:p>
      <w:pPr>
        <w:pStyle w:val="Heading8"/>
        <w:numPr>
          <w:ilvl w:val="1"/>
          <w:numId w:val="5"/>
        </w:numPr>
        <w:tabs>
          <w:tab w:pos="482" w:val="left" w:leader="none"/>
        </w:tabs>
        <w:spacing w:line="240" w:lineRule="auto" w:before="127" w:after="0"/>
        <w:ind w:left="481" w:right="0" w:hanging="368"/>
        <w:jc w:val="left"/>
      </w:pPr>
      <w:r>
        <w:rPr>
          <w:color w:val="00757A"/>
          <w:spacing w:val="-28"/>
        </w:rPr>
        <w:t>T</w:t>
      </w:r>
      <w:r>
        <w:rPr>
          <w:color w:val="00757A"/>
        </w:rPr>
        <w:t>axation</w:t>
      </w:r>
      <w:r>
        <w:rPr/>
      </w:r>
    </w:p>
    <w:p>
      <w:pPr>
        <w:pStyle w:val="BodyText"/>
        <w:spacing w:line="240" w:lineRule="auto" w:before="106"/>
        <w:ind w:left="113" w:right="298"/>
        <w:jc w:val="left"/>
      </w:pPr>
      <w:r>
        <w:rPr>
          <w:color w:val="231F20"/>
        </w:rPr>
        <w:t>AITSL</w:t>
      </w:r>
      <w:r>
        <w:rPr>
          <w:color w:val="231F20"/>
          <w:spacing w:val="-1"/>
        </w:rPr>
        <w:t> </w:t>
      </w:r>
      <w:r>
        <w:rPr>
          <w:color w:val="231F20"/>
        </w:rPr>
        <w:t>is exempt</w:t>
      </w:r>
      <w:r>
        <w:rPr>
          <w:color w:val="231F20"/>
          <w:spacing w:val="-1"/>
        </w:rPr>
        <w:t> </w:t>
      </w:r>
      <w:r>
        <w:rPr>
          <w:color w:val="231F20"/>
        </w:rPr>
        <w:t>from all</w:t>
      </w:r>
      <w:r>
        <w:rPr>
          <w:color w:val="231F20"/>
          <w:spacing w:val="-1"/>
        </w:rPr>
        <w:t> </w:t>
      </w:r>
      <w:r>
        <w:rPr>
          <w:color w:val="231F20"/>
        </w:rPr>
        <w:t>forms of taxation</w:t>
      </w:r>
      <w:r>
        <w:rPr>
          <w:color w:val="231F20"/>
          <w:spacing w:val="-1"/>
        </w:rPr>
        <w:t> </w:t>
      </w:r>
      <w:r>
        <w:rPr>
          <w:color w:val="231F20"/>
        </w:rPr>
        <w:t>except </w:t>
      </w:r>
      <w:r>
        <w:rPr>
          <w:color w:val="231F20"/>
          <w:spacing w:val="-1"/>
        </w:rPr>
        <w:t>Fringe </w:t>
      </w:r>
      <w:r>
        <w:rPr>
          <w:color w:val="231F20"/>
        </w:rPr>
        <w:t>Benefits </w:t>
      </w:r>
      <w:r>
        <w:rPr>
          <w:color w:val="231F20"/>
          <w:spacing w:val="-9"/>
        </w:rPr>
        <w:t>Tax</w:t>
      </w:r>
      <w:r>
        <w:rPr>
          <w:color w:val="231F20"/>
        </w:rPr>
        <w:t> (FBT)</w:t>
      </w:r>
      <w:r>
        <w:rPr>
          <w:color w:val="231F20"/>
          <w:spacing w:val="-1"/>
        </w:rPr>
        <w:t> </w:t>
      </w:r>
      <w:r>
        <w:rPr>
          <w:color w:val="231F20"/>
        </w:rPr>
        <w:t>and the</w:t>
      </w:r>
      <w:r>
        <w:rPr>
          <w:color w:val="231F20"/>
          <w:spacing w:val="-1"/>
        </w:rPr>
        <w:t> </w:t>
      </w:r>
      <w:r>
        <w:rPr>
          <w:color w:val="231F20"/>
        </w:rPr>
        <w:t>Goods and</w:t>
      </w:r>
      <w:r>
        <w:rPr>
          <w:color w:val="231F20"/>
          <w:spacing w:val="23"/>
        </w:rPr>
        <w:t> </w:t>
      </w:r>
      <w:r>
        <w:rPr>
          <w:color w:val="231F20"/>
        </w:rPr>
        <w:t>Services </w:t>
      </w:r>
      <w:r>
        <w:rPr>
          <w:color w:val="231F20"/>
          <w:spacing w:val="-9"/>
        </w:rPr>
        <w:t>Tax</w:t>
      </w:r>
      <w:r>
        <w:rPr>
          <w:color w:val="231F20"/>
        </w:rPr>
        <w:t> (GST).</w:t>
      </w:r>
      <w:r>
        <w:rPr/>
      </w:r>
    </w:p>
    <w:p>
      <w:pPr>
        <w:pStyle w:val="BodyText"/>
        <w:spacing w:line="240" w:lineRule="auto"/>
        <w:ind w:left="113" w:right="0"/>
        <w:jc w:val="left"/>
      </w:pPr>
      <w:r>
        <w:rPr>
          <w:color w:val="231F20"/>
        </w:rPr>
        <w:t>Revenues, expenses, assets and liabilities are recognised net of </w:t>
      </w:r>
      <w:r>
        <w:rPr>
          <w:color w:val="231F20"/>
          <w:spacing w:val="-7"/>
        </w:rPr>
        <w:t>GST:</w:t>
      </w:r>
      <w:r>
        <w:rPr/>
      </w:r>
    </w:p>
    <w:p>
      <w:pPr>
        <w:pStyle w:val="BodyText"/>
        <w:spacing w:line="240" w:lineRule="auto"/>
        <w:ind w:left="113" w:right="0"/>
        <w:jc w:val="left"/>
      </w:pPr>
      <w:r>
        <w:rPr>
          <w:rFonts w:ascii="Arial" w:hAnsi="Arial"/>
          <w:color w:val="00757A"/>
        </w:rPr>
        <w:t>ϐ </w:t>
      </w:r>
      <w:r>
        <w:rPr>
          <w:rFonts w:ascii="Arial" w:hAnsi="Arial"/>
          <w:color w:val="00757A"/>
          <w:spacing w:val="6"/>
        </w:rPr>
        <w:t> </w:t>
      </w:r>
      <w:r>
        <w:rPr>
          <w:color w:val="231F20"/>
        </w:rPr>
        <w:t>except where the amount of GST incurred is not recoverable from the Australian </w:t>
      </w:r>
      <w:r>
        <w:rPr>
          <w:color w:val="231F20"/>
          <w:spacing w:val="-9"/>
        </w:rPr>
        <w:t>Tax</w:t>
      </w:r>
      <w:r>
        <w:rPr>
          <w:color w:val="231F20"/>
        </w:rPr>
        <w:t> Office; and</w:t>
      </w:r>
      <w:r>
        <w:rPr/>
      </w:r>
    </w:p>
    <w:p>
      <w:pPr>
        <w:pStyle w:val="BodyText"/>
        <w:spacing w:line="240" w:lineRule="auto" w:before="57"/>
        <w:ind w:left="114" w:right="0"/>
        <w:jc w:val="left"/>
      </w:pPr>
      <w:r>
        <w:rPr>
          <w:rFonts w:ascii="Arial" w:hAnsi="Arial"/>
          <w:color w:val="00757A"/>
        </w:rPr>
        <w:t>ϐ </w:t>
      </w:r>
      <w:r>
        <w:rPr>
          <w:rFonts w:ascii="Arial" w:hAnsi="Arial"/>
          <w:color w:val="00757A"/>
          <w:spacing w:val="8"/>
        </w:rPr>
        <w:t> </w:t>
      </w:r>
      <w:r>
        <w:rPr>
          <w:color w:val="231F20"/>
        </w:rPr>
        <w:t>except</w:t>
      </w:r>
      <w:r>
        <w:rPr>
          <w:color w:val="231F20"/>
          <w:spacing w:val="1"/>
        </w:rPr>
        <w:t> </w:t>
      </w:r>
      <w:r>
        <w:rPr>
          <w:color w:val="231F20"/>
        </w:rPr>
        <w:t>for receivables</w:t>
      </w:r>
      <w:r>
        <w:rPr>
          <w:color w:val="231F20"/>
          <w:spacing w:val="1"/>
        </w:rPr>
        <w:t> </w:t>
      </w:r>
      <w:r>
        <w:rPr>
          <w:color w:val="231F20"/>
        </w:rPr>
        <w:t>and</w:t>
      </w:r>
      <w:r>
        <w:rPr>
          <w:color w:val="231F20"/>
          <w:spacing w:val="1"/>
        </w:rPr>
        <w:t> </w:t>
      </w:r>
      <w:r>
        <w:rPr>
          <w:color w:val="231F20"/>
        </w:rPr>
        <w:t>payables.</w:t>
      </w:r>
      <w:r>
        <w:rPr/>
      </w:r>
    </w:p>
    <w:p>
      <w:pPr>
        <w:spacing w:after="0" w:line="240" w:lineRule="auto"/>
        <w:jc w:val="left"/>
        <w:sectPr>
          <w:pgSz w:w="9980" w:h="14180"/>
          <w:pgMar w:header="0" w:footer="452" w:top="360" w:bottom="640" w:left="1020" w:right="740"/>
        </w:sectPr>
      </w:pPr>
    </w:p>
    <w:p>
      <w:pPr>
        <w:spacing w:before="42"/>
        <w:ind w:left="110" w:right="0" w:firstLine="0"/>
        <w:jc w:val="left"/>
        <w:rPr>
          <w:rFonts w:ascii="Swis721 Lt BT" w:hAnsi="Swis721 Lt BT" w:cs="Swis721 Lt BT" w:eastAsia="Swis721 Lt BT"/>
          <w:sz w:val="24"/>
          <w:szCs w:val="24"/>
        </w:rPr>
      </w:pPr>
      <w:r>
        <w:rPr>
          <w:rFonts w:ascii="Swis721 Hv BT"/>
          <w:b/>
          <w:color w:val="005E63"/>
          <w:sz w:val="24"/>
        </w:rPr>
        <w:t>NOTE</w:t>
      </w:r>
      <w:r>
        <w:rPr>
          <w:rFonts w:ascii="Swis721 Hv BT"/>
          <w:b/>
          <w:color w:val="005E63"/>
          <w:spacing w:val="-2"/>
          <w:sz w:val="24"/>
        </w:rPr>
        <w:t> </w:t>
      </w:r>
      <w:r>
        <w:rPr>
          <w:rFonts w:ascii="Swis721 Hv BT"/>
          <w:b/>
          <w:color w:val="005E63"/>
          <w:sz w:val="24"/>
        </w:rPr>
        <w:t>3.</w:t>
      </w:r>
      <w:r>
        <w:rPr>
          <w:rFonts w:ascii="Swis721 Hv BT"/>
          <w:b/>
          <w:color w:val="005E63"/>
          <w:spacing w:val="-1"/>
          <w:sz w:val="24"/>
        </w:rPr>
        <w:t> </w:t>
      </w:r>
      <w:r>
        <w:rPr>
          <w:rFonts w:ascii="Swis721 BT"/>
          <w:color w:val="005E63"/>
          <w:sz w:val="24"/>
        </w:rPr>
        <w:t>SIGNIFICANT</w:t>
      </w:r>
      <w:r>
        <w:rPr>
          <w:rFonts w:ascii="Swis721 BT"/>
          <w:color w:val="005E63"/>
          <w:spacing w:val="-2"/>
          <w:sz w:val="24"/>
        </w:rPr>
        <w:t> </w:t>
      </w:r>
      <w:r>
        <w:rPr>
          <w:rFonts w:ascii="Swis721 BT"/>
          <w:color w:val="005E63"/>
          <w:sz w:val="24"/>
        </w:rPr>
        <w:t>ACCOUNTING</w:t>
      </w:r>
      <w:r>
        <w:rPr>
          <w:rFonts w:ascii="Swis721 BT"/>
          <w:color w:val="005E63"/>
          <w:spacing w:val="-1"/>
          <w:sz w:val="24"/>
        </w:rPr>
        <w:t> </w:t>
      </w:r>
      <w:r>
        <w:rPr>
          <w:rFonts w:ascii="Swis721 BT"/>
          <w:color w:val="005E63"/>
          <w:sz w:val="24"/>
        </w:rPr>
        <w:t>POLICIES</w:t>
      </w:r>
      <w:r>
        <w:rPr>
          <w:rFonts w:ascii="Swis721 BT"/>
          <w:color w:val="005E63"/>
          <w:spacing w:val="-1"/>
          <w:sz w:val="24"/>
        </w:rPr>
        <w:t> </w:t>
      </w:r>
      <w:r>
        <w:rPr>
          <w:rFonts w:ascii="Swis721 Lt BT"/>
          <w:color w:val="005E63"/>
          <w:sz w:val="24"/>
        </w:rPr>
        <w:t>CONTINUED</w:t>
      </w:r>
      <w:r>
        <w:rPr>
          <w:rFonts w:ascii="Swis721 Lt BT"/>
          <w:sz w:val="24"/>
        </w:rPr>
      </w:r>
    </w:p>
    <w:p>
      <w:pPr>
        <w:spacing w:line="240" w:lineRule="auto" w:before="0"/>
        <w:rPr>
          <w:rFonts w:ascii="Swis721 Lt BT" w:hAnsi="Swis721 Lt BT" w:cs="Swis721 Lt BT" w:eastAsia="Swis721 Lt BT"/>
          <w:sz w:val="24"/>
          <w:szCs w:val="24"/>
        </w:rPr>
      </w:pPr>
    </w:p>
    <w:p>
      <w:pPr>
        <w:pStyle w:val="Heading8"/>
        <w:numPr>
          <w:ilvl w:val="1"/>
          <w:numId w:val="5"/>
        </w:numPr>
        <w:tabs>
          <w:tab w:pos="478" w:val="left" w:leader="none"/>
        </w:tabs>
        <w:spacing w:line="240" w:lineRule="auto" w:before="157" w:after="0"/>
        <w:ind w:left="477" w:right="0" w:hanging="367"/>
        <w:jc w:val="left"/>
      </w:pPr>
      <w:r>
        <w:rPr>
          <w:color w:val="00757A"/>
        </w:rPr>
        <w:t>Impairment</w:t>
      </w:r>
      <w:r>
        <w:rPr/>
      </w:r>
    </w:p>
    <w:p>
      <w:pPr>
        <w:pStyle w:val="BodyText"/>
        <w:spacing w:line="240" w:lineRule="auto" w:before="106"/>
        <w:ind w:right="553"/>
        <w:jc w:val="left"/>
      </w:pPr>
      <w:r>
        <w:rPr>
          <w:color w:val="231F20"/>
        </w:rPr>
        <w:t>At each reporting date AITSL reviews the carrying value of its tangible and intangible assets to determine whether there is any indication that those assets have been impaired. If such an indication exists, the recoverable amount of the asset, being the higher of the asset’s fair</w:t>
      </w:r>
      <w:r>
        <w:rPr/>
      </w:r>
    </w:p>
    <w:p>
      <w:pPr>
        <w:pStyle w:val="BodyText"/>
        <w:spacing w:line="240" w:lineRule="auto" w:before="0"/>
        <w:ind w:right="216"/>
        <w:jc w:val="left"/>
      </w:pPr>
      <w:r>
        <w:rPr>
          <w:color w:val="231F20"/>
        </w:rPr>
        <w:t>value less costs to sell and value in use, is compared to the asset’s carrying value. Any excess of the asset’s carrying value over its recoverable amount is expensed to the Statement of Comprehensive Income.</w:t>
      </w:r>
      <w:r>
        <w:rPr/>
      </w:r>
    </w:p>
    <w:p>
      <w:pPr>
        <w:spacing w:line="240" w:lineRule="auto" w:before="0"/>
        <w:rPr>
          <w:rFonts w:ascii="Swis721 Lt BT" w:hAnsi="Swis721 Lt BT" w:cs="Swis721 Lt BT" w:eastAsia="Swis721 Lt BT"/>
          <w:sz w:val="18"/>
          <w:szCs w:val="18"/>
        </w:rPr>
      </w:pPr>
    </w:p>
    <w:p>
      <w:pPr>
        <w:pStyle w:val="Heading8"/>
        <w:numPr>
          <w:ilvl w:val="1"/>
          <w:numId w:val="5"/>
        </w:numPr>
        <w:tabs>
          <w:tab w:pos="478" w:val="left" w:leader="none"/>
        </w:tabs>
        <w:spacing w:line="240" w:lineRule="auto" w:before="127" w:after="0"/>
        <w:ind w:left="477" w:right="0" w:hanging="367"/>
        <w:jc w:val="left"/>
      </w:pPr>
      <w:r>
        <w:rPr>
          <w:color w:val="00757A"/>
        </w:rPr>
        <w:t>Leases</w:t>
      </w:r>
      <w:r>
        <w:rPr/>
      </w:r>
    </w:p>
    <w:p>
      <w:pPr>
        <w:pStyle w:val="BodyText"/>
        <w:spacing w:line="240" w:lineRule="auto" w:before="106"/>
        <w:ind w:right="121"/>
        <w:jc w:val="left"/>
      </w:pPr>
      <w:r>
        <w:rPr>
          <w:color w:val="231F20"/>
        </w:rPr>
        <w:t>A</w:t>
      </w:r>
      <w:r>
        <w:rPr>
          <w:color w:val="231F20"/>
          <w:spacing w:val="-1"/>
        </w:rPr>
        <w:t> </w:t>
      </w:r>
      <w:r>
        <w:rPr>
          <w:color w:val="231F20"/>
        </w:rPr>
        <w:t>distinction is</w:t>
      </w:r>
      <w:r>
        <w:rPr>
          <w:color w:val="231F20"/>
          <w:spacing w:val="-1"/>
        </w:rPr>
        <w:t> </w:t>
      </w:r>
      <w:r>
        <w:rPr>
          <w:color w:val="231F20"/>
        </w:rPr>
        <w:t>made between</w:t>
      </w:r>
      <w:r>
        <w:rPr>
          <w:color w:val="231F20"/>
          <w:spacing w:val="-1"/>
        </w:rPr>
        <w:t> </w:t>
      </w:r>
      <w:r>
        <w:rPr>
          <w:color w:val="231F20"/>
        </w:rPr>
        <w:t>finance leases</w:t>
      </w:r>
      <w:r>
        <w:rPr>
          <w:color w:val="231F20"/>
          <w:spacing w:val="-1"/>
        </w:rPr>
        <w:t> </w:t>
      </w:r>
      <w:r>
        <w:rPr>
          <w:color w:val="231F20"/>
        </w:rPr>
        <w:t>and operating</w:t>
      </w:r>
      <w:r>
        <w:rPr>
          <w:color w:val="231F20"/>
          <w:spacing w:val="-1"/>
        </w:rPr>
        <w:t> </w:t>
      </w:r>
      <w:r>
        <w:rPr>
          <w:color w:val="231F20"/>
        </w:rPr>
        <w:t>leases. Finance</w:t>
      </w:r>
      <w:r>
        <w:rPr>
          <w:color w:val="231F20"/>
          <w:spacing w:val="-1"/>
        </w:rPr>
        <w:t> </w:t>
      </w:r>
      <w:r>
        <w:rPr>
          <w:color w:val="231F20"/>
        </w:rPr>
        <w:t>leases effectively</w:t>
      </w:r>
      <w:r>
        <w:rPr>
          <w:color w:val="231F20"/>
        </w:rPr>
        <w:t> transfer from the lessor to the lessee substantially all the risks and rewards incidental to ownership</w:t>
      </w:r>
      <w:r>
        <w:rPr>
          <w:color w:val="231F20"/>
          <w:spacing w:val="-1"/>
        </w:rPr>
        <w:t> </w:t>
      </w:r>
      <w:r>
        <w:rPr>
          <w:color w:val="231F20"/>
        </w:rPr>
        <w:t>of leased</w:t>
      </w:r>
      <w:r>
        <w:rPr>
          <w:color w:val="231F20"/>
          <w:spacing w:val="-1"/>
        </w:rPr>
        <w:t> </w:t>
      </w:r>
      <w:r>
        <w:rPr>
          <w:color w:val="231F20"/>
        </w:rPr>
        <w:t>non-current assets. An</w:t>
      </w:r>
      <w:r>
        <w:rPr>
          <w:color w:val="231F20"/>
          <w:spacing w:val="-1"/>
        </w:rPr>
        <w:t> </w:t>
      </w:r>
      <w:r>
        <w:rPr>
          <w:color w:val="231F20"/>
        </w:rPr>
        <w:t>operating lease is</w:t>
      </w:r>
      <w:r>
        <w:rPr>
          <w:color w:val="231F20"/>
          <w:spacing w:val="-1"/>
        </w:rPr>
        <w:t> </w:t>
      </w:r>
      <w:r>
        <w:rPr>
          <w:color w:val="231F20"/>
        </w:rPr>
        <w:t>a lease</w:t>
      </w:r>
      <w:r>
        <w:rPr>
          <w:color w:val="231F20"/>
          <w:spacing w:val="-1"/>
        </w:rPr>
        <w:t> </w:t>
      </w:r>
      <w:r>
        <w:rPr>
          <w:color w:val="231F20"/>
        </w:rPr>
        <w:t>that is not</w:t>
      </w:r>
      <w:r>
        <w:rPr>
          <w:color w:val="231F20"/>
          <w:spacing w:val="-1"/>
        </w:rPr>
        <w:t> </w:t>
      </w:r>
      <w:r>
        <w:rPr>
          <w:color w:val="231F20"/>
        </w:rPr>
        <w:t>a finance lease.</w:t>
      </w:r>
      <w:r>
        <w:rPr>
          <w:color w:val="231F20"/>
        </w:rPr>
        <w:t> In</w:t>
      </w:r>
      <w:r>
        <w:rPr>
          <w:color w:val="231F20"/>
          <w:spacing w:val="-1"/>
        </w:rPr>
        <w:t> </w:t>
      </w:r>
      <w:r>
        <w:rPr>
          <w:color w:val="231F20"/>
        </w:rPr>
        <w:t>operating</w:t>
      </w:r>
      <w:r>
        <w:rPr>
          <w:color w:val="231F20"/>
          <w:spacing w:val="-1"/>
        </w:rPr>
        <w:t> </w:t>
      </w:r>
      <w:r>
        <w:rPr>
          <w:color w:val="231F20"/>
        </w:rPr>
        <w:t>leases, the</w:t>
      </w:r>
      <w:r>
        <w:rPr>
          <w:color w:val="231F20"/>
          <w:spacing w:val="-1"/>
        </w:rPr>
        <w:t> </w:t>
      </w:r>
      <w:r>
        <w:rPr>
          <w:color w:val="231F20"/>
        </w:rPr>
        <w:t>lessor effectively</w:t>
      </w:r>
      <w:r>
        <w:rPr>
          <w:color w:val="231F20"/>
          <w:spacing w:val="-1"/>
        </w:rPr>
        <w:t> </w:t>
      </w:r>
      <w:r>
        <w:rPr>
          <w:color w:val="231F20"/>
        </w:rPr>
        <w:t>retains</w:t>
      </w:r>
      <w:r>
        <w:rPr>
          <w:color w:val="231F20"/>
          <w:spacing w:val="-1"/>
        </w:rPr>
        <w:t> </w:t>
      </w:r>
      <w:r>
        <w:rPr>
          <w:color w:val="231F20"/>
        </w:rPr>
        <w:t>substantially all</w:t>
      </w:r>
      <w:r>
        <w:rPr>
          <w:color w:val="231F20"/>
          <w:spacing w:val="-1"/>
        </w:rPr>
        <w:t> </w:t>
      </w:r>
      <w:r>
        <w:rPr>
          <w:color w:val="231F20"/>
        </w:rPr>
        <w:t>such risks</w:t>
      </w:r>
      <w:r>
        <w:rPr>
          <w:color w:val="231F20"/>
          <w:spacing w:val="-1"/>
        </w:rPr>
        <w:t> </w:t>
      </w:r>
      <w:r>
        <w:rPr>
          <w:color w:val="231F20"/>
        </w:rPr>
        <w:t>and benefits.</w:t>
      </w:r>
      <w:r>
        <w:rPr/>
      </w:r>
    </w:p>
    <w:p>
      <w:pPr>
        <w:pStyle w:val="BodyText"/>
        <w:spacing w:line="240" w:lineRule="auto"/>
        <w:ind w:right="354"/>
        <w:jc w:val="left"/>
      </w:pPr>
      <w:r>
        <w:rPr>
          <w:color w:val="231F20"/>
        </w:rPr>
        <w:t>Operating lease payments are expensed on a straight line basis which is representative of the pattern</w:t>
      </w:r>
      <w:r>
        <w:rPr>
          <w:color w:val="231F20"/>
          <w:spacing w:val="-1"/>
        </w:rPr>
        <w:t> </w:t>
      </w:r>
      <w:r>
        <w:rPr>
          <w:color w:val="231F20"/>
        </w:rPr>
        <w:t>of</w:t>
      </w:r>
      <w:r>
        <w:rPr>
          <w:color w:val="231F20"/>
          <w:spacing w:val="-1"/>
        </w:rPr>
        <w:t> </w:t>
      </w:r>
      <w:r>
        <w:rPr>
          <w:color w:val="231F20"/>
        </w:rPr>
        <w:t>benefits derived</w:t>
      </w:r>
      <w:r>
        <w:rPr>
          <w:color w:val="231F20"/>
          <w:spacing w:val="-1"/>
        </w:rPr>
        <w:t> </w:t>
      </w:r>
      <w:r>
        <w:rPr>
          <w:color w:val="231F20"/>
        </w:rPr>
        <w:t>from the</w:t>
      </w:r>
      <w:r>
        <w:rPr>
          <w:color w:val="231F20"/>
          <w:spacing w:val="-1"/>
        </w:rPr>
        <w:t> </w:t>
      </w:r>
      <w:r>
        <w:rPr>
          <w:color w:val="231F20"/>
        </w:rPr>
        <w:t>leased</w:t>
      </w:r>
      <w:r>
        <w:rPr>
          <w:color w:val="231F20"/>
          <w:spacing w:val="-1"/>
        </w:rPr>
        <w:t> </w:t>
      </w:r>
      <w:r>
        <w:rPr>
          <w:color w:val="231F20"/>
        </w:rPr>
        <w:t>assets, over</w:t>
      </w:r>
      <w:r>
        <w:rPr>
          <w:color w:val="231F20"/>
          <w:spacing w:val="-1"/>
        </w:rPr>
        <w:t> </w:t>
      </w:r>
      <w:r>
        <w:rPr>
          <w:color w:val="231F20"/>
        </w:rPr>
        <w:t>the lease</w:t>
      </w:r>
      <w:r>
        <w:rPr>
          <w:color w:val="231F20"/>
          <w:spacing w:val="-1"/>
        </w:rPr>
        <w:t> </w:t>
      </w:r>
      <w:r>
        <w:rPr>
          <w:color w:val="231F20"/>
        </w:rPr>
        <w:t>term.</w:t>
      </w:r>
      <w:r>
        <w:rPr/>
      </w:r>
    </w:p>
    <w:p>
      <w:pPr>
        <w:spacing w:line="240" w:lineRule="auto" w:before="0"/>
        <w:rPr>
          <w:rFonts w:ascii="Swis721 Lt BT" w:hAnsi="Swis721 Lt BT" w:cs="Swis721 Lt BT" w:eastAsia="Swis721 Lt BT"/>
          <w:sz w:val="18"/>
          <w:szCs w:val="18"/>
        </w:rPr>
      </w:pPr>
    </w:p>
    <w:p>
      <w:pPr>
        <w:pStyle w:val="Heading8"/>
        <w:numPr>
          <w:ilvl w:val="1"/>
          <w:numId w:val="5"/>
        </w:numPr>
        <w:tabs>
          <w:tab w:pos="478" w:val="left" w:leader="none"/>
        </w:tabs>
        <w:spacing w:line="240" w:lineRule="auto" w:before="127" w:after="0"/>
        <w:ind w:left="477" w:right="0" w:hanging="367"/>
        <w:jc w:val="left"/>
      </w:pPr>
      <w:r>
        <w:rPr>
          <w:color w:val="00757A"/>
        </w:rPr>
        <w:t>Accounting standards issued but not yet effective and not adopted early</w:t>
      </w:r>
      <w:r>
        <w:rPr/>
      </w:r>
    </w:p>
    <w:p>
      <w:pPr>
        <w:pStyle w:val="BodyText"/>
        <w:spacing w:line="240" w:lineRule="auto" w:before="106"/>
        <w:ind w:right="0"/>
        <w:jc w:val="left"/>
      </w:pPr>
      <w:r>
        <w:rPr>
          <w:color w:val="231F20"/>
        </w:rPr>
        <w:t>The</w:t>
      </w:r>
      <w:r>
        <w:rPr>
          <w:color w:val="231F20"/>
          <w:spacing w:val="-1"/>
        </w:rPr>
        <w:t> </w:t>
      </w:r>
      <w:r>
        <w:rPr>
          <w:color w:val="231F20"/>
        </w:rPr>
        <w:t>following new</w:t>
      </w:r>
      <w:r>
        <w:rPr>
          <w:color w:val="231F20"/>
          <w:spacing w:val="-1"/>
        </w:rPr>
        <w:t> </w:t>
      </w:r>
      <w:r>
        <w:rPr>
          <w:color w:val="231F20"/>
        </w:rPr>
        <w:t>standards will</w:t>
      </w:r>
      <w:r>
        <w:rPr>
          <w:color w:val="231F20"/>
          <w:spacing w:val="-1"/>
        </w:rPr>
        <w:t> </w:t>
      </w:r>
      <w:r>
        <w:rPr>
          <w:color w:val="231F20"/>
        </w:rPr>
        <w:t>be effective</w:t>
      </w:r>
      <w:r>
        <w:rPr>
          <w:color w:val="231F20"/>
          <w:spacing w:val="-1"/>
        </w:rPr>
        <w:t> </w:t>
      </w:r>
      <w:r>
        <w:rPr>
          <w:color w:val="231F20"/>
        </w:rPr>
        <w:t>for the</w:t>
      </w:r>
      <w:r>
        <w:rPr>
          <w:color w:val="231F20"/>
          <w:spacing w:val="-1"/>
        </w:rPr>
        <w:t> </w:t>
      </w:r>
      <w:r>
        <w:rPr>
          <w:color w:val="231F20"/>
        </w:rPr>
        <w:t>financial year</w:t>
      </w:r>
      <w:r>
        <w:rPr>
          <w:color w:val="231F20"/>
          <w:spacing w:val="-1"/>
        </w:rPr>
        <w:t> </w:t>
      </w:r>
      <w:r>
        <w:rPr>
          <w:color w:val="231F20"/>
        </w:rPr>
        <w:t>ending 30</w:t>
      </w:r>
      <w:r>
        <w:rPr>
          <w:color w:val="231F20"/>
          <w:spacing w:val="-1"/>
        </w:rPr>
        <w:t> </w:t>
      </w:r>
      <w:r>
        <w:rPr>
          <w:color w:val="231F20"/>
        </w:rPr>
        <w:t>June 2020.</w:t>
      </w:r>
      <w:r>
        <w:rPr/>
      </w:r>
    </w:p>
    <w:p>
      <w:pPr>
        <w:spacing w:line="240" w:lineRule="auto" w:before="11"/>
        <w:rPr>
          <w:rFonts w:ascii="Swis721 Lt BT" w:hAnsi="Swis721 Lt BT" w:cs="Swis721 Lt BT" w:eastAsia="Swis721 Lt BT"/>
          <w:sz w:val="17"/>
          <w:szCs w:val="17"/>
        </w:rPr>
      </w:pPr>
    </w:p>
    <w:p>
      <w:pPr>
        <w:pStyle w:val="BodyText"/>
        <w:spacing w:line="240" w:lineRule="auto" w:before="0"/>
        <w:ind w:right="0"/>
        <w:jc w:val="left"/>
        <w:rPr>
          <w:rFonts w:ascii="Swis721 Md BT" w:hAnsi="Swis721 Md BT" w:cs="Swis721 Md BT" w:eastAsia="Swis721 Md BT"/>
        </w:rPr>
      </w:pPr>
      <w:r>
        <w:rPr>
          <w:rFonts w:ascii="Swis721 Md BT"/>
          <w:color w:val="303B41"/>
        </w:rPr>
        <w:t>AASB 15 Revenue from Contracts with Customers</w:t>
      </w:r>
      <w:r>
        <w:rPr>
          <w:rFonts w:ascii="Swis721 Md BT"/>
        </w:rPr>
      </w:r>
    </w:p>
    <w:p>
      <w:pPr>
        <w:pStyle w:val="BodyText"/>
        <w:spacing w:line="240" w:lineRule="auto"/>
        <w:ind w:right="216"/>
        <w:jc w:val="left"/>
      </w:pPr>
      <w:r>
        <w:rPr>
          <w:color w:val="231F20"/>
        </w:rPr>
        <w:t>AASB 15 establishes a comprehensive framework for determining </w:t>
      </w:r>
      <w:r>
        <w:rPr>
          <w:color w:val="231F20"/>
          <w:spacing w:val="-3"/>
        </w:rPr>
        <w:t>whether,</w:t>
      </w:r>
      <w:r>
        <w:rPr>
          <w:color w:val="231F20"/>
        </w:rPr>
        <w:t> how much and when</w:t>
      </w:r>
      <w:r>
        <w:rPr>
          <w:color w:val="231F20"/>
          <w:spacing w:val="26"/>
        </w:rPr>
        <w:t> </w:t>
      </w:r>
      <w:r>
        <w:rPr>
          <w:color w:val="231F20"/>
        </w:rPr>
        <w:t>revenue is recognised. It replaces existing revenue guidance including AASB 118 Revenue,</w:t>
      </w:r>
      <w:r>
        <w:rPr>
          <w:color w:val="231F20"/>
        </w:rPr>
        <w:t> AASAB 111 Construction Contracts and IFRIC 13 Customer Loyalty Programs.</w:t>
      </w:r>
      <w:r>
        <w:rPr/>
      </w:r>
    </w:p>
    <w:p>
      <w:pPr>
        <w:pStyle w:val="BodyText"/>
        <w:spacing w:line="240" w:lineRule="auto"/>
        <w:ind w:right="0"/>
        <w:jc w:val="left"/>
      </w:pPr>
      <w:r>
        <w:rPr>
          <w:color w:val="231F20"/>
        </w:rPr>
        <w:t>AASB 15 is effective for annual reporting periods beginning on or after 1 January 2019 for</w:t>
      </w:r>
      <w:r>
        <w:rPr/>
      </w:r>
    </w:p>
    <w:p>
      <w:pPr>
        <w:pStyle w:val="BodyText"/>
        <w:spacing w:line="240" w:lineRule="auto" w:before="0"/>
        <w:ind w:right="102"/>
        <w:jc w:val="left"/>
      </w:pPr>
      <w:r>
        <w:rPr>
          <w:color w:val="231F20"/>
          <w:spacing w:val="-2"/>
        </w:rPr>
        <w:t>not-for-profit</w:t>
      </w:r>
      <w:r>
        <w:rPr>
          <w:color w:val="231F20"/>
          <w:spacing w:val="-1"/>
        </w:rPr>
        <w:t> </w:t>
      </w:r>
      <w:r>
        <w:rPr>
          <w:color w:val="231F20"/>
        </w:rPr>
        <w:t>entities. The</w:t>
      </w:r>
      <w:r>
        <w:rPr>
          <w:color w:val="231F20"/>
          <w:spacing w:val="-1"/>
        </w:rPr>
        <w:t> </w:t>
      </w:r>
      <w:r>
        <w:rPr>
          <w:color w:val="231F20"/>
        </w:rPr>
        <w:t>adoption of AASB</w:t>
      </w:r>
      <w:r>
        <w:rPr>
          <w:color w:val="231F20"/>
          <w:spacing w:val="-1"/>
        </w:rPr>
        <w:t> </w:t>
      </w:r>
      <w:r>
        <w:rPr>
          <w:color w:val="231F20"/>
        </w:rPr>
        <w:t>15 will require</w:t>
      </w:r>
      <w:r>
        <w:rPr>
          <w:color w:val="231F20"/>
          <w:spacing w:val="-1"/>
        </w:rPr>
        <w:t> </w:t>
      </w:r>
      <w:r>
        <w:rPr>
          <w:color w:val="231F20"/>
        </w:rPr>
        <w:t>AITSL to assess</w:t>
      </w:r>
      <w:r>
        <w:rPr>
          <w:color w:val="231F20"/>
          <w:spacing w:val="-1"/>
        </w:rPr>
        <w:t> </w:t>
      </w:r>
      <w:r>
        <w:rPr>
          <w:color w:val="231F20"/>
        </w:rPr>
        <w:t>whether any revenue</w:t>
      </w:r>
      <w:r>
        <w:rPr>
          <w:color w:val="231F20"/>
          <w:spacing w:val="27"/>
        </w:rPr>
        <w:t> </w:t>
      </w:r>
      <w:r>
        <w:rPr>
          <w:color w:val="231F20"/>
        </w:rPr>
        <w:t>is considered to be unearned at year end in accordance with the new standard. Unearned</w:t>
      </w:r>
      <w:r>
        <w:rPr>
          <w:color w:val="231F20"/>
        </w:rPr>
        <w:t> revenue will be disclosed as a liabilty in the Statement of Financial </w:t>
      </w:r>
      <w:r>
        <w:rPr>
          <w:color w:val="231F20"/>
          <w:spacing w:val="-1"/>
        </w:rPr>
        <w:t>Position</w:t>
      </w:r>
      <w:r>
        <w:rPr>
          <w:color w:val="231F20"/>
        </w:rPr>
        <w:t> rather than as revenue</w:t>
      </w:r>
      <w:r>
        <w:rPr>
          <w:color w:val="231F20"/>
          <w:spacing w:val="22"/>
        </w:rPr>
        <w:t> </w:t>
      </w:r>
      <w:r>
        <w:rPr>
          <w:color w:val="231F20"/>
        </w:rPr>
        <w:t>in the Statement of Comprehensive Income. The initial application may be applied retrospectively</w:t>
      </w:r>
      <w:r>
        <w:rPr>
          <w:color w:val="231F20"/>
        </w:rPr>
        <w:t> against the prior period or by adjusting any cumulative effect against retained earnings.</w:t>
      </w:r>
      <w:r>
        <w:rPr/>
      </w:r>
    </w:p>
    <w:p>
      <w:pPr>
        <w:spacing w:line="240" w:lineRule="auto" w:before="11"/>
        <w:rPr>
          <w:rFonts w:ascii="Swis721 Lt BT" w:hAnsi="Swis721 Lt BT" w:cs="Swis721 Lt BT" w:eastAsia="Swis721 Lt BT"/>
          <w:sz w:val="17"/>
          <w:szCs w:val="17"/>
        </w:rPr>
      </w:pPr>
    </w:p>
    <w:p>
      <w:pPr>
        <w:pStyle w:val="BodyText"/>
        <w:spacing w:line="240" w:lineRule="auto" w:before="0"/>
        <w:ind w:right="0"/>
        <w:jc w:val="left"/>
        <w:rPr>
          <w:rFonts w:ascii="Swis721 Md BT" w:hAnsi="Swis721 Md BT" w:cs="Swis721 Md BT" w:eastAsia="Swis721 Md BT"/>
        </w:rPr>
      </w:pPr>
      <w:r>
        <w:rPr>
          <w:rFonts w:ascii="Swis721 Md BT"/>
          <w:color w:val="303B41"/>
        </w:rPr>
        <w:t>AASB 16 Leases</w:t>
      </w:r>
      <w:r>
        <w:rPr>
          <w:rFonts w:ascii="Swis721 Md BT"/>
        </w:rPr>
      </w:r>
    </w:p>
    <w:p>
      <w:pPr>
        <w:pStyle w:val="BodyText"/>
        <w:spacing w:line="240" w:lineRule="auto"/>
        <w:ind w:right="216"/>
        <w:jc w:val="left"/>
      </w:pPr>
      <w:r>
        <w:rPr>
          <w:color w:val="231F20"/>
        </w:rPr>
        <w:t>AASB</w:t>
      </w:r>
      <w:r>
        <w:rPr>
          <w:color w:val="231F20"/>
          <w:spacing w:val="-2"/>
        </w:rPr>
        <w:t> </w:t>
      </w:r>
      <w:r>
        <w:rPr>
          <w:color w:val="231F20"/>
        </w:rPr>
        <w:t>16</w:t>
      </w:r>
      <w:r>
        <w:rPr>
          <w:color w:val="231F20"/>
          <w:spacing w:val="-1"/>
        </w:rPr>
        <w:t> </w:t>
      </w:r>
      <w:r>
        <w:rPr>
          <w:color w:val="231F20"/>
        </w:rPr>
        <w:t>removes</w:t>
      </w:r>
      <w:r>
        <w:rPr>
          <w:color w:val="231F20"/>
          <w:spacing w:val="-1"/>
        </w:rPr>
        <w:t> </w:t>
      </w:r>
      <w:r>
        <w:rPr>
          <w:color w:val="231F20"/>
        </w:rPr>
        <w:t>the</w:t>
      </w:r>
      <w:r>
        <w:rPr>
          <w:color w:val="231F20"/>
          <w:spacing w:val="-1"/>
        </w:rPr>
        <w:t> </w:t>
      </w:r>
      <w:r>
        <w:rPr>
          <w:color w:val="231F20"/>
        </w:rPr>
        <w:t>classification</w:t>
      </w:r>
      <w:r>
        <w:rPr>
          <w:color w:val="231F20"/>
          <w:spacing w:val="-1"/>
        </w:rPr>
        <w:t> </w:t>
      </w:r>
      <w:r>
        <w:rPr>
          <w:color w:val="231F20"/>
        </w:rPr>
        <w:t>of</w:t>
      </w:r>
      <w:r>
        <w:rPr>
          <w:color w:val="231F20"/>
          <w:spacing w:val="-1"/>
        </w:rPr>
        <w:t> </w:t>
      </w:r>
      <w:r>
        <w:rPr>
          <w:color w:val="231F20"/>
        </w:rPr>
        <w:t>leases</w:t>
      </w:r>
      <w:r>
        <w:rPr>
          <w:color w:val="231F20"/>
          <w:spacing w:val="-1"/>
        </w:rPr>
        <w:t> </w:t>
      </w:r>
      <w:r>
        <w:rPr>
          <w:color w:val="231F20"/>
        </w:rPr>
        <w:t>as</w:t>
      </w:r>
      <w:r>
        <w:rPr>
          <w:color w:val="231F20"/>
          <w:spacing w:val="-1"/>
        </w:rPr>
        <w:t> </w:t>
      </w:r>
      <w:r>
        <w:rPr>
          <w:color w:val="231F20"/>
        </w:rPr>
        <w:t>either</w:t>
      </w:r>
      <w:r>
        <w:rPr>
          <w:color w:val="231F20"/>
          <w:spacing w:val="-1"/>
        </w:rPr>
        <w:t> </w:t>
      </w:r>
      <w:r>
        <w:rPr>
          <w:color w:val="231F20"/>
        </w:rPr>
        <w:t>operating</w:t>
      </w:r>
      <w:r>
        <w:rPr>
          <w:color w:val="231F20"/>
          <w:spacing w:val="-1"/>
        </w:rPr>
        <w:t> </w:t>
      </w:r>
      <w:r>
        <w:rPr>
          <w:color w:val="231F20"/>
        </w:rPr>
        <w:t>leases</w:t>
      </w:r>
      <w:r>
        <w:rPr>
          <w:color w:val="231F20"/>
          <w:spacing w:val="-2"/>
        </w:rPr>
        <w:t> </w:t>
      </w:r>
      <w:r>
        <w:rPr>
          <w:color w:val="231F20"/>
        </w:rPr>
        <w:t>or</w:t>
      </w:r>
      <w:r>
        <w:rPr>
          <w:color w:val="231F20"/>
          <w:spacing w:val="-1"/>
        </w:rPr>
        <w:t> </w:t>
      </w:r>
      <w:r>
        <w:rPr>
          <w:color w:val="231F20"/>
        </w:rPr>
        <w:t>finance</w:t>
      </w:r>
      <w:r>
        <w:rPr>
          <w:color w:val="231F20"/>
          <w:spacing w:val="-1"/>
        </w:rPr>
        <w:t> </w:t>
      </w:r>
      <w:r>
        <w:rPr>
          <w:color w:val="231F20"/>
        </w:rPr>
        <w:t>leases</w:t>
      </w:r>
      <w:r>
        <w:rPr>
          <w:color w:val="231F20"/>
          <w:spacing w:val="-1"/>
        </w:rPr>
        <w:t> </w:t>
      </w:r>
      <w:r>
        <w:rPr>
          <w:color w:val="231F20"/>
        </w:rPr>
        <w:t>for</w:t>
      </w:r>
      <w:r>
        <w:rPr>
          <w:color w:val="231F20"/>
          <w:spacing w:val="-1"/>
        </w:rPr>
        <w:t> </w:t>
      </w:r>
      <w:r>
        <w:rPr>
          <w:color w:val="231F20"/>
        </w:rPr>
        <w:t>the</w:t>
      </w:r>
      <w:r>
        <w:rPr>
          <w:color w:val="231F20"/>
        </w:rPr>
        <w:t> lessee,</w:t>
      </w:r>
      <w:r>
        <w:rPr>
          <w:color w:val="231F20"/>
          <w:spacing w:val="-1"/>
        </w:rPr>
        <w:t> </w:t>
      </w:r>
      <w:r>
        <w:rPr>
          <w:color w:val="231F20"/>
        </w:rPr>
        <w:t>effectively treating</w:t>
      </w:r>
      <w:r>
        <w:rPr>
          <w:color w:val="231F20"/>
          <w:spacing w:val="-1"/>
        </w:rPr>
        <w:t> </w:t>
      </w:r>
      <w:r>
        <w:rPr>
          <w:color w:val="231F20"/>
        </w:rPr>
        <w:t>all leases</w:t>
      </w:r>
      <w:r>
        <w:rPr>
          <w:color w:val="231F20"/>
          <w:spacing w:val="-1"/>
        </w:rPr>
        <w:t> </w:t>
      </w:r>
      <w:r>
        <w:rPr>
          <w:color w:val="231F20"/>
        </w:rPr>
        <w:t>as finance</w:t>
      </w:r>
      <w:r>
        <w:rPr>
          <w:color w:val="231F20"/>
          <w:spacing w:val="-1"/>
        </w:rPr>
        <w:t> </w:t>
      </w:r>
      <w:r>
        <w:rPr>
          <w:color w:val="231F20"/>
        </w:rPr>
        <w:t>leases. This</w:t>
      </w:r>
      <w:r>
        <w:rPr>
          <w:color w:val="231F20"/>
          <w:spacing w:val="-1"/>
        </w:rPr>
        <w:t> </w:t>
      </w:r>
      <w:r>
        <w:rPr>
          <w:color w:val="231F20"/>
        </w:rPr>
        <w:t>will effectively</w:t>
      </w:r>
      <w:r>
        <w:rPr>
          <w:color w:val="231F20"/>
          <w:spacing w:val="-1"/>
        </w:rPr>
        <w:t> </w:t>
      </w:r>
      <w:r>
        <w:rPr>
          <w:color w:val="231F20"/>
        </w:rPr>
        <w:t>move all </w:t>
      </w:r>
      <w:r>
        <w:rPr>
          <w:color w:val="231F20"/>
          <w:spacing w:val="-1"/>
        </w:rPr>
        <w:t>off-balance</w:t>
      </w:r>
      <w:r>
        <w:rPr>
          <w:color w:val="231F20"/>
          <w:spacing w:val="27"/>
        </w:rPr>
        <w:t> </w:t>
      </w:r>
      <w:r>
        <w:rPr>
          <w:color w:val="231F20"/>
        </w:rPr>
        <w:t>sheet</w:t>
      </w:r>
      <w:r>
        <w:rPr>
          <w:color w:val="231F20"/>
          <w:spacing w:val="-1"/>
        </w:rPr>
        <w:t> </w:t>
      </w:r>
      <w:r>
        <w:rPr>
          <w:color w:val="231F20"/>
        </w:rPr>
        <w:t>operating leases</w:t>
      </w:r>
      <w:r>
        <w:rPr>
          <w:color w:val="231F20"/>
          <w:spacing w:val="-1"/>
        </w:rPr>
        <w:t> </w:t>
      </w:r>
      <w:r>
        <w:rPr>
          <w:color w:val="231F20"/>
        </w:rPr>
        <w:t>onto the</w:t>
      </w:r>
      <w:r>
        <w:rPr>
          <w:color w:val="231F20"/>
          <w:spacing w:val="-1"/>
        </w:rPr>
        <w:t> </w:t>
      </w:r>
      <w:r>
        <w:rPr>
          <w:color w:val="231F20"/>
        </w:rPr>
        <w:t>balance sheet,</w:t>
      </w:r>
      <w:r>
        <w:rPr>
          <w:color w:val="231F20"/>
          <w:spacing w:val="-1"/>
        </w:rPr>
        <w:t> </w:t>
      </w:r>
      <w:r>
        <w:rPr>
          <w:color w:val="231F20"/>
        </w:rPr>
        <w:t>similar to</w:t>
      </w:r>
      <w:r>
        <w:rPr>
          <w:color w:val="231F20"/>
          <w:spacing w:val="-1"/>
        </w:rPr>
        <w:t> </w:t>
      </w:r>
      <w:r>
        <w:rPr>
          <w:color w:val="231F20"/>
        </w:rPr>
        <w:t>current finance</w:t>
      </w:r>
      <w:r>
        <w:rPr>
          <w:color w:val="231F20"/>
          <w:spacing w:val="-1"/>
        </w:rPr>
        <w:t> </w:t>
      </w:r>
      <w:r>
        <w:rPr>
          <w:color w:val="231F20"/>
        </w:rPr>
        <w:t>lease accounting.</w:t>
      </w:r>
      <w:r>
        <w:rPr/>
      </w:r>
    </w:p>
    <w:p>
      <w:pPr>
        <w:pStyle w:val="BodyText"/>
        <w:spacing w:line="240" w:lineRule="auto"/>
        <w:ind w:right="109"/>
        <w:jc w:val="left"/>
      </w:pPr>
      <w:r>
        <w:rPr>
          <w:color w:val="231F20"/>
        </w:rPr>
        <w:t>AASB 16 is effective for annual reporting periods beginning on or after 1 January 2019. The adoption</w:t>
      </w:r>
      <w:r>
        <w:rPr>
          <w:color w:val="231F20"/>
          <w:spacing w:val="-1"/>
        </w:rPr>
        <w:t> </w:t>
      </w:r>
      <w:r>
        <w:rPr>
          <w:color w:val="231F20"/>
        </w:rPr>
        <w:t>of AASB 16</w:t>
      </w:r>
      <w:r>
        <w:rPr>
          <w:color w:val="231F20"/>
          <w:spacing w:val="-1"/>
        </w:rPr>
        <w:t> </w:t>
      </w:r>
      <w:r>
        <w:rPr>
          <w:color w:val="231F20"/>
        </w:rPr>
        <w:t>will impact the treatment</w:t>
      </w:r>
      <w:r>
        <w:rPr>
          <w:color w:val="231F20"/>
          <w:spacing w:val="-1"/>
        </w:rPr>
        <w:t> </w:t>
      </w:r>
      <w:r>
        <w:rPr>
          <w:color w:val="231F20"/>
        </w:rPr>
        <w:t>of the lease for</w:t>
      </w:r>
      <w:r>
        <w:rPr>
          <w:color w:val="231F20"/>
          <w:spacing w:val="-1"/>
        </w:rPr>
        <w:t> </w:t>
      </w:r>
      <w:r>
        <w:rPr>
          <w:color w:val="231F20"/>
        </w:rPr>
        <w:t>the AITSL office premises.</w:t>
      </w:r>
      <w:r>
        <w:rPr>
          <w:color w:val="231F20"/>
          <w:spacing w:val="-1"/>
        </w:rPr>
        <w:t> </w:t>
      </w:r>
      <w:r>
        <w:rPr>
          <w:color w:val="231F20"/>
        </w:rPr>
        <w:t>That is</w:t>
      </w:r>
      <w:r>
        <w:rPr>
          <w:color w:val="231F20"/>
        </w:rPr>
        <w:t> the only lease contract that has been entered into by AITSL and has, through the current </w:t>
      </w:r>
      <w:r>
        <w:rPr>
          <w:color w:val="231F20"/>
          <w:spacing w:val="-4"/>
        </w:rPr>
        <w:t>year,</w:t>
      </w:r>
      <w:r>
        <w:rPr>
          <w:color w:val="231F20"/>
          <w:spacing w:val="22"/>
        </w:rPr>
        <w:t> </w:t>
      </w:r>
      <w:r>
        <w:rPr>
          <w:color w:val="231F20"/>
        </w:rPr>
        <w:t>been treated as an operating lease in accordance with the previous accounting standard. The</w:t>
      </w:r>
      <w:r>
        <w:rPr>
          <w:color w:val="231F20"/>
        </w:rPr>
        <w:t> impact</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financial</w:t>
      </w:r>
      <w:r>
        <w:rPr>
          <w:color w:val="231F20"/>
          <w:spacing w:val="-1"/>
        </w:rPr>
        <w:t> </w:t>
      </w:r>
      <w:r>
        <w:rPr>
          <w:color w:val="231F20"/>
        </w:rPr>
        <w:t>results</w:t>
      </w:r>
      <w:r>
        <w:rPr>
          <w:color w:val="231F20"/>
          <w:spacing w:val="-1"/>
        </w:rPr>
        <w:t> </w:t>
      </w:r>
      <w:r>
        <w:rPr>
          <w:color w:val="231F20"/>
        </w:rPr>
        <w:t>will</w:t>
      </w:r>
      <w:r>
        <w:rPr>
          <w:color w:val="231F20"/>
          <w:spacing w:val="-1"/>
        </w:rPr>
        <w:t> </w:t>
      </w:r>
      <w:r>
        <w:rPr>
          <w:color w:val="231F20"/>
        </w:rPr>
        <w:t>not</w:t>
      </w:r>
      <w:r>
        <w:rPr>
          <w:color w:val="231F20"/>
          <w:spacing w:val="-1"/>
        </w:rPr>
        <w:t> </w:t>
      </w:r>
      <w:r>
        <w:rPr>
          <w:color w:val="231F20"/>
        </w:rPr>
        <w:t>be</w:t>
      </w:r>
      <w:r>
        <w:rPr>
          <w:color w:val="231F20"/>
          <w:spacing w:val="-1"/>
        </w:rPr>
        <w:t> </w:t>
      </w:r>
      <w:r>
        <w:rPr>
          <w:color w:val="231F20"/>
        </w:rPr>
        <w:t>significant.</w:t>
      </w:r>
      <w:r>
        <w:rPr>
          <w:color w:val="231F20"/>
          <w:spacing w:val="-1"/>
        </w:rPr>
        <w:t> </w:t>
      </w:r>
      <w:r>
        <w:rPr>
          <w:color w:val="231F20"/>
        </w:rPr>
        <w:t>The</w:t>
      </w:r>
      <w:r>
        <w:rPr>
          <w:color w:val="231F20"/>
          <w:spacing w:val="-1"/>
        </w:rPr>
        <w:t> </w:t>
      </w:r>
      <w:r>
        <w:rPr>
          <w:color w:val="231F20"/>
        </w:rPr>
        <w:t>lease</w:t>
      </w:r>
      <w:r>
        <w:rPr>
          <w:color w:val="231F20"/>
          <w:spacing w:val="-1"/>
        </w:rPr>
        <w:t> </w:t>
      </w:r>
      <w:r>
        <w:rPr>
          <w:color w:val="231F20"/>
        </w:rPr>
        <w:t>will</w:t>
      </w:r>
      <w:r>
        <w:rPr>
          <w:color w:val="231F20"/>
          <w:spacing w:val="-1"/>
        </w:rPr>
        <w:t> </w:t>
      </w:r>
      <w:r>
        <w:rPr>
          <w:color w:val="231F20"/>
        </w:rPr>
        <w:t>be</w:t>
      </w:r>
      <w:r>
        <w:rPr>
          <w:color w:val="231F20"/>
          <w:spacing w:val="-1"/>
        </w:rPr>
        <w:t> </w:t>
      </w:r>
      <w:r>
        <w:rPr>
          <w:color w:val="231F20"/>
        </w:rPr>
        <w:t>recognised</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balance</w:t>
      </w:r>
      <w:r>
        <w:rPr>
          <w:color w:val="231F20"/>
        </w:rPr>
        <w:t> sheet as a </w:t>
      </w:r>
      <w:r>
        <w:rPr>
          <w:color w:val="231F20"/>
          <w:spacing w:val="-1"/>
        </w:rPr>
        <w:t>‘right-of-use’</w:t>
      </w:r>
      <w:r>
        <w:rPr>
          <w:color w:val="231F20"/>
        </w:rPr>
        <w:t> asset and a lease liability will be recognised for the present value of the</w:t>
      </w:r>
      <w:r>
        <w:rPr>
          <w:color w:val="231F20"/>
          <w:spacing w:val="27"/>
        </w:rPr>
        <w:t> </w:t>
      </w:r>
      <w:r>
        <w:rPr>
          <w:color w:val="231F20"/>
        </w:rPr>
        <w:t>lease</w:t>
      </w:r>
      <w:r>
        <w:rPr>
          <w:color w:val="231F20"/>
          <w:spacing w:val="-1"/>
        </w:rPr>
        <w:t> </w:t>
      </w:r>
      <w:r>
        <w:rPr>
          <w:color w:val="231F20"/>
        </w:rPr>
        <w:t>obligation.</w:t>
      </w:r>
      <w:r>
        <w:rPr>
          <w:color w:val="231F20"/>
          <w:spacing w:val="-1"/>
        </w:rPr>
        <w:t> </w:t>
      </w:r>
      <w:r>
        <w:rPr>
          <w:color w:val="231F20"/>
        </w:rPr>
        <w:t>The adjustments</w:t>
      </w:r>
      <w:r>
        <w:rPr>
          <w:color w:val="231F20"/>
          <w:spacing w:val="-1"/>
        </w:rPr>
        <w:t> </w:t>
      </w:r>
      <w:r>
        <w:rPr>
          <w:color w:val="231F20"/>
        </w:rPr>
        <w:t>will</w:t>
      </w:r>
      <w:r>
        <w:rPr>
          <w:color w:val="231F20"/>
          <w:spacing w:val="-1"/>
        </w:rPr>
        <w:t> </w:t>
      </w:r>
      <w:r>
        <w:rPr>
          <w:color w:val="231F20"/>
        </w:rPr>
        <w:t>have a</w:t>
      </w:r>
      <w:r>
        <w:rPr>
          <w:color w:val="231F20"/>
          <w:spacing w:val="-1"/>
        </w:rPr>
        <w:t> </w:t>
      </w:r>
      <w:r>
        <w:rPr>
          <w:color w:val="231F20"/>
        </w:rPr>
        <w:t>significant</w:t>
      </w:r>
      <w:r>
        <w:rPr>
          <w:color w:val="231F20"/>
          <w:spacing w:val="-1"/>
        </w:rPr>
        <w:t> </w:t>
      </w:r>
      <w:r>
        <w:rPr>
          <w:color w:val="231F20"/>
        </w:rPr>
        <w:t>impact on</w:t>
      </w:r>
      <w:r>
        <w:rPr>
          <w:color w:val="231F20"/>
          <w:spacing w:val="-1"/>
        </w:rPr>
        <w:t> </w:t>
      </w:r>
      <w:r>
        <w:rPr>
          <w:color w:val="231F20"/>
        </w:rPr>
        <w:t>the AITSL</w:t>
      </w:r>
      <w:r>
        <w:rPr>
          <w:color w:val="231F20"/>
          <w:spacing w:val="-1"/>
        </w:rPr>
        <w:t> </w:t>
      </w:r>
      <w:r>
        <w:rPr>
          <w:color w:val="231F20"/>
        </w:rPr>
        <w:t>balance</w:t>
      </w:r>
      <w:r>
        <w:rPr>
          <w:color w:val="231F20"/>
          <w:spacing w:val="-1"/>
        </w:rPr>
        <w:t> </w:t>
      </w:r>
      <w:r>
        <w:rPr>
          <w:color w:val="231F20"/>
        </w:rPr>
        <w:t>sheet.</w:t>
      </w:r>
      <w:r>
        <w:rPr/>
      </w:r>
    </w:p>
    <w:p>
      <w:pPr>
        <w:pStyle w:val="BodyText"/>
        <w:spacing w:line="240" w:lineRule="auto" w:before="0"/>
        <w:ind w:right="216"/>
        <w:jc w:val="left"/>
      </w:pPr>
      <w:r>
        <w:rPr>
          <w:color w:val="231F20"/>
        </w:rPr>
        <w:t>The initial application may be applied retrospectively against the prior period or by adjusting any cumulative effect against retained earnings.</w:t>
      </w:r>
      <w:r>
        <w:rPr/>
      </w:r>
    </w:p>
    <w:p>
      <w:pPr>
        <w:spacing w:after="0" w:line="240" w:lineRule="auto"/>
        <w:jc w:val="left"/>
        <w:sectPr>
          <w:pgSz w:w="9980" w:h="14180"/>
          <w:pgMar w:header="0" w:footer="452" w:top="1040" w:bottom="640" w:left="740" w:right="1060"/>
        </w:sectPr>
      </w:pPr>
    </w:p>
    <w:p>
      <w:pPr>
        <w:spacing w:before="58"/>
        <w:ind w:left="0" w:right="108" w:firstLine="0"/>
        <w:jc w:val="right"/>
        <w:rPr>
          <w:rFonts w:ascii="Swis721 Lt BT" w:hAnsi="Swis721 Lt BT" w:cs="Swis721 Lt BT" w:eastAsia="Swis721 Lt BT"/>
          <w:sz w:val="14"/>
          <w:szCs w:val="14"/>
        </w:rPr>
      </w:pPr>
      <w:bookmarkStart w:name="NOTE 4. NON-CURRENT ASSETS" w:id="31"/>
      <w:bookmarkEnd w:id="31"/>
      <w:r>
        <w:rPr/>
      </w: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16"/>
          <w:szCs w:val="16"/>
        </w:rPr>
      </w:pPr>
    </w:p>
    <w:p>
      <w:pPr>
        <w:spacing w:before="61"/>
        <w:ind w:left="173" w:right="0" w:firstLine="0"/>
        <w:jc w:val="left"/>
        <w:rPr>
          <w:rFonts w:ascii="Swis721 BT" w:hAnsi="Swis721 BT" w:cs="Swis721 BT" w:eastAsia="Swis721 BT"/>
          <w:sz w:val="24"/>
          <w:szCs w:val="24"/>
        </w:rPr>
      </w:pPr>
      <w:r>
        <w:rPr>
          <w:rFonts w:ascii="Swis721 Hv BT"/>
          <w:b/>
          <w:color w:val="005E63"/>
          <w:sz w:val="24"/>
        </w:rPr>
        <w:t>NOTE</w:t>
      </w:r>
      <w:r>
        <w:rPr>
          <w:rFonts w:ascii="Swis721 Hv BT"/>
          <w:b/>
          <w:color w:val="005E63"/>
          <w:spacing w:val="-3"/>
          <w:sz w:val="24"/>
        </w:rPr>
        <w:t> </w:t>
      </w:r>
      <w:r>
        <w:rPr>
          <w:rFonts w:ascii="Swis721 Hv BT"/>
          <w:b/>
          <w:color w:val="005E63"/>
          <w:sz w:val="24"/>
        </w:rPr>
        <w:t>4.</w:t>
      </w:r>
      <w:r>
        <w:rPr>
          <w:rFonts w:ascii="Swis721 Hv BT"/>
          <w:b/>
          <w:color w:val="005E63"/>
          <w:spacing w:val="-8"/>
          <w:sz w:val="24"/>
        </w:rPr>
        <w:t> </w:t>
      </w:r>
      <w:r>
        <w:rPr>
          <w:rFonts w:ascii="Swis721 BT"/>
          <w:color w:val="005E63"/>
          <w:sz w:val="24"/>
        </w:rPr>
        <w:t>NON-CURRENT</w:t>
      </w:r>
      <w:r>
        <w:rPr>
          <w:rFonts w:ascii="Swis721 BT"/>
          <w:color w:val="005E63"/>
          <w:spacing w:val="-3"/>
          <w:sz w:val="24"/>
        </w:rPr>
        <w:t> </w:t>
      </w:r>
      <w:r>
        <w:rPr>
          <w:rFonts w:ascii="Swis721 BT"/>
          <w:color w:val="005E63"/>
          <w:sz w:val="24"/>
        </w:rPr>
        <w:t>ASSETS</w:t>
      </w:r>
      <w:r>
        <w:rPr>
          <w:rFonts w:ascii="Swis721 BT"/>
          <w:sz w:val="24"/>
        </w:rPr>
      </w:r>
    </w:p>
    <w:p>
      <w:pPr>
        <w:spacing w:line="240" w:lineRule="auto" w:before="6"/>
        <w:rPr>
          <w:rFonts w:ascii="Swis721 BT" w:hAnsi="Swis721 BT" w:cs="Swis721 BT" w:eastAsia="Swis721 BT"/>
          <w:sz w:val="18"/>
          <w:szCs w:val="18"/>
        </w:rPr>
      </w:pPr>
    </w:p>
    <w:p>
      <w:pPr>
        <w:pStyle w:val="Heading8"/>
        <w:spacing w:line="260" w:lineRule="exact" w:before="0"/>
        <w:ind w:left="173" w:right="2263"/>
        <w:jc w:val="left"/>
      </w:pPr>
      <w:r>
        <w:rPr>
          <w:color w:val="00757A"/>
        </w:rPr>
        <w:t>Reconciliation of opening and closing balances (2018–19) </w:t>
      </w:r>
      <w:r>
        <w:rPr>
          <w:color w:val="00757A"/>
          <w:spacing w:val="-1"/>
        </w:rPr>
        <w:t>Furniture,</w:t>
      </w:r>
      <w:r>
        <w:rPr>
          <w:color w:val="00757A"/>
        </w:rPr>
        <w:t> Equipment, Software and Cultural</w:t>
      </w:r>
      <w:r>
        <w:rPr/>
      </w:r>
    </w:p>
    <w:p>
      <w:pPr>
        <w:spacing w:line="240" w:lineRule="auto" w:before="9"/>
        <w:rPr>
          <w:rFonts w:ascii="Swis721 Md BT" w:hAnsi="Swis721 Md BT" w:cs="Swis721 Md BT" w:eastAsia="Swis721 Md BT"/>
          <w:sz w:val="11"/>
          <w:szCs w:val="11"/>
        </w:rPr>
      </w:pPr>
    </w:p>
    <w:tbl>
      <w:tblPr>
        <w:tblW w:w="0" w:type="auto"/>
        <w:jc w:val="left"/>
        <w:tblInd w:w="118" w:type="dxa"/>
        <w:tblLayout w:type="fixed"/>
        <w:tblCellMar>
          <w:top w:w="0" w:type="dxa"/>
          <w:left w:w="0" w:type="dxa"/>
          <w:bottom w:w="0" w:type="dxa"/>
          <w:right w:w="0" w:type="dxa"/>
        </w:tblCellMar>
        <w:tblLook w:val="01E0"/>
      </w:tblPr>
      <w:tblGrid>
        <w:gridCol w:w="2296"/>
        <w:gridCol w:w="946"/>
        <w:gridCol w:w="1018"/>
        <w:gridCol w:w="917"/>
        <w:gridCol w:w="1063"/>
        <w:gridCol w:w="824"/>
        <w:gridCol w:w="992"/>
      </w:tblGrid>
      <w:tr>
        <w:trPr>
          <w:trHeight w:val="763" w:hRule="exact"/>
        </w:trPr>
        <w:tc>
          <w:tcPr>
            <w:tcW w:w="2296" w:type="dxa"/>
            <w:tcBorders>
              <w:top w:val="nil" w:sz="6" w:space="0" w:color="auto"/>
              <w:left w:val="nil" w:sz="6" w:space="0" w:color="auto"/>
              <w:bottom w:val="nil" w:sz="6" w:space="0" w:color="auto"/>
              <w:right w:val="nil" w:sz="6" w:space="0" w:color="auto"/>
            </w:tcBorders>
            <w:shd w:val="clear" w:color="auto" w:fill="BFD22B"/>
          </w:tcPr>
          <w:p>
            <w:pPr/>
          </w:p>
        </w:tc>
        <w:tc>
          <w:tcPr>
            <w:tcW w:w="94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111"/>
              <w:jc w:val="right"/>
              <w:rPr>
                <w:rFonts w:ascii="Swis721 Cn BT" w:hAnsi="Swis721 Cn BT" w:cs="Swis721 Cn BT" w:eastAsia="Swis721 Cn BT"/>
                <w:sz w:val="18"/>
                <w:szCs w:val="18"/>
              </w:rPr>
            </w:pPr>
            <w:r>
              <w:rPr>
                <w:rFonts w:ascii="Swis721 Cn BT"/>
                <w:color w:val="303B41"/>
                <w:sz w:val="18"/>
              </w:rPr>
              <w:t>Equipment</w:t>
            </w:r>
            <w:r>
              <w:rPr>
                <w:rFonts w:ascii="Swis721 Cn BT"/>
                <w:sz w:val="18"/>
              </w:rPr>
            </w:r>
          </w:p>
          <w:p>
            <w:pPr>
              <w:pStyle w:val="TableParagraph"/>
              <w:spacing w:line="240" w:lineRule="auto" w:before="0"/>
              <w:ind w:right="0"/>
              <w:jc w:val="left"/>
              <w:rPr>
                <w:rFonts w:ascii="Swis721 Md BT" w:hAnsi="Swis721 Md BT" w:cs="Swis721 Md BT" w:eastAsia="Swis721 Md BT"/>
                <w:sz w:val="18"/>
                <w:szCs w:val="18"/>
              </w:rPr>
            </w:pPr>
          </w:p>
          <w:p>
            <w:pPr>
              <w:pStyle w:val="TableParagraph"/>
              <w:spacing w:line="240" w:lineRule="auto"/>
              <w:ind w:right="111"/>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018"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160"/>
              <w:jc w:val="right"/>
              <w:rPr>
                <w:rFonts w:ascii="Swis721 Cn BT" w:hAnsi="Swis721 Cn BT" w:cs="Swis721 Cn BT" w:eastAsia="Swis721 Cn BT"/>
                <w:sz w:val="18"/>
                <w:szCs w:val="18"/>
              </w:rPr>
            </w:pPr>
            <w:r>
              <w:rPr>
                <w:rFonts w:ascii="Swis721 Cn BT"/>
                <w:color w:val="303B41"/>
                <w:spacing w:val="-1"/>
                <w:sz w:val="18"/>
              </w:rPr>
              <w:t>Furniture</w:t>
            </w:r>
            <w:r>
              <w:rPr>
                <w:rFonts w:ascii="Swis721 Cn BT"/>
                <w:color w:val="303B41"/>
                <w:sz w:val="18"/>
              </w:rPr>
              <w:t> &amp;</w:t>
            </w:r>
            <w:r>
              <w:rPr>
                <w:rFonts w:ascii="Swis721 Cn BT"/>
                <w:sz w:val="18"/>
              </w:rPr>
            </w:r>
          </w:p>
          <w:p>
            <w:pPr>
              <w:pStyle w:val="TableParagraph"/>
              <w:spacing w:line="240" w:lineRule="auto"/>
              <w:ind w:right="160"/>
              <w:jc w:val="right"/>
              <w:rPr>
                <w:rFonts w:ascii="Swis721 Cn BT" w:hAnsi="Swis721 Cn BT" w:cs="Swis721 Cn BT" w:eastAsia="Swis721 Cn BT"/>
                <w:sz w:val="18"/>
                <w:szCs w:val="18"/>
              </w:rPr>
            </w:pPr>
            <w:r>
              <w:rPr>
                <w:rFonts w:ascii="Swis721 Cn BT"/>
                <w:color w:val="303B41"/>
                <w:w w:val="95"/>
                <w:sz w:val="18"/>
              </w:rPr>
              <w:t>fittings</w:t>
            </w:r>
            <w:r>
              <w:rPr>
                <w:rFonts w:ascii="Swis721 Cn BT"/>
                <w:sz w:val="18"/>
              </w:rPr>
            </w:r>
          </w:p>
          <w:p>
            <w:pPr>
              <w:pStyle w:val="TableParagraph"/>
              <w:spacing w:line="240" w:lineRule="auto"/>
              <w:ind w:right="160"/>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917"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107"/>
              <w:jc w:val="right"/>
              <w:rPr>
                <w:rFonts w:ascii="Swis721 Cn BT" w:hAnsi="Swis721 Cn BT" w:cs="Swis721 Cn BT" w:eastAsia="Swis721 Cn BT"/>
                <w:sz w:val="18"/>
                <w:szCs w:val="18"/>
              </w:rPr>
            </w:pPr>
            <w:r>
              <w:rPr>
                <w:rFonts w:ascii="Swis721 Cn BT"/>
                <w:color w:val="303B41"/>
                <w:sz w:val="18"/>
              </w:rPr>
              <w:t>Software</w:t>
            </w:r>
            <w:r>
              <w:rPr>
                <w:rFonts w:ascii="Swis721 Cn BT"/>
                <w:sz w:val="18"/>
              </w:rPr>
            </w:r>
          </w:p>
          <w:p>
            <w:pPr>
              <w:pStyle w:val="TableParagraph"/>
              <w:spacing w:line="240" w:lineRule="auto" w:before="0"/>
              <w:ind w:right="0"/>
              <w:jc w:val="left"/>
              <w:rPr>
                <w:rFonts w:ascii="Swis721 Md BT" w:hAnsi="Swis721 Md BT" w:cs="Swis721 Md BT" w:eastAsia="Swis721 Md BT"/>
                <w:sz w:val="18"/>
                <w:szCs w:val="18"/>
              </w:rPr>
            </w:pPr>
          </w:p>
          <w:p>
            <w:pPr>
              <w:pStyle w:val="TableParagraph"/>
              <w:spacing w:line="240" w:lineRule="auto"/>
              <w:ind w:right="107"/>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063"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201"/>
              <w:jc w:val="right"/>
              <w:rPr>
                <w:rFonts w:ascii="Swis721 Cn BT" w:hAnsi="Swis721 Cn BT" w:cs="Swis721 Cn BT" w:eastAsia="Swis721 Cn BT"/>
                <w:sz w:val="18"/>
                <w:szCs w:val="18"/>
              </w:rPr>
            </w:pPr>
            <w:r>
              <w:rPr>
                <w:rFonts w:ascii="Swis721 Cn BT"/>
                <w:color w:val="303B41"/>
                <w:sz w:val="18"/>
              </w:rPr>
              <w:t>Make good</w:t>
            </w:r>
            <w:r>
              <w:rPr>
                <w:rFonts w:ascii="Swis721 Cn BT"/>
                <w:sz w:val="18"/>
              </w:rPr>
            </w:r>
          </w:p>
          <w:p>
            <w:pPr>
              <w:pStyle w:val="TableParagraph"/>
              <w:spacing w:line="240" w:lineRule="auto" w:before="0"/>
              <w:ind w:right="0"/>
              <w:jc w:val="left"/>
              <w:rPr>
                <w:rFonts w:ascii="Swis721 Md BT" w:hAnsi="Swis721 Md BT" w:cs="Swis721 Md BT" w:eastAsia="Swis721 Md BT"/>
                <w:sz w:val="18"/>
                <w:szCs w:val="18"/>
              </w:rPr>
            </w:pPr>
          </w:p>
          <w:p>
            <w:pPr>
              <w:pStyle w:val="TableParagraph"/>
              <w:spacing w:line="240" w:lineRule="auto"/>
              <w:ind w:right="201"/>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824"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55"/>
              <w:jc w:val="right"/>
              <w:rPr>
                <w:rFonts w:ascii="Swis721 Cn BT" w:hAnsi="Swis721 Cn BT" w:cs="Swis721 Cn BT" w:eastAsia="Swis721 Cn BT"/>
                <w:sz w:val="18"/>
                <w:szCs w:val="18"/>
              </w:rPr>
            </w:pPr>
            <w:r>
              <w:rPr>
                <w:rFonts w:ascii="Swis721 Cn BT"/>
                <w:color w:val="303B41"/>
                <w:sz w:val="18"/>
              </w:rPr>
              <w:t>Cultural</w:t>
            </w:r>
            <w:r>
              <w:rPr>
                <w:rFonts w:ascii="Swis721 Cn BT"/>
                <w:sz w:val="18"/>
              </w:rPr>
            </w:r>
          </w:p>
          <w:p>
            <w:pPr>
              <w:pStyle w:val="TableParagraph"/>
              <w:spacing w:line="240" w:lineRule="auto" w:before="0"/>
              <w:ind w:right="0"/>
              <w:jc w:val="left"/>
              <w:rPr>
                <w:rFonts w:ascii="Swis721 Md BT" w:hAnsi="Swis721 Md BT" w:cs="Swis721 Md BT" w:eastAsia="Swis721 Md BT"/>
                <w:sz w:val="18"/>
                <w:szCs w:val="18"/>
              </w:rPr>
            </w:pPr>
          </w:p>
          <w:p>
            <w:pPr>
              <w:pStyle w:val="TableParagraph"/>
              <w:spacing w:line="240" w:lineRule="auto"/>
              <w:ind w:right="55"/>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992"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7"/>
              <w:jc w:val="right"/>
              <w:rPr>
                <w:rFonts w:ascii="Swis721 Cn BT" w:hAnsi="Swis721 Cn BT" w:cs="Swis721 Cn BT" w:eastAsia="Swis721 Cn BT"/>
                <w:sz w:val="18"/>
                <w:szCs w:val="18"/>
              </w:rPr>
            </w:pPr>
            <w:r>
              <w:rPr>
                <w:rFonts w:ascii="Swis721 Cn BT"/>
                <w:color w:val="303B41"/>
                <w:spacing w:val="-4"/>
                <w:sz w:val="18"/>
              </w:rPr>
              <w:t>Total</w:t>
            </w:r>
            <w:r>
              <w:rPr>
                <w:rFonts w:ascii="Swis721 Cn BT"/>
                <w:sz w:val="18"/>
              </w:rPr>
            </w:r>
          </w:p>
          <w:p>
            <w:pPr>
              <w:pStyle w:val="TableParagraph"/>
              <w:spacing w:line="240" w:lineRule="auto" w:before="0"/>
              <w:ind w:right="0"/>
              <w:jc w:val="left"/>
              <w:rPr>
                <w:rFonts w:ascii="Swis721 Md BT" w:hAnsi="Swis721 Md BT" w:cs="Swis721 Md BT" w:eastAsia="Swis721 Md BT"/>
                <w:sz w:val="18"/>
                <w:szCs w:val="18"/>
              </w:rPr>
            </w:pPr>
          </w:p>
          <w:p>
            <w:pPr>
              <w:pStyle w:val="TableParagraph"/>
              <w:spacing w:line="240" w:lineRule="auto"/>
              <w:ind w:right="77"/>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r>
      <w:tr>
        <w:trPr>
          <w:trHeight w:val="499" w:hRule="exact"/>
        </w:trPr>
        <w:tc>
          <w:tcPr>
            <w:tcW w:w="2296" w:type="dxa"/>
            <w:tcBorders>
              <w:top w:val="nil" w:sz="6" w:space="0" w:color="auto"/>
              <w:left w:val="nil" w:sz="6" w:space="0" w:color="auto"/>
              <w:bottom w:val="nil" w:sz="6" w:space="0" w:color="auto"/>
              <w:right w:val="nil" w:sz="6" w:space="0" w:color="auto"/>
            </w:tcBorders>
          </w:tcPr>
          <w:p>
            <w:pPr>
              <w:pStyle w:val="TableParagraph"/>
              <w:spacing w:line="240" w:lineRule="auto" w:before="2"/>
              <w:ind w:right="0"/>
              <w:jc w:val="left"/>
              <w:rPr>
                <w:rFonts w:ascii="Swis721 Md BT" w:hAnsi="Swis721 Md BT" w:cs="Swis721 Md BT" w:eastAsia="Swis721 Md BT"/>
                <w:sz w:val="16"/>
                <w:szCs w:val="16"/>
              </w:rPr>
            </w:pPr>
          </w:p>
          <w:p>
            <w:pPr>
              <w:pStyle w:val="TableParagraph"/>
              <w:spacing w:line="240" w:lineRule="auto"/>
              <w:ind w:left="55" w:right="0"/>
              <w:jc w:val="left"/>
              <w:rPr>
                <w:rFonts w:ascii="Swis721 BT" w:hAnsi="Swis721 BT" w:cs="Swis721 BT" w:eastAsia="Swis721 BT"/>
                <w:sz w:val="20"/>
                <w:szCs w:val="20"/>
              </w:rPr>
            </w:pPr>
            <w:r>
              <w:rPr>
                <w:rFonts w:ascii="Swis721 BT"/>
                <w:b/>
                <w:color w:val="00757A"/>
                <w:sz w:val="20"/>
              </w:rPr>
              <w:t>AS </w:t>
            </w:r>
            <w:r>
              <w:rPr>
                <w:rFonts w:ascii="Swis721 BT"/>
                <w:b/>
                <w:color w:val="00757A"/>
                <w:spacing w:val="-4"/>
                <w:sz w:val="20"/>
              </w:rPr>
              <w:t>AT</w:t>
            </w:r>
            <w:r>
              <w:rPr>
                <w:rFonts w:ascii="Swis721 BT"/>
                <w:b/>
                <w:color w:val="00757A"/>
                <w:sz w:val="20"/>
              </w:rPr>
              <w:t> 1 </w:t>
            </w:r>
            <w:r>
              <w:rPr>
                <w:rFonts w:ascii="Swis721 BT"/>
                <w:b/>
                <w:color w:val="00757A"/>
                <w:spacing w:val="-6"/>
                <w:sz w:val="20"/>
              </w:rPr>
              <w:t>JULY</w:t>
            </w:r>
            <w:r>
              <w:rPr>
                <w:rFonts w:ascii="Swis721 BT"/>
                <w:b/>
                <w:color w:val="00757A"/>
                <w:sz w:val="20"/>
              </w:rPr>
              <w:t> 2018</w:t>
            </w:r>
            <w:r>
              <w:rPr>
                <w:rFonts w:ascii="Swis721 BT"/>
                <w:sz w:val="20"/>
              </w:rPr>
            </w:r>
          </w:p>
        </w:tc>
        <w:tc>
          <w:tcPr>
            <w:tcW w:w="946" w:type="dxa"/>
            <w:tcBorders>
              <w:top w:val="nil" w:sz="6" w:space="0" w:color="auto"/>
              <w:left w:val="nil" w:sz="6" w:space="0" w:color="auto"/>
              <w:bottom w:val="nil" w:sz="6" w:space="0" w:color="auto"/>
              <w:right w:val="nil" w:sz="6" w:space="0" w:color="auto"/>
            </w:tcBorders>
          </w:tcPr>
          <w:p>
            <w:pPr/>
          </w:p>
        </w:tc>
        <w:tc>
          <w:tcPr>
            <w:tcW w:w="1018" w:type="dxa"/>
            <w:tcBorders>
              <w:top w:val="nil" w:sz="6" w:space="0" w:color="auto"/>
              <w:left w:val="nil" w:sz="6" w:space="0" w:color="auto"/>
              <w:bottom w:val="nil" w:sz="6" w:space="0" w:color="auto"/>
              <w:right w:val="nil" w:sz="6" w:space="0" w:color="auto"/>
            </w:tcBorders>
          </w:tcPr>
          <w:p>
            <w:pPr/>
          </w:p>
        </w:tc>
        <w:tc>
          <w:tcPr>
            <w:tcW w:w="917" w:type="dxa"/>
            <w:tcBorders>
              <w:top w:val="nil" w:sz="6" w:space="0" w:color="auto"/>
              <w:left w:val="nil" w:sz="6" w:space="0" w:color="auto"/>
              <w:bottom w:val="nil" w:sz="6" w:space="0" w:color="auto"/>
              <w:right w:val="nil" w:sz="6" w:space="0" w:color="auto"/>
            </w:tcBorders>
          </w:tcPr>
          <w:p>
            <w:pPr/>
          </w:p>
        </w:tc>
        <w:tc>
          <w:tcPr>
            <w:tcW w:w="1063" w:type="dxa"/>
            <w:tcBorders>
              <w:top w:val="nil" w:sz="6" w:space="0" w:color="auto"/>
              <w:left w:val="nil" w:sz="6" w:space="0" w:color="auto"/>
              <w:bottom w:val="nil" w:sz="6" w:space="0" w:color="auto"/>
              <w:right w:val="nil" w:sz="6" w:space="0" w:color="auto"/>
            </w:tcBorders>
          </w:tcPr>
          <w:p>
            <w:pPr/>
          </w:p>
        </w:tc>
        <w:tc>
          <w:tcPr>
            <w:tcW w:w="824" w:type="dxa"/>
            <w:tcBorders>
              <w:top w:val="nil" w:sz="6" w:space="0" w:color="auto"/>
              <w:left w:val="nil" w:sz="6" w:space="0" w:color="auto"/>
              <w:bottom w:val="nil" w:sz="6" w:space="0" w:color="auto"/>
              <w:right w:val="nil" w:sz="6" w:space="0" w:color="auto"/>
            </w:tcBorders>
          </w:tcPr>
          <w:p>
            <w:pPr/>
          </w:p>
        </w:tc>
        <w:tc>
          <w:tcPr>
            <w:tcW w:w="992" w:type="dxa"/>
            <w:tcBorders>
              <w:top w:val="nil" w:sz="6" w:space="0" w:color="auto"/>
              <w:left w:val="nil" w:sz="6" w:space="0" w:color="auto"/>
              <w:bottom w:val="nil" w:sz="6" w:space="0" w:color="auto"/>
              <w:right w:val="nil" w:sz="6" w:space="0" w:color="auto"/>
            </w:tcBorders>
          </w:tcPr>
          <w:p>
            <w:pPr/>
          </w:p>
        </w:tc>
      </w:tr>
      <w:tr>
        <w:trPr>
          <w:trHeight w:val="308" w:hRule="exact"/>
        </w:trPr>
        <w:tc>
          <w:tcPr>
            <w:tcW w:w="2296"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55" w:right="0"/>
              <w:jc w:val="left"/>
              <w:rPr>
                <w:rFonts w:ascii="Swis721 Lt BT" w:hAnsi="Swis721 Lt BT" w:cs="Swis721 Lt BT" w:eastAsia="Swis721 Lt BT"/>
                <w:sz w:val="18"/>
                <w:szCs w:val="18"/>
              </w:rPr>
            </w:pPr>
            <w:r>
              <w:rPr>
                <w:rFonts w:ascii="Swis721 Lt BT"/>
                <w:color w:val="231F20"/>
                <w:sz w:val="18"/>
              </w:rPr>
              <w:t>Gross book value</w:t>
            </w:r>
            <w:r>
              <w:rPr>
                <w:rFonts w:ascii="Swis721 Lt BT"/>
                <w:sz w:val="18"/>
              </w:rPr>
            </w:r>
          </w:p>
        </w:tc>
        <w:tc>
          <w:tcPr>
            <w:tcW w:w="946"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17" w:right="0"/>
              <w:jc w:val="left"/>
              <w:rPr>
                <w:rFonts w:ascii="Swis721 Lt BT" w:hAnsi="Swis721 Lt BT" w:cs="Swis721 Lt BT" w:eastAsia="Swis721 Lt BT"/>
                <w:sz w:val="18"/>
                <w:szCs w:val="18"/>
              </w:rPr>
            </w:pPr>
            <w:r>
              <w:rPr>
                <w:rFonts w:ascii="Swis721 Lt BT"/>
                <w:color w:val="231F20"/>
                <w:sz w:val="18"/>
              </w:rPr>
              <w:t>581,385</w:t>
            </w:r>
            <w:r>
              <w:rPr>
                <w:rFonts w:ascii="Swis721 Lt BT"/>
                <w:sz w:val="18"/>
              </w:rPr>
            </w:r>
          </w:p>
        </w:tc>
        <w:tc>
          <w:tcPr>
            <w:tcW w:w="1018"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31" w:right="0"/>
              <w:jc w:val="left"/>
              <w:rPr>
                <w:rFonts w:ascii="Swis721 Lt BT" w:hAnsi="Swis721 Lt BT" w:cs="Swis721 Lt BT" w:eastAsia="Swis721 Lt BT"/>
                <w:sz w:val="18"/>
                <w:szCs w:val="18"/>
              </w:rPr>
            </w:pPr>
            <w:r>
              <w:rPr>
                <w:rFonts w:ascii="Swis721 Lt BT"/>
                <w:color w:val="231F20"/>
                <w:sz w:val="18"/>
              </w:rPr>
              <w:t>963,455</w:t>
            </w:r>
            <w:r>
              <w:rPr>
                <w:rFonts w:ascii="Swis721 Lt BT"/>
                <w:sz w:val="18"/>
              </w:rPr>
            </w:r>
          </w:p>
        </w:tc>
        <w:tc>
          <w:tcPr>
            <w:tcW w:w="917"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193" w:right="0"/>
              <w:jc w:val="left"/>
              <w:rPr>
                <w:rFonts w:ascii="Swis721 Lt BT" w:hAnsi="Swis721 Lt BT" w:cs="Swis721 Lt BT" w:eastAsia="Swis721 Lt BT"/>
                <w:sz w:val="18"/>
                <w:szCs w:val="18"/>
              </w:rPr>
            </w:pPr>
            <w:r>
              <w:rPr>
                <w:rFonts w:ascii="Swis721 Lt BT"/>
                <w:color w:val="231F20"/>
                <w:sz w:val="18"/>
              </w:rPr>
              <w:t>100,100</w:t>
            </w:r>
            <w:r>
              <w:rPr>
                <w:rFonts w:ascii="Swis721 Lt BT"/>
                <w:sz w:val="18"/>
              </w:rPr>
            </w:r>
          </w:p>
        </w:tc>
        <w:tc>
          <w:tcPr>
            <w:tcW w:w="1063"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36" w:right="0"/>
              <w:jc w:val="left"/>
              <w:rPr>
                <w:rFonts w:ascii="Swis721 Lt BT" w:hAnsi="Swis721 Lt BT" w:cs="Swis721 Lt BT" w:eastAsia="Swis721 Lt BT"/>
                <w:sz w:val="18"/>
                <w:szCs w:val="18"/>
              </w:rPr>
            </w:pPr>
            <w:r>
              <w:rPr>
                <w:rFonts w:ascii="Swis721 Lt BT"/>
                <w:color w:val="231F20"/>
                <w:sz w:val="18"/>
              </w:rPr>
              <w:t>288,417</w:t>
            </w:r>
            <w:r>
              <w:rPr>
                <w:rFonts w:ascii="Swis721 Lt BT"/>
                <w:sz w:val="18"/>
              </w:rPr>
            </w:r>
          </w:p>
        </w:tc>
        <w:tc>
          <w:tcPr>
            <w:tcW w:w="824"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49" w:right="0"/>
              <w:jc w:val="left"/>
              <w:rPr>
                <w:rFonts w:ascii="Swis721 Lt BT" w:hAnsi="Swis721 Lt BT" w:cs="Swis721 Lt BT" w:eastAsia="Swis721 Lt BT"/>
                <w:sz w:val="18"/>
                <w:szCs w:val="18"/>
              </w:rPr>
            </w:pPr>
            <w:r>
              <w:rPr>
                <w:rFonts w:ascii="Swis721 Lt BT"/>
                <w:color w:val="231F20"/>
                <w:sz w:val="18"/>
              </w:rPr>
              <w:t>12,000</w:t>
            </w:r>
            <w:r>
              <w:rPr>
                <w:rFonts w:ascii="Swis721 Lt BT"/>
                <w:sz w:val="18"/>
              </w:rPr>
            </w:r>
          </w:p>
        </w:tc>
        <w:tc>
          <w:tcPr>
            <w:tcW w:w="992"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126" w:right="0"/>
              <w:jc w:val="left"/>
              <w:rPr>
                <w:rFonts w:ascii="Swis721 Lt BT" w:hAnsi="Swis721 Lt BT" w:cs="Swis721 Lt BT" w:eastAsia="Swis721 Lt BT"/>
                <w:sz w:val="18"/>
                <w:szCs w:val="18"/>
              </w:rPr>
            </w:pPr>
            <w:r>
              <w:rPr>
                <w:rFonts w:ascii="Swis721 Lt BT"/>
                <w:color w:val="231F20"/>
                <w:sz w:val="18"/>
              </w:rPr>
              <w:t>1,945,357</w:t>
            </w:r>
            <w:r>
              <w:rPr>
                <w:rFonts w:ascii="Swis721 Lt BT"/>
                <w:sz w:val="18"/>
              </w:rPr>
            </w:r>
          </w:p>
        </w:tc>
      </w:tr>
      <w:tr>
        <w:trPr>
          <w:trHeight w:val="557" w:hRule="exact"/>
        </w:trPr>
        <w:tc>
          <w:tcPr>
            <w:tcW w:w="2296"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5" w:right="101"/>
              <w:jc w:val="left"/>
              <w:rPr>
                <w:rFonts w:ascii="Swis721 Lt BT" w:hAnsi="Swis721 Lt BT" w:cs="Swis721 Lt BT" w:eastAsia="Swis721 Lt BT"/>
                <w:sz w:val="18"/>
                <w:szCs w:val="18"/>
              </w:rPr>
            </w:pPr>
            <w:r>
              <w:rPr>
                <w:rFonts w:ascii="Swis721 Lt BT"/>
                <w:color w:val="231F20"/>
                <w:sz w:val="18"/>
              </w:rPr>
              <w:t>Accumulated depreciation / amortisation</w:t>
            </w:r>
            <w:r>
              <w:rPr>
                <w:rFonts w:ascii="Swis721 Lt BT"/>
                <w:sz w:val="18"/>
              </w:rPr>
            </w:r>
          </w:p>
        </w:tc>
        <w:tc>
          <w:tcPr>
            <w:tcW w:w="946" w:type="dxa"/>
            <w:tcBorders>
              <w:top w:val="single" w:sz="2" w:space="0" w:color="848B91"/>
              <w:left w:val="nil" w:sz="6" w:space="0" w:color="auto"/>
              <w:bottom w:val="single" w:sz="8" w:space="0" w:color="848B91"/>
              <w:right w:val="nil" w:sz="6" w:space="0" w:color="auto"/>
            </w:tcBorders>
          </w:tcPr>
          <w:p>
            <w:pPr>
              <w:pStyle w:val="TableParagraph"/>
              <w:spacing w:line="240" w:lineRule="auto" w:before="5"/>
              <w:ind w:right="0"/>
              <w:jc w:val="left"/>
              <w:rPr>
                <w:rFonts w:ascii="Swis721 Md BT" w:hAnsi="Swis721 Md BT" w:cs="Swis721 Md BT" w:eastAsia="Swis721 Md BT"/>
                <w:sz w:val="23"/>
                <w:szCs w:val="23"/>
              </w:rPr>
            </w:pPr>
          </w:p>
          <w:p>
            <w:pPr>
              <w:pStyle w:val="TableParagraph"/>
              <w:spacing w:line="240" w:lineRule="auto"/>
              <w:ind w:left="103" w:right="0"/>
              <w:jc w:val="left"/>
              <w:rPr>
                <w:rFonts w:ascii="Swis721 Lt BT" w:hAnsi="Swis721 Lt BT" w:cs="Swis721 Lt BT" w:eastAsia="Swis721 Lt BT"/>
                <w:sz w:val="18"/>
                <w:szCs w:val="18"/>
              </w:rPr>
            </w:pPr>
            <w:r>
              <w:rPr>
                <w:rFonts w:ascii="Swis721 Lt BT"/>
                <w:color w:val="231F20"/>
                <w:sz w:val="18"/>
              </w:rPr>
              <w:t>(511,510)</w:t>
            </w:r>
            <w:r>
              <w:rPr>
                <w:rFonts w:ascii="Swis721 Lt BT"/>
                <w:sz w:val="18"/>
              </w:rPr>
            </w:r>
          </w:p>
        </w:tc>
        <w:tc>
          <w:tcPr>
            <w:tcW w:w="1018" w:type="dxa"/>
            <w:tcBorders>
              <w:top w:val="single" w:sz="2" w:space="0" w:color="848B91"/>
              <w:left w:val="nil" w:sz="6" w:space="0" w:color="auto"/>
              <w:bottom w:val="single" w:sz="8" w:space="0" w:color="848B91"/>
              <w:right w:val="nil" w:sz="6" w:space="0" w:color="auto"/>
            </w:tcBorders>
          </w:tcPr>
          <w:p>
            <w:pPr>
              <w:pStyle w:val="TableParagraph"/>
              <w:spacing w:line="240" w:lineRule="auto" w:before="5"/>
              <w:ind w:right="0"/>
              <w:jc w:val="left"/>
              <w:rPr>
                <w:rFonts w:ascii="Swis721 Md BT" w:hAnsi="Swis721 Md BT" w:cs="Swis721 Md BT" w:eastAsia="Swis721 Md BT"/>
                <w:sz w:val="23"/>
                <w:szCs w:val="23"/>
              </w:rPr>
            </w:pPr>
          </w:p>
          <w:p>
            <w:pPr>
              <w:pStyle w:val="TableParagraph"/>
              <w:spacing w:line="240" w:lineRule="auto"/>
              <w:ind w:left="117" w:right="0"/>
              <w:jc w:val="left"/>
              <w:rPr>
                <w:rFonts w:ascii="Swis721 Lt BT" w:hAnsi="Swis721 Lt BT" w:cs="Swis721 Lt BT" w:eastAsia="Swis721 Lt BT"/>
                <w:sz w:val="18"/>
                <w:szCs w:val="18"/>
              </w:rPr>
            </w:pPr>
            <w:r>
              <w:rPr>
                <w:rFonts w:ascii="Swis721 Lt BT"/>
                <w:color w:val="231F20"/>
                <w:sz w:val="18"/>
              </w:rPr>
              <w:t>(489,918)</w:t>
            </w:r>
            <w:r>
              <w:rPr>
                <w:rFonts w:ascii="Swis721 Lt BT"/>
                <w:sz w:val="18"/>
              </w:rPr>
            </w:r>
          </w:p>
        </w:tc>
        <w:tc>
          <w:tcPr>
            <w:tcW w:w="917" w:type="dxa"/>
            <w:tcBorders>
              <w:top w:val="single" w:sz="2" w:space="0" w:color="848B91"/>
              <w:left w:val="nil" w:sz="6" w:space="0" w:color="auto"/>
              <w:bottom w:val="single" w:sz="8" w:space="0" w:color="848B91"/>
              <w:right w:val="nil" w:sz="6" w:space="0" w:color="auto"/>
            </w:tcBorders>
          </w:tcPr>
          <w:p>
            <w:pPr>
              <w:pStyle w:val="TableParagraph"/>
              <w:spacing w:line="240" w:lineRule="auto" w:before="5"/>
              <w:ind w:right="0"/>
              <w:jc w:val="left"/>
              <w:rPr>
                <w:rFonts w:ascii="Swis721 Md BT" w:hAnsi="Swis721 Md BT" w:cs="Swis721 Md BT" w:eastAsia="Swis721 Md BT"/>
                <w:sz w:val="23"/>
                <w:szCs w:val="23"/>
              </w:rPr>
            </w:pPr>
          </w:p>
          <w:p>
            <w:pPr>
              <w:pStyle w:val="TableParagraph"/>
              <w:spacing w:line="240" w:lineRule="auto"/>
              <w:ind w:right="99"/>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1063" w:type="dxa"/>
            <w:tcBorders>
              <w:top w:val="single" w:sz="2" w:space="0" w:color="848B91"/>
              <w:left w:val="nil" w:sz="6" w:space="0" w:color="auto"/>
              <w:bottom w:val="single" w:sz="8" w:space="0" w:color="848B91"/>
              <w:right w:val="nil" w:sz="6" w:space="0" w:color="auto"/>
            </w:tcBorders>
          </w:tcPr>
          <w:p>
            <w:pPr>
              <w:pStyle w:val="TableParagraph"/>
              <w:spacing w:line="240" w:lineRule="auto" w:before="5"/>
              <w:ind w:right="0"/>
              <w:jc w:val="left"/>
              <w:rPr>
                <w:rFonts w:ascii="Swis721 Md BT" w:hAnsi="Swis721 Md BT" w:cs="Swis721 Md BT" w:eastAsia="Swis721 Md BT"/>
                <w:sz w:val="23"/>
                <w:szCs w:val="23"/>
              </w:rPr>
            </w:pPr>
          </w:p>
          <w:p>
            <w:pPr>
              <w:pStyle w:val="TableParagraph"/>
              <w:spacing w:line="240" w:lineRule="auto"/>
              <w:ind w:left="122" w:right="0"/>
              <w:jc w:val="left"/>
              <w:rPr>
                <w:rFonts w:ascii="Swis721 Lt BT" w:hAnsi="Swis721 Lt BT" w:cs="Swis721 Lt BT" w:eastAsia="Swis721 Lt BT"/>
                <w:sz w:val="18"/>
                <w:szCs w:val="18"/>
              </w:rPr>
            </w:pPr>
            <w:r>
              <w:rPr>
                <w:rFonts w:ascii="Swis721 Lt BT"/>
                <w:color w:val="231F20"/>
                <w:sz w:val="18"/>
              </w:rPr>
              <w:t>(151,419)</w:t>
            </w:r>
            <w:r>
              <w:rPr>
                <w:rFonts w:ascii="Swis721 Lt BT"/>
                <w:sz w:val="18"/>
              </w:rPr>
            </w:r>
          </w:p>
        </w:tc>
        <w:tc>
          <w:tcPr>
            <w:tcW w:w="824" w:type="dxa"/>
            <w:tcBorders>
              <w:top w:val="single" w:sz="2" w:space="0" w:color="848B91"/>
              <w:left w:val="nil" w:sz="6" w:space="0" w:color="auto"/>
              <w:bottom w:val="single" w:sz="8" w:space="0" w:color="848B91"/>
              <w:right w:val="nil" w:sz="6" w:space="0" w:color="auto"/>
            </w:tcBorders>
          </w:tcPr>
          <w:p>
            <w:pPr>
              <w:pStyle w:val="TableParagraph"/>
              <w:spacing w:line="240" w:lineRule="auto" w:before="5"/>
              <w:ind w:right="0"/>
              <w:jc w:val="left"/>
              <w:rPr>
                <w:rFonts w:ascii="Swis721 Md BT" w:hAnsi="Swis721 Md BT" w:cs="Swis721 Md BT" w:eastAsia="Swis721 Md BT"/>
                <w:sz w:val="23"/>
                <w:szCs w:val="23"/>
              </w:rPr>
            </w:pPr>
          </w:p>
          <w:p>
            <w:pPr>
              <w:pStyle w:val="TableParagraph"/>
              <w:spacing w:line="240" w:lineRule="auto"/>
              <w:ind w:right="46"/>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992" w:type="dxa"/>
            <w:tcBorders>
              <w:top w:val="single" w:sz="2" w:space="0" w:color="848B91"/>
              <w:left w:val="nil" w:sz="6" w:space="0" w:color="auto"/>
              <w:bottom w:val="single" w:sz="8" w:space="0" w:color="848B91"/>
              <w:right w:val="nil" w:sz="6" w:space="0" w:color="auto"/>
            </w:tcBorders>
          </w:tcPr>
          <w:p>
            <w:pPr>
              <w:pStyle w:val="TableParagraph"/>
              <w:spacing w:line="240" w:lineRule="auto" w:before="5"/>
              <w:ind w:right="0"/>
              <w:jc w:val="left"/>
              <w:rPr>
                <w:rFonts w:ascii="Swis721 Md BT" w:hAnsi="Swis721 Md BT" w:cs="Swis721 Md BT" w:eastAsia="Swis721 Md BT"/>
                <w:sz w:val="23"/>
                <w:szCs w:val="23"/>
              </w:rPr>
            </w:pPr>
          </w:p>
          <w:p>
            <w:pPr>
              <w:pStyle w:val="TableParagraph"/>
              <w:spacing w:line="240" w:lineRule="auto"/>
              <w:ind w:left="47" w:right="0"/>
              <w:jc w:val="left"/>
              <w:rPr>
                <w:rFonts w:ascii="Swis721 Lt BT" w:hAnsi="Swis721 Lt BT" w:cs="Swis721 Lt BT" w:eastAsia="Swis721 Lt BT"/>
                <w:sz w:val="18"/>
                <w:szCs w:val="18"/>
              </w:rPr>
            </w:pPr>
            <w:r>
              <w:rPr>
                <w:rFonts w:ascii="Swis721 Lt BT"/>
                <w:color w:val="231F20"/>
                <w:sz w:val="18"/>
              </w:rPr>
              <w:t>(1,152,847)</w:t>
            </w:r>
            <w:r>
              <w:rPr>
                <w:rFonts w:ascii="Swis721 Lt BT"/>
                <w:sz w:val="18"/>
              </w:rPr>
            </w:r>
          </w:p>
        </w:tc>
      </w:tr>
      <w:tr>
        <w:trPr>
          <w:trHeight w:val="565" w:hRule="exact"/>
        </w:trPr>
        <w:tc>
          <w:tcPr>
            <w:tcW w:w="229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5" w:right="996"/>
              <w:jc w:val="left"/>
              <w:rPr>
                <w:rFonts w:ascii="Swis721 Md BT" w:hAnsi="Swis721 Md BT" w:cs="Swis721 Md BT" w:eastAsia="Swis721 Md BT"/>
                <w:sz w:val="18"/>
                <w:szCs w:val="18"/>
              </w:rPr>
            </w:pPr>
            <w:r>
              <w:rPr>
                <w:rFonts w:ascii="Swis721 Md BT"/>
                <w:color w:val="231F20"/>
                <w:sz w:val="18"/>
              </w:rPr>
              <w:t>Net book value 1 July 2018</w:t>
            </w:r>
            <w:r>
              <w:rPr>
                <w:rFonts w:ascii="Swis721 Md BT"/>
                <w:sz w:val="18"/>
              </w:rPr>
            </w:r>
          </w:p>
        </w:tc>
        <w:tc>
          <w:tcPr>
            <w:tcW w:w="946" w:type="dxa"/>
            <w:tcBorders>
              <w:top w:val="single" w:sz="8" w:space="0" w:color="848B91"/>
              <w:left w:val="nil" w:sz="6" w:space="0" w:color="auto"/>
              <w:bottom w:val="single" w:sz="8" w:space="0" w:color="848B91"/>
              <w:right w:val="nil" w:sz="6" w:space="0" w:color="auto"/>
            </w:tcBorders>
          </w:tcPr>
          <w:p>
            <w:pPr>
              <w:pStyle w:val="TableParagraph"/>
              <w:spacing w:line="240" w:lineRule="auto" w:before="6"/>
              <w:ind w:right="0"/>
              <w:jc w:val="left"/>
              <w:rPr>
                <w:rFonts w:ascii="Swis721 Md BT" w:hAnsi="Swis721 Md BT" w:cs="Swis721 Md BT" w:eastAsia="Swis721 Md BT"/>
                <w:sz w:val="22"/>
                <w:szCs w:val="22"/>
              </w:rPr>
            </w:pPr>
          </w:p>
          <w:p>
            <w:pPr>
              <w:pStyle w:val="TableParagraph"/>
              <w:spacing w:line="240" w:lineRule="auto"/>
              <w:ind w:left="287" w:right="0"/>
              <w:jc w:val="left"/>
              <w:rPr>
                <w:rFonts w:ascii="Swis721 Md BT" w:hAnsi="Swis721 Md BT" w:cs="Swis721 Md BT" w:eastAsia="Swis721 Md BT"/>
                <w:sz w:val="18"/>
                <w:szCs w:val="18"/>
              </w:rPr>
            </w:pPr>
            <w:r>
              <w:rPr>
                <w:rFonts w:ascii="Swis721 Md BT"/>
                <w:color w:val="231F20"/>
                <w:sz w:val="18"/>
              </w:rPr>
              <w:t>69,875</w:t>
            </w:r>
            <w:r>
              <w:rPr>
                <w:rFonts w:ascii="Swis721 Md BT"/>
                <w:sz w:val="18"/>
              </w:rPr>
            </w:r>
          </w:p>
        </w:tc>
        <w:tc>
          <w:tcPr>
            <w:tcW w:w="1018" w:type="dxa"/>
            <w:tcBorders>
              <w:top w:val="single" w:sz="8" w:space="0" w:color="848B91"/>
              <w:left w:val="nil" w:sz="6" w:space="0" w:color="auto"/>
              <w:bottom w:val="single" w:sz="8" w:space="0" w:color="848B91"/>
              <w:right w:val="nil" w:sz="6" w:space="0" w:color="auto"/>
            </w:tcBorders>
          </w:tcPr>
          <w:p>
            <w:pPr>
              <w:pStyle w:val="TableParagraph"/>
              <w:spacing w:line="240" w:lineRule="auto" w:before="6"/>
              <w:ind w:right="0"/>
              <w:jc w:val="left"/>
              <w:rPr>
                <w:rFonts w:ascii="Swis721 Md BT" w:hAnsi="Swis721 Md BT" w:cs="Swis721 Md BT" w:eastAsia="Swis721 Md BT"/>
                <w:sz w:val="22"/>
                <w:szCs w:val="22"/>
              </w:rPr>
            </w:pPr>
          </w:p>
          <w:p>
            <w:pPr>
              <w:pStyle w:val="TableParagraph"/>
              <w:spacing w:line="240" w:lineRule="auto"/>
              <w:ind w:left="201" w:right="0"/>
              <w:jc w:val="left"/>
              <w:rPr>
                <w:rFonts w:ascii="Swis721 Md BT" w:hAnsi="Swis721 Md BT" w:cs="Swis721 Md BT" w:eastAsia="Swis721 Md BT"/>
                <w:sz w:val="18"/>
                <w:szCs w:val="18"/>
              </w:rPr>
            </w:pPr>
            <w:r>
              <w:rPr>
                <w:rFonts w:ascii="Swis721 Md BT"/>
                <w:color w:val="231F20"/>
                <w:sz w:val="18"/>
              </w:rPr>
              <w:t>473,537</w:t>
            </w:r>
            <w:r>
              <w:rPr>
                <w:rFonts w:ascii="Swis721 Md BT"/>
                <w:sz w:val="18"/>
              </w:rPr>
            </w:r>
          </w:p>
        </w:tc>
        <w:tc>
          <w:tcPr>
            <w:tcW w:w="917" w:type="dxa"/>
            <w:tcBorders>
              <w:top w:val="single" w:sz="8" w:space="0" w:color="848B91"/>
              <w:left w:val="nil" w:sz="6" w:space="0" w:color="auto"/>
              <w:bottom w:val="single" w:sz="8" w:space="0" w:color="848B91"/>
              <w:right w:val="nil" w:sz="6" w:space="0" w:color="auto"/>
            </w:tcBorders>
          </w:tcPr>
          <w:p>
            <w:pPr>
              <w:pStyle w:val="TableParagraph"/>
              <w:spacing w:line="240" w:lineRule="auto" w:before="6"/>
              <w:ind w:right="0"/>
              <w:jc w:val="left"/>
              <w:rPr>
                <w:rFonts w:ascii="Swis721 Md BT" w:hAnsi="Swis721 Md BT" w:cs="Swis721 Md BT" w:eastAsia="Swis721 Md BT"/>
                <w:sz w:val="22"/>
                <w:szCs w:val="22"/>
              </w:rPr>
            </w:pPr>
          </w:p>
          <w:p>
            <w:pPr>
              <w:pStyle w:val="TableParagraph"/>
              <w:spacing w:line="240" w:lineRule="auto"/>
              <w:ind w:left="163" w:right="0"/>
              <w:jc w:val="left"/>
              <w:rPr>
                <w:rFonts w:ascii="Swis721 Md BT" w:hAnsi="Swis721 Md BT" w:cs="Swis721 Md BT" w:eastAsia="Swis721 Md BT"/>
                <w:sz w:val="18"/>
                <w:szCs w:val="18"/>
              </w:rPr>
            </w:pPr>
            <w:r>
              <w:rPr>
                <w:rFonts w:ascii="Swis721 Md BT"/>
                <w:color w:val="231F20"/>
                <w:sz w:val="18"/>
              </w:rPr>
              <w:t>100,100</w:t>
            </w:r>
            <w:r>
              <w:rPr>
                <w:rFonts w:ascii="Swis721 Md BT"/>
                <w:sz w:val="18"/>
              </w:rPr>
            </w:r>
          </w:p>
        </w:tc>
        <w:tc>
          <w:tcPr>
            <w:tcW w:w="1063" w:type="dxa"/>
            <w:tcBorders>
              <w:top w:val="single" w:sz="8" w:space="0" w:color="848B91"/>
              <w:left w:val="nil" w:sz="6" w:space="0" w:color="auto"/>
              <w:bottom w:val="single" w:sz="8" w:space="0" w:color="848B91"/>
              <w:right w:val="nil" w:sz="6" w:space="0" w:color="auto"/>
            </w:tcBorders>
          </w:tcPr>
          <w:p>
            <w:pPr>
              <w:pStyle w:val="TableParagraph"/>
              <w:spacing w:line="240" w:lineRule="auto" w:before="6"/>
              <w:ind w:right="0"/>
              <w:jc w:val="left"/>
              <w:rPr>
                <w:rFonts w:ascii="Swis721 Md BT" w:hAnsi="Swis721 Md BT" w:cs="Swis721 Md BT" w:eastAsia="Swis721 Md BT"/>
                <w:sz w:val="22"/>
                <w:szCs w:val="22"/>
              </w:rPr>
            </w:pPr>
          </w:p>
          <w:p>
            <w:pPr>
              <w:pStyle w:val="TableParagraph"/>
              <w:spacing w:line="240" w:lineRule="auto"/>
              <w:ind w:left="206" w:right="0"/>
              <w:jc w:val="left"/>
              <w:rPr>
                <w:rFonts w:ascii="Swis721 Md BT" w:hAnsi="Swis721 Md BT" w:cs="Swis721 Md BT" w:eastAsia="Swis721 Md BT"/>
                <w:sz w:val="18"/>
                <w:szCs w:val="18"/>
              </w:rPr>
            </w:pPr>
            <w:r>
              <w:rPr>
                <w:rFonts w:ascii="Swis721 Md BT"/>
                <w:color w:val="231F20"/>
                <w:sz w:val="18"/>
              </w:rPr>
              <w:t>136,998</w:t>
            </w:r>
            <w:r>
              <w:rPr>
                <w:rFonts w:ascii="Swis721 Md BT"/>
                <w:sz w:val="18"/>
              </w:rPr>
            </w:r>
          </w:p>
        </w:tc>
        <w:tc>
          <w:tcPr>
            <w:tcW w:w="824" w:type="dxa"/>
            <w:tcBorders>
              <w:top w:val="single" w:sz="8" w:space="0" w:color="848B91"/>
              <w:left w:val="nil" w:sz="6" w:space="0" w:color="auto"/>
              <w:bottom w:val="single" w:sz="8" w:space="0" w:color="848B91"/>
              <w:right w:val="nil" w:sz="6" w:space="0" w:color="auto"/>
            </w:tcBorders>
          </w:tcPr>
          <w:p>
            <w:pPr>
              <w:pStyle w:val="TableParagraph"/>
              <w:spacing w:line="240" w:lineRule="auto" w:before="6"/>
              <w:ind w:right="0"/>
              <w:jc w:val="left"/>
              <w:rPr>
                <w:rFonts w:ascii="Swis721 Md BT" w:hAnsi="Swis721 Md BT" w:cs="Swis721 Md BT" w:eastAsia="Swis721 Md BT"/>
                <w:sz w:val="22"/>
                <w:szCs w:val="22"/>
              </w:rPr>
            </w:pPr>
          </w:p>
          <w:p>
            <w:pPr>
              <w:pStyle w:val="TableParagraph"/>
              <w:spacing w:line="240" w:lineRule="auto"/>
              <w:ind w:left="203" w:right="0"/>
              <w:jc w:val="left"/>
              <w:rPr>
                <w:rFonts w:ascii="Swis721 Md BT" w:hAnsi="Swis721 Md BT" w:cs="Swis721 Md BT" w:eastAsia="Swis721 Md BT"/>
                <w:sz w:val="18"/>
                <w:szCs w:val="18"/>
              </w:rPr>
            </w:pPr>
            <w:r>
              <w:rPr>
                <w:rFonts w:ascii="Swis721 Md BT"/>
                <w:color w:val="231F20"/>
                <w:sz w:val="18"/>
              </w:rPr>
              <w:t>12,000</w:t>
            </w:r>
            <w:r>
              <w:rPr>
                <w:rFonts w:ascii="Swis721 Md BT"/>
                <w:sz w:val="18"/>
              </w:rPr>
            </w:r>
          </w:p>
        </w:tc>
        <w:tc>
          <w:tcPr>
            <w:tcW w:w="992" w:type="dxa"/>
            <w:tcBorders>
              <w:top w:val="single" w:sz="8" w:space="0" w:color="848B91"/>
              <w:left w:val="nil" w:sz="6" w:space="0" w:color="auto"/>
              <w:bottom w:val="single" w:sz="8" w:space="0" w:color="848B91"/>
              <w:right w:val="nil" w:sz="6" w:space="0" w:color="auto"/>
            </w:tcBorders>
          </w:tcPr>
          <w:p>
            <w:pPr>
              <w:pStyle w:val="TableParagraph"/>
              <w:spacing w:line="240" w:lineRule="auto" w:before="6"/>
              <w:ind w:right="0"/>
              <w:jc w:val="left"/>
              <w:rPr>
                <w:rFonts w:ascii="Swis721 Md BT" w:hAnsi="Swis721 Md BT" w:cs="Swis721 Md BT" w:eastAsia="Swis721 Md BT"/>
                <w:sz w:val="22"/>
                <w:szCs w:val="22"/>
              </w:rPr>
            </w:pPr>
          </w:p>
          <w:p>
            <w:pPr>
              <w:pStyle w:val="TableParagraph"/>
              <w:spacing w:line="240" w:lineRule="auto"/>
              <w:ind w:left="220" w:right="0"/>
              <w:jc w:val="left"/>
              <w:rPr>
                <w:rFonts w:ascii="Swis721 Md BT" w:hAnsi="Swis721 Md BT" w:cs="Swis721 Md BT" w:eastAsia="Swis721 Md BT"/>
                <w:sz w:val="18"/>
                <w:szCs w:val="18"/>
              </w:rPr>
            </w:pPr>
            <w:r>
              <w:rPr>
                <w:rFonts w:ascii="Swis721 Md BT"/>
                <w:color w:val="231F20"/>
                <w:sz w:val="18"/>
              </w:rPr>
              <w:t>792,510</w:t>
            </w:r>
            <w:r>
              <w:rPr>
                <w:rFonts w:ascii="Swis721 Md BT"/>
                <w:sz w:val="18"/>
              </w:rPr>
            </w:r>
          </w:p>
        </w:tc>
      </w:tr>
      <w:tr>
        <w:trPr>
          <w:trHeight w:val="477" w:hRule="exact"/>
        </w:trPr>
        <w:tc>
          <w:tcPr>
            <w:tcW w:w="2296" w:type="dxa"/>
            <w:tcBorders>
              <w:top w:val="single" w:sz="8" w:space="0" w:color="848B91"/>
              <w:left w:val="nil" w:sz="6" w:space="0" w:color="auto"/>
              <w:bottom w:val="nil" w:sz="6" w:space="0" w:color="auto"/>
              <w:right w:val="nil" w:sz="6" w:space="0" w:color="auto"/>
            </w:tcBorders>
          </w:tcPr>
          <w:p>
            <w:pPr>
              <w:pStyle w:val="TableParagraph"/>
              <w:spacing w:line="240" w:lineRule="auto" w:before="172"/>
              <w:ind w:left="55" w:right="0"/>
              <w:jc w:val="left"/>
              <w:rPr>
                <w:rFonts w:ascii="Swis721 BT" w:hAnsi="Swis721 BT" w:cs="Swis721 BT" w:eastAsia="Swis721 BT"/>
                <w:sz w:val="20"/>
                <w:szCs w:val="20"/>
              </w:rPr>
            </w:pPr>
            <w:r>
              <w:rPr>
                <w:rFonts w:ascii="Swis721 BT"/>
                <w:b/>
                <w:color w:val="00757A"/>
                <w:spacing w:val="-1"/>
                <w:sz w:val="20"/>
              </w:rPr>
              <w:t>MOVEMENTS</w:t>
            </w:r>
            <w:r>
              <w:rPr>
                <w:rFonts w:ascii="Swis721 BT"/>
                <w:sz w:val="20"/>
              </w:rPr>
            </w:r>
          </w:p>
        </w:tc>
        <w:tc>
          <w:tcPr>
            <w:tcW w:w="946" w:type="dxa"/>
            <w:tcBorders>
              <w:top w:val="single" w:sz="8" w:space="0" w:color="848B91"/>
              <w:left w:val="nil" w:sz="6" w:space="0" w:color="auto"/>
              <w:bottom w:val="nil" w:sz="6" w:space="0" w:color="auto"/>
              <w:right w:val="nil" w:sz="6" w:space="0" w:color="auto"/>
            </w:tcBorders>
          </w:tcPr>
          <w:p>
            <w:pPr/>
          </w:p>
        </w:tc>
        <w:tc>
          <w:tcPr>
            <w:tcW w:w="1018" w:type="dxa"/>
            <w:tcBorders>
              <w:top w:val="single" w:sz="8" w:space="0" w:color="848B91"/>
              <w:left w:val="nil" w:sz="6" w:space="0" w:color="auto"/>
              <w:bottom w:val="nil" w:sz="6" w:space="0" w:color="auto"/>
              <w:right w:val="nil" w:sz="6" w:space="0" w:color="auto"/>
            </w:tcBorders>
          </w:tcPr>
          <w:p>
            <w:pPr/>
          </w:p>
        </w:tc>
        <w:tc>
          <w:tcPr>
            <w:tcW w:w="917" w:type="dxa"/>
            <w:tcBorders>
              <w:top w:val="single" w:sz="8" w:space="0" w:color="848B91"/>
              <w:left w:val="nil" w:sz="6" w:space="0" w:color="auto"/>
              <w:bottom w:val="nil" w:sz="6" w:space="0" w:color="auto"/>
              <w:right w:val="nil" w:sz="6" w:space="0" w:color="auto"/>
            </w:tcBorders>
          </w:tcPr>
          <w:p>
            <w:pPr/>
          </w:p>
        </w:tc>
        <w:tc>
          <w:tcPr>
            <w:tcW w:w="1063" w:type="dxa"/>
            <w:tcBorders>
              <w:top w:val="single" w:sz="8" w:space="0" w:color="848B91"/>
              <w:left w:val="nil" w:sz="6" w:space="0" w:color="auto"/>
              <w:bottom w:val="nil" w:sz="6" w:space="0" w:color="auto"/>
              <w:right w:val="nil" w:sz="6" w:space="0" w:color="auto"/>
            </w:tcBorders>
          </w:tcPr>
          <w:p>
            <w:pPr/>
          </w:p>
        </w:tc>
        <w:tc>
          <w:tcPr>
            <w:tcW w:w="824" w:type="dxa"/>
            <w:tcBorders>
              <w:top w:val="single" w:sz="8" w:space="0" w:color="848B91"/>
              <w:left w:val="nil" w:sz="6" w:space="0" w:color="auto"/>
              <w:bottom w:val="nil" w:sz="6" w:space="0" w:color="auto"/>
              <w:right w:val="nil" w:sz="6" w:space="0" w:color="auto"/>
            </w:tcBorders>
          </w:tcPr>
          <w:p>
            <w:pPr/>
          </w:p>
        </w:tc>
        <w:tc>
          <w:tcPr>
            <w:tcW w:w="992" w:type="dxa"/>
            <w:tcBorders>
              <w:top w:val="single" w:sz="8" w:space="0" w:color="848B91"/>
              <w:left w:val="nil" w:sz="6" w:space="0" w:color="auto"/>
              <w:bottom w:val="nil" w:sz="6" w:space="0" w:color="auto"/>
              <w:right w:val="nil" w:sz="6" w:space="0" w:color="auto"/>
            </w:tcBorders>
          </w:tcPr>
          <w:p>
            <w:pPr/>
          </w:p>
        </w:tc>
      </w:tr>
      <w:tr>
        <w:trPr>
          <w:trHeight w:val="308" w:hRule="exact"/>
        </w:trPr>
        <w:tc>
          <w:tcPr>
            <w:tcW w:w="2296"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55" w:right="0"/>
              <w:jc w:val="left"/>
              <w:rPr>
                <w:rFonts w:ascii="Swis721 Lt BT" w:hAnsi="Swis721 Lt BT" w:cs="Swis721 Lt BT" w:eastAsia="Swis721 Lt BT"/>
                <w:sz w:val="18"/>
                <w:szCs w:val="18"/>
              </w:rPr>
            </w:pPr>
            <w:r>
              <w:rPr>
                <w:rFonts w:ascii="Swis721 Lt BT"/>
                <w:color w:val="231F20"/>
                <w:sz w:val="18"/>
              </w:rPr>
              <w:t>Purchase of assets</w:t>
            </w:r>
            <w:r>
              <w:rPr>
                <w:rFonts w:ascii="Swis721 Lt BT"/>
                <w:sz w:val="18"/>
              </w:rPr>
            </w:r>
          </w:p>
        </w:tc>
        <w:tc>
          <w:tcPr>
            <w:tcW w:w="946"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17" w:right="0"/>
              <w:jc w:val="left"/>
              <w:rPr>
                <w:rFonts w:ascii="Swis721 Lt BT" w:hAnsi="Swis721 Lt BT" w:cs="Swis721 Lt BT" w:eastAsia="Swis721 Lt BT"/>
                <w:sz w:val="18"/>
                <w:szCs w:val="18"/>
              </w:rPr>
            </w:pPr>
            <w:r>
              <w:rPr>
                <w:rFonts w:ascii="Swis721 Lt BT"/>
                <w:color w:val="231F20"/>
                <w:sz w:val="18"/>
              </w:rPr>
              <w:t>293,132</w:t>
            </w:r>
            <w:r>
              <w:rPr>
                <w:rFonts w:ascii="Swis721 Lt BT"/>
                <w:sz w:val="18"/>
              </w:rPr>
            </w:r>
          </w:p>
        </w:tc>
        <w:tc>
          <w:tcPr>
            <w:tcW w:w="1018"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327" w:right="0"/>
              <w:jc w:val="left"/>
              <w:rPr>
                <w:rFonts w:ascii="Swis721 Lt BT" w:hAnsi="Swis721 Lt BT" w:cs="Swis721 Lt BT" w:eastAsia="Swis721 Lt BT"/>
                <w:sz w:val="18"/>
                <w:szCs w:val="18"/>
              </w:rPr>
            </w:pPr>
            <w:r>
              <w:rPr>
                <w:rFonts w:ascii="Swis721 Lt BT"/>
                <w:color w:val="231F20"/>
                <w:sz w:val="18"/>
              </w:rPr>
              <w:t>20,454</w:t>
            </w:r>
            <w:r>
              <w:rPr>
                <w:rFonts w:ascii="Swis721 Lt BT"/>
                <w:sz w:val="18"/>
              </w:rPr>
            </w:r>
          </w:p>
        </w:tc>
        <w:tc>
          <w:tcPr>
            <w:tcW w:w="917"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88" w:right="0"/>
              <w:jc w:val="left"/>
              <w:rPr>
                <w:rFonts w:ascii="Swis721 Lt BT" w:hAnsi="Swis721 Lt BT" w:cs="Swis721 Lt BT" w:eastAsia="Swis721 Lt BT"/>
                <w:sz w:val="18"/>
                <w:szCs w:val="18"/>
              </w:rPr>
            </w:pPr>
            <w:r>
              <w:rPr>
                <w:rFonts w:ascii="Swis721 Lt BT"/>
                <w:color w:val="231F20"/>
                <w:sz w:val="18"/>
              </w:rPr>
              <w:t>76,900</w:t>
            </w:r>
            <w:r>
              <w:rPr>
                <w:rFonts w:ascii="Swis721 Lt BT"/>
                <w:sz w:val="18"/>
              </w:rPr>
            </w:r>
          </w:p>
        </w:tc>
        <w:tc>
          <w:tcPr>
            <w:tcW w:w="1063"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right="203"/>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824"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right="45"/>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992"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69" w:right="0"/>
              <w:jc w:val="left"/>
              <w:rPr>
                <w:rFonts w:ascii="Swis721 Lt BT" w:hAnsi="Swis721 Lt BT" w:cs="Swis721 Lt BT" w:eastAsia="Swis721 Lt BT"/>
                <w:sz w:val="18"/>
                <w:szCs w:val="18"/>
              </w:rPr>
            </w:pPr>
            <w:r>
              <w:rPr>
                <w:rFonts w:ascii="Swis721 Lt BT"/>
                <w:color w:val="231F20"/>
                <w:sz w:val="18"/>
              </w:rPr>
              <w:t>390,486</w:t>
            </w:r>
            <w:r>
              <w:rPr>
                <w:rFonts w:ascii="Swis721 Lt BT"/>
                <w:sz w:val="18"/>
              </w:rPr>
            </w:r>
          </w:p>
        </w:tc>
      </w:tr>
      <w:tr>
        <w:trPr>
          <w:trHeight w:val="329" w:hRule="exact"/>
        </w:trPr>
        <w:tc>
          <w:tcPr>
            <w:tcW w:w="229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z w:val="18"/>
              </w:rPr>
              <w:t>Assets written off or sold</w:t>
            </w:r>
            <w:r>
              <w:rPr>
                <w:rFonts w:ascii="Swis721 Lt BT"/>
                <w:sz w:val="18"/>
              </w:rPr>
            </w:r>
          </w:p>
        </w:tc>
        <w:tc>
          <w:tcPr>
            <w:tcW w:w="9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04"/>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1018"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08" w:right="0"/>
              <w:jc w:val="left"/>
              <w:rPr>
                <w:rFonts w:ascii="Swis721 Lt BT" w:hAnsi="Swis721 Lt BT" w:cs="Swis721 Lt BT" w:eastAsia="Swis721 Lt BT"/>
                <w:sz w:val="18"/>
                <w:szCs w:val="18"/>
              </w:rPr>
            </w:pPr>
            <w:r>
              <w:rPr>
                <w:rFonts w:ascii="Swis721 Lt BT"/>
                <w:color w:val="231F20"/>
                <w:sz w:val="18"/>
              </w:rPr>
              <w:t>(5,770)</w:t>
            </w:r>
            <w:r>
              <w:rPr>
                <w:rFonts w:ascii="Swis721 Lt BT"/>
                <w:sz w:val="18"/>
              </w:rPr>
            </w:r>
          </w:p>
        </w:tc>
        <w:tc>
          <w:tcPr>
            <w:tcW w:w="917"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99"/>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106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202"/>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8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46"/>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99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47" w:right="0"/>
              <w:jc w:val="left"/>
              <w:rPr>
                <w:rFonts w:ascii="Swis721 Lt BT" w:hAnsi="Swis721 Lt BT" w:cs="Swis721 Lt BT" w:eastAsia="Swis721 Lt BT"/>
                <w:sz w:val="18"/>
                <w:szCs w:val="18"/>
              </w:rPr>
            </w:pPr>
            <w:r>
              <w:rPr>
                <w:rFonts w:ascii="Swis721 Lt BT"/>
                <w:color w:val="231F20"/>
                <w:sz w:val="18"/>
              </w:rPr>
              <w:t>(5,770)</w:t>
            </w:r>
            <w:r>
              <w:rPr>
                <w:rFonts w:ascii="Swis721 Lt BT"/>
                <w:sz w:val="18"/>
              </w:rPr>
            </w:r>
          </w:p>
        </w:tc>
      </w:tr>
      <w:tr>
        <w:trPr>
          <w:trHeight w:val="329" w:hRule="exact"/>
        </w:trPr>
        <w:tc>
          <w:tcPr>
            <w:tcW w:w="229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z w:val="18"/>
              </w:rPr>
              <w:t>Present value adjustment</w:t>
            </w:r>
            <w:r>
              <w:rPr>
                <w:rFonts w:ascii="Swis721 Lt BT"/>
                <w:sz w:val="18"/>
              </w:rPr>
            </w:r>
          </w:p>
        </w:tc>
        <w:tc>
          <w:tcPr>
            <w:tcW w:w="94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04"/>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1018"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163"/>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917"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99"/>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106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1" w:right="0"/>
              <w:jc w:val="left"/>
              <w:rPr>
                <w:rFonts w:ascii="Swis721 Lt BT" w:hAnsi="Swis721 Lt BT" w:cs="Swis721 Lt BT" w:eastAsia="Swis721 Lt BT"/>
                <w:sz w:val="18"/>
                <w:szCs w:val="18"/>
              </w:rPr>
            </w:pPr>
            <w:r>
              <w:rPr>
                <w:rFonts w:ascii="Swis721 Lt BT"/>
                <w:color w:val="231F20"/>
                <w:sz w:val="18"/>
              </w:rPr>
              <w:t>10,936</w:t>
            </w:r>
            <w:r>
              <w:rPr>
                <w:rFonts w:ascii="Swis721 Lt BT"/>
                <w:sz w:val="18"/>
              </w:rPr>
            </w:r>
          </w:p>
        </w:tc>
        <w:tc>
          <w:tcPr>
            <w:tcW w:w="8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46"/>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99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64" w:right="0"/>
              <w:jc w:val="left"/>
              <w:rPr>
                <w:rFonts w:ascii="Swis721 Lt BT" w:hAnsi="Swis721 Lt BT" w:cs="Swis721 Lt BT" w:eastAsia="Swis721 Lt BT"/>
                <w:sz w:val="18"/>
                <w:szCs w:val="18"/>
              </w:rPr>
            </w:pPr>
            <w:r>
              <w:rPr>
                <w:rFonts w:ascii="Swis721 Lt BT"/>
                <w:color w:val="231F20"/>
                <w:sz w:val="18"/>
              </w:rPr>
              <w:t>10,936</w:t>
            </w:r>
            <w:r>
              <w:rPr>
                <w:rFonts w:ascii="Swis721 Lt BT"/>
                <w:sz w:val="18"/>
              </w:rPr>
            </w:r>
          </w:p>
        </w:tc>
      </w:tr>
      <w:tr>
        <w:trPr>
          <w:trHeight w:val="557" w:hRule="exact"/>
        </w:trPr>
        <w:tc>
          <w:tcPr>
            <w:tcW w:w="2296"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4" w:right="578"/>
              <w:jc w:val="left"/>
              <w:rPr>
                <w:rFonts w:ascii="Swis721 Lt BT" w:hAnsi="Swis721 Lt BT" w:cs="Swis721 Lt BT" w:eastAsia="Swis721 Lt BT"/>
                <w:sz w:val="18"/>
                <w:szCs w:val="18"/>
              </w:rPr>
            </w:pPr>
            <w:r>
              <w:rPr>
                <w:rFonts w:ascii="Swis721 Lt BT"/>
                <w:color w:val="231F20"/>
                <w:sz w:val="18"/>
              </w:rPr>
              <w:t>Depreciation and amortisation expense</w:t>
            </w:r>
            <w:r>
              <w:rPr>
                <w:rFonts w:ascii="Swis721 Lt BT"/>
                <w:sz w:val="18"/>
              </w:rPr>
            </w:r>
          </w:p>
        </w:tc>
        <w:tc>
          <w:tcPr>
            <w:tcW w:w="946" w:type="dxa"/>
            <w:tcBorders>
              <w:top w:val="single" w:sz="2" w:space="0" w:color="848B91"/>
              <w:left w:val="nil" w:sz="6" w:space="0" w:color="auto"/>
              <w:bottom w:val="single" w:sz="8" w:space="0" w:color="848B91"/>
              <w:right w:val="nil" w:sz="6" w:space="0" w:color="auto"/>
            </w:tcBorders>
          </w:tcPr>
          <w:p>
            <w:pPr>
              <w:pStyle w:val="TableParagraph"/>
              <w:spacing w:line="240" w:lineRule="auto" w:before="5"/>
              <w:ind w:right="0"/>
              <w:jc w:val="left"/>
              <w:rPr>
                <w:rFonts w:ascii="Swis721 Md BT" w:hAnsi="Swis721 Md BT" w:cs="Swis721 Md BT" w:eastAsia="Swis721 Md BT"/>
                <w:sz w:val="23"/>
                <w:szCs w:val="23"/>
              </w:rPr>
            </w:pPr>
          </w:p>
          <w:p>
            <w:pPr>
              <w:pStyle w:val="TableParagraph"/>
              <w:spacing w:line="240" w:lineRule="auto"/>
              <w:ind w:left="198" w:right="0"/>
              <w:jc w:val="left"/>
              <w:rPr>
                <w:rFonts w:ascii="Swis721 Lt BT" w:hAnsi="Swis721 Lt BT" w:cs="Swis721 Lt BT" w:eastAsia="Swis721 Lt BT"/>
                <w:sz w:val="18"/>
                <w:szCs w:val="18"/>
              </w:rPr>
            </w:pPr>
            <w:r>
              <w:rPr>
                <w:rFonts w:ascii="Swis721 Lt BT"/>
                <w:color w:val="231F20"/>
                <w:sz w:val="18"/>
              </w:rPr>
              <w:t>(61,637)</w:t>
            </w:r>
            <w:r>
              <w:rPr>
                <w:rFonts w:ascii="Swis721 Lt BT"/>
                <w:sz w:val="18"/>
              </w:rPr>
            </w:r>
          </w:p>
        </w:tc>
        <w:tc>
          <w:tcPr>
            <w:tcW w:w="1018" w:type="dxa"/>
            <w:tcBorders>
              <w:top w:val="single" w:sz="2" w:space="0" w:color="848B91"/>
              <w:left w:val="nil" w:sz="6" w:space="0" w:color="auto"/>
              <w:bottom w:val="single" w:sz="8" w:space="0" w:color="848B91"/>
              <w:right w:val="nil" w:sz="6" w:space="0" w:color="auto"/>
            </w:tcBorders>
          </w:tcPr>
          <w:p>
            <w:pPr>
              <w:pStyle w:val="TableParagraph"/>
              <w:spacing w:line="240" w:lineRule="auto" w:before="5"/>
              <w:ind w:right="0"/>
              <w:jc w:val="left"/>
              <w:rPr>
                <w:rFonts w:ascii="Swis721 Md BT" w:hAnsi="Swis721 Md BT" w:cs="Swis721 Md BT" w:eastAsia="Swis721 Md BT"/>
                <w:sz w:val="23"/>
                <w:szCs w:val="23"/>
              </w:rPr>
            </w:pPr>
          </w:p>
          <w:p>
            <w:pPr>
              <w:pStyle w:val="TableParagraph"/>
              <w:spacing w:line="240" w:lineRule="auto"/>
              <w:ind w:left="212" w:right="0"/>
              <w:jc w:val="left"/>
              <w:rPr>
                <w:rFonts w:ascii="Swis721 Lt BT" w:hAnsi="Swis721 Lt BT" w:cs="Swis721 Lt BT" w:eastAsia="Swis721 Lt BT"/>
                <w:sz w:val="18"/>
                <w:szCs w:val="18"/>
              </w:rPr>
            </w:pPr>
            <w:r>
              <w:rPr>
                <w:rFonts w:ascii="Swis721 Lt BT"/>
                <w:color w:val="231F20"/>
                <w:sz w:val="18"/>
              </w:rPr>
              <w:t>(99,218)</w:t>
            </w:r>
            <w:r>
              <w:rPr>
                <w:rFonts w:ascii="Swis721 Lt BT"/>
                <w:sz w:val="18"/>
              </w:rPr>
            </w:r>
          </w:p>
        </w:tc>
        <w:tc>
          <w:tcPr>
            <w:tcW w:w="917" w:type="dxa"/>
            <w:tcBorders>
              <w:top w:val="single" w:sz="2" w:space="0" w:color="848B91"/>
              <w:left w:val="nil" w:sz="6" w:space="0" w:color="auto"/>
              <w:bottom w:val="single" w:sz="8" w:space="0" w:color="848B91"/>
              <w:right w:val="nil" w:sz="6" w:space="0" w:color="auto"/>
            </w:tcBorders>
          </w:tcPr>
          <w:p>
            <w:pPr>
              <w:pStyle w:val="TableParagraph"/>
              <w:spacing w:line="240" w:lineRule="auto" w:before="5"/>
              <w:ind w:right="0"/>
              <w:jc w:val="left"/>
              <w:rPr>
                <w:rFonts w:ascii="Swis721 Md BT" w:hAnsi="Swis721 Md BT" w:cs="Swis721 Md BT" w:eastAsia="Swis721 Md BT"/>
                <w:sz w:val="23"/>
                <w:szCs w:val="23"/>
              </w:rPr>
            </w:pPr>
          </w:p>
          <w:p>
            <w:pPr>
              <w:pStyle w:val="TableParagraph"/>
              <w:spacing w:line="240" w:lineRule="auto"/>
              <w:ind w:left="174" w:right="0"/>
              <w:jc w:val="left"/>
              <w:rPr>
                <w:rFonts w:ascii="Swis721 Lt BT" w:hAnsi="Swis721 Lt BT" w:cs="Swis721 Lt BT" w:eastAsia="Swis721 Lt BT"/>
                <w:sz w:val="18"/>
                <w:szCs w:val="18"/>
              </w:rPr>
            </w:pPr>
            <w:r>
              <w:rPr>
                <w:rFonts w:ascii="Swis721 Lt BT"/>
                <w:color w:val="231F20"/>
                <w:sz w:val="18"/>
              </w:rPr>
              <w:t>(24,247)</w:t>
            </w:r>
            <w:r>
              <w:rPr>
                <w:rFonts w:ascii="Swis721 Lt BT"/>
                <w:sz w:val="18"/>
              </w:rPr>
            </w:r>
          </w:p>
        </w:tc>
        <w:tc>
          <w:tcPr>
            <w:tcW w:w="1063" w:type="dxa"/>
            <w:tcBorders>
              <w:top w:val="single" w:sz="2" w:space="0" w:color="848B91"/>
              <w:left w:val="nil" w:sz="6" w:space="0" w:color="auto"/>
              <w:bottom w:val="single" w:sz="8" w:space="0" w:color="848B91"/>
              <w:right w:val="nil" w:sz="6" w:space="0" w:color="auto"/>
            </w:tcBorders>
          </w:tcPr>
          <w:p>
            <w:pPr>
              <w:pStyle w:val="TableParagraph"/>
              <w:spacing w:line="240" w:lineRule="auto" w:before="5"/>
              <w:ind w:right="0"/>
              <w:jc w:val="left"/>
              <w:rPr>
                <w:rFonts w:ascii="Swis721 Md BT" w:hAnsi="Swis721 Md BT" w:cs="Swis721 Md BT" w:eastAsia="Swis721 Md BT"/>
                <w:sz w:val="23"/>
                <w:szCs w:val="23"/>
              </w:rPr>
            </w:pPr>
          </w:p>
          <w:p>
            <w:pPr>
              <w:pStyle w:val="TableParagraph"/>
              <w:spacing w:line="240" w:lineRule="auto"/>
              <w:ind w:left="217" w:right="0"/>
              <w:jc w:val="left"/>
              <w:rPr>
                <w:rFonts w:ascii="Swis721 Lt BT" w:hAnsi="Swis721 Lt BT" w:cs="Swis721 Lt BT" w:eastAsia="Swis721 Lt BT"/>
                <w:sz w:val="18"/>
                <w:szCs w:val="18"/>
              </w:rPr>
            </w:pPr>
            <w:r>
              <w:rPr>
                <w:rFonts w:ascii="Swis721 Lt BT"/>
                <w:color w:val="231F20"/>
                <w:sz w:val="18"/>
              </w:rPr>
              <w:t>(35,677)</w:t>
            </w:r>
            <w:r>
              <w:rPr>
                <w:rFonts w:ascii="Swis721 Lt BT"/>
                <w:sz w:val="18"/>
              </w:rPr>
            </w:r>
          </w:p>
        </w:tc>
        <w:tc>
          <w:tcPr>
            <w:tcW w:w="824" w:type="dxa"/>
            <w:tcBorders>
              <w:top w:val="single" w:sz="2" w:space="0" w:color="848B91"/>
              <w:left w:val="nil" w:sz="6" w:space="0" w:color="auto"/>
              <w:bottom w:val="single" w:sz="8" w:space="0" w:color="848B91"/>
              <w:right w:val="nil" w:sz="6" w:space="0" w:color="auto"/>
            </w:tcBorders>
          </w:tcPr>
          <w:p>
            <w:pPr>
              <w:pStyle w:val="TableParagraph"/>
              <w:spacing w:line="240" w:lineRule="auto" w:before="5"/>
              <w:ind w:right="0"/>
              <w:jc w:val="left"/>
              <w:rPr>
                <w:rFonts w:ascii="Swis721 Md BT" w:hAnsi="Swis721 Md BT" w:cs="Swis721 Md BT" w:eastAsia="Swis721 Md BT"/>
                <w:sz w:val="23"/>
                <w:szCs w:val="23"/>
              </w:rPr>
            </w:pPr>
          </w:p>
          <w:p>
            <w:pPr>
              <w:pStyle w:val="TableParagraph"/>
              <w:spacing w:line="240" w:lineRule="auto"/>
              <w:ind w:right="46"/>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992" w:type="dxa"/>
            <w:tcBorders>
              <w:top w:val="single" w:sz="2" w:space="0" w:color="848B91"/>
              <w:left w:val="nil" w:sz="6" w:space="0" w:color="auto"/>
              <w:bottom w:val="single" w:sz="8" w:space="0" w:color="848B91"/>
              <w:right w:val="nil" w:sz="6" w:space="0" w:color="auto"/>
            </w:tcBorders>
          </w:tcPr>
          <w:p>
            <w:pPr>
              <w:pStyle w:val="TableParagraph"/>
              <w:spacing w:line="240" w:lineRule="auto" w:before="5"/>
              <w:ind w:right="0"/>
              <w:jc w:val="left"/>
              <w:rPr>
                <w:rFonts w:ascii="Swis721 Md BT" w:hAnsi="Swis721 Md BT" w:cs="Swis721 Md BT" w:eastAsia="Swis721 Md BT"/>
                <w:sz w:val="23"/>
                <w:szCs w:val="23"/>
              </w:rPr>
            </w:pPr>
          </w:p>
          <w:p>
            <w:pPr>
              <w:pStyle w:val="TableParagraph"/>
              <w:spacing w:line="240" w:lineRule="auto"/>
              <w:ind w:left="154" w:right="0"/>
              <w:jc w:val="left"/>
              <w:rPr>
                <w:rFonts w:ascii="Swis721 Lt BT" w:hAnsi="Swis721 Lt BT" w:cs="Swis721 Lt BT" w:eastAsia="Swis721 Lt BT"/>
                <w:sz w:val="18"/>
                <w:szCs w:val="18"/>
              </w:rPr>
            </w:pPr>
            <w:r>
              <w:rPr>
                <w:rFonts w:ascii="Swis721 Lt BT"/>
                <w:color w:val="231F20"/>
                <w:sz w:val="18"/>
              </w:rPr>
              <w:t>(220,779)</w:t>
            </w:r>
            <w:r>
              <w:rPr>
                <w:rFonts w:ascii="Swis721 Lt BT"/>
                <w:sz w:val="18"/>
              </w:rPr>
            </w:r>
          </w:p>
        </w:tc>
      </w:tr>
      <w:tr>
        <w:trPr>
          <w:trHeight w:val="565" w:hRule="exact"/>
        </w:trPr>
        <w:tc>
          <w:tcPr>
            <w:tcW w:w="229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4" w:right="997"/>
              <w:jc w:val="left"/>
              <w:rPr>
                <w:rFonts w:ascii="Swis721 Md BT" w:hAnsi="Swis721 Md BT" w:cs="Swis721 Md BT" w:eastAsia="Swis721 Md BT"/>
                <w:sz w:val="18"/>
                <w:szCs w:val="18"/>
              </w:rPr>
            </w:pPr>
            <w:r>
              <w:rPr>
                <w:rFonts w:ascii="Swis721 Md BT"/>
                <w:color w:val="231F20"/>
                <w:sz w:val="18"/>
              </w:rPr>
              <w:t>Net book value 30 June 2019</w:t>
            </w:r>
            <w:r>
              <w:rPr>
                <w:rFonts w:ascii="Swis721 Md BT"/>
                <w:sz w:val="18"/>
              </w:rPr>
            </w:r>
          </w:p>
        </w:tc>
        <w:tc>
          <w:tcPr>
            <w:tcW w:w="946" w:type="dxa"/>
            <w:tcBorders>
              <w:top w:val="single" w:sz="8" w:space="0" w:color="848B91"/>
              <w:left w:val="nil" w:sz="6" w:space="0" w:color="auto"/>
              <w:bottom w:val="single" w:sz="8" w:space="0" w:color="848B91"/>
              <w:right w:val="nil" w:sz="6" w:space="0" w:color="auto"/>
            </w:tcBorders>
          </w:tcPr>
          <w:p>
            <w:pPr>
              <w:pStyle w:val="TableParagraph"/>
              <w:spacing w:line="240" w:lineRule="auto" w:before="6"/>
              <w:ind w:right="0"/>
              <w:jc w:val="left"/>
              <w:rPr>
                <w:rFonts w:ascii="Swis721 Md BT" w:hAnsi="Swis721 Md BT" w:cs="Swis721 Md BT" w:eastAsia="Swis721 Md BT"/>
                <w:sz w:val="22"/>
                <w:szCs w:val="22"/>
              </w:rPr>
            </w:pPr>
          </w:p>
          <w:p>
            <w:pPr>
              <w:pStyle w:val="TableParagraph"/>
              <w:spacing w:line="240" w:lineRule="auto"/>
              <w:ind w:left="186" w:right="0"/>
              <w:jc w:val="left"/>
              <w:rPr>
                <w:rFonts w:ascii="Swis721 Md BT" w:hAnsi="Swis721 Md BT" w:cs="Swis721 Md BT" w:eastAsia="Swis721 Md BT"/>
                <w:sz w:val="18"/>
                <w:szCs w:val="18"/>
              </w:rPr>
            </w:pPr>
            <w:r>
              <w:rPr>
                <w:rFonts w:ascii="Swis721 Md BT"/>
                <w:color w:val="231F20"/>
                <w:sz w:val="18"/>
              </w:rPr>
              <w:t>301,370</w:t>
            </w:r>
            <w:r>
              <w:rPr>
                <w:rFonts w:ascii="Swis721 Md BT"/>
                <w:sz w:val="18"/>
              </w:rPr>
            </w:r>
          </w:p>
        </w:tc>
        <w:tc>
          <w:tcPr>
            <w:tcW w:w="1018" w:type="dxa"/>
            <w:tcBorders>
              <w:top w:val="single" w:sz="8" w:space="0" w:color="848B91"/>
              <w:left w:val="nil" w:sz="6" w:space="0" w:color="auto"/>
              <w:bottom w:val="single" w:sz="8" w:space="0" w:color="848B91"/>
              <w:right w:val="nil" w:sz="6" w:space="0" w:color="auto"/>
            </w:tcBorders>
          </w:tcPr>
          <w:p>
            <w:pPr>
              <w:pStyle w:val="TableParagraph"/>
              <w:spacing w:line="240" w:lineRule="auto" w:before="6"/>
              <w:ind w:right="0"/>
              <w:jc w:val="left"/>
              <w:rPr>
                <w:rFonts w:ascii="Swis721 Md BT" w:hAnsi="Swis721 Md BT" w:cs="Swis721 Md BT" w:eastAsia="Swis721 Md BT"/>
                <w:sz w:val="22"/>
                <w:szCs w:val="22"/>
              </w:rPr>
            </w:pPr>
          </w:p>
          <w:p>
            <w:pPr>
              <w:pStyle w:val="TableParagraph"/>
              <w:spacing w:line="240" w:lineRule="auto"/>
              <w:ind w:left="200" w:right="0"/>
              <w:jc w:val="left"/>
              <w:rPr>
                <w:rFonts w:ascii="Swis721 Md BT" w:hAnsi="Swis721 Md BT" w:cs="Swis721 Md BT" w:eastAsia="Swis721 Md BT"/>
                <w:sz w:val="18"/>
                <w:szCs w:val="18"/>
              </w:rPr>
            </w:pPr>
            <w:r>
              <w:rPr>
                <w:rFonts w:ascii="Swis721 Md BT"/>
                <w:color w:val="231F20"/>
                <w:sz w:val="18"/>
              </w:rPr>
              <w:t>389,003</w:t>
            </w:r>
            <w:r>
              <w:rPr>
                <w:rFonts w:ascii="Swis721 Md BT"/>
                <w:sz w:val="18"/>
              </w:rPr>
            </w:r>
          </w:p>
        </w:tc>
        <w:tc>
          <w:tcPr>
            <w:tcW w:w="917" w:type="dxa"/>
            <w:tcBorders>
              <w:top w:val="single" w:sz="8" w:space="0" w:color="848B91"/>
              <w:left w:val="nil" w:sz="6" w:space="0" w:color="auto"/>
              <w:bottom w:val="single" w:sz="8" w:space="0" w:color="848B91"/>
              <w:right w:val="nil" w:sz="6" w:space="0" w:color="auto"/>
            </w:tcBorders>
          </w:tcPr>
          <w:p>
            <w:pPr>
              <w:pStyle w:val="TableParagraph"/>
              <w:spacing w:line="240" w:lineRule="auto" w:before="6"/>
              <w:ind w:right="0"/>
              <w:jc w:val="left"/>
              <w:rPr>
                <w:rFonts w:ascii="Swis721 Md BT" w:hAnsi="Swis721 Md BT" w:cs="Swis721 Md BT" w:eastAsia="Swis721 Md BT"/>
                <w:sz w:val="22"/>
                <w:szCs w:val="22"/>
              </w:rPr>
            </w:pPr>
          </w:p>
          <w:p>
            <w:pPr>
              <w:pStyle w:val="TableParagraph"/>
              <w:spacing w:line="240" w:lineRule="auto"/>
              <w:ind w:left="162" w:right="0"/>
              <w:jc w:val="left"/>
              <w:rPr>
                <w:rFonts w:ascii="Swis721 Md BT" w:hAnsi="Swis721 Md BT" w:cs="Swis721 Md BT" w:eastAsia="Swis721 Md BT"/>
                <w:sz w:val="18"/>
                <w:szCs w:val="18"/>
              </w:rPr>
            </w:pPr>
            <w:r>
              <w:rPr>
                <w:rFonts w:ascii="Swis721 Md BT"/>
                <w:color w:val="231F20"/>
                <w:sz w:val="18"/>
              </w:rPr>
              <w:t>152,753</w:t>
            </w:r>
            <w:r>
              <w:rPr>
                <w:rFonts w:ascii="Swis721 Md BT"/>
                <w:sz w:val="18"/>
              </w:rPr>
            </w:r>
          </w:p>
        </w:tc>
        <w:tc>
          <w:tcPr>
            <w:tcW w:w="1063" w:type="dxa"/>
            <w:tcBorders>
              <w:top w:val="single" w:sz="8" w:space="0" w:color="848B91"/>
              <w:left w:val="nil" w:sz="6" w:space="0" w:color="auto"/>
              <w:bottom w:val="single" w:sz="8" w:space="0" w:color="848B91"/>
              <w:right w:val="nil" w:sz="6" w:space="0" w:color="auto"/>
            </w:tcBorders>
          </w:tcPr>
          <w:p>
            <w:pPr>
              <w:pStyle w:val="TableParagraph"/>
              <w:spacing w:line="240" w:lineRule="auto" w:before="6"/>
              <w:ind w:right="0"/>
              <w:jc w:val="left"/>
              <w:rPr>
                <w:rFonts w:ascii="Swis721 Md BT" w:hAnsi="Swis721 Md BT" w:cs="Swis721 Md BT" w:eastAsia="Swis721 Md BT"/>
                <w:sz w:val="22"/>
                <w:szCs w:val="22"/>
              </w:rPr>
            </w:pPr>
          </w:p>
          <w:p>
            <w:pPr>
              <w:pStyle w:val="TableParagraph"/>
              <w:spacing w:line="240" w:lineRule="auto"/>
              <w:ind w:left="205" w:right="0"/>
              <w:jc w:val="left"/>
              <w:rPr>
                <w:rFonts w:ascii="Swis721 Md BT" w:hAnsi="Swis721 Md BT" w:cs="Swis721 Md BT" w:eastAsia="Swis721 Md BT"/>
                <w:sz w:val="18"/>
                <w:szCs w:val="18"/>
              </w:rPr>
            </w:pPr>
            <w:r>
              <w:rPr>
                <w:rFonts w:ascii="Swis721 Md BT"/>
                <w:color w:val="231F20"/>
                <w:sz w:val="18"/>
              </w:rPr>
              <w:t>112,257</w:t>
            </w:r>
            <w:r>
              <w:rPr>
                <w:rFonts w:ascii="Swis721 Md BT"/>
                <w:sz w:val="18"/>
              </w:rPr>
            </w:r>
          </w:p>
        </w:tc>
        <w:tc>
          <w:tcPr>
            <w:tcW w:w="824" w:type="dxa"/>
            <w:tcBorders>
              <w:top w:val="single" w:sz="8" w:space="0" w:color="848B91"/>
              <w:left w:val="nil" w:sz="6" w:space="0" w:color="auto"/>
              <w:bottom w:val="single" w:sz="8" w:space="0" w:color="848B91"/>
              <w:right w:val="nil" w:sz="6" w:space="0" w:color="auto"/>
            </w:tcBorders>
          </w:tcPr>
          <w:p>
            <w:pPr>
              <w:pStyle w:val="TableParagraph"/>
              <w:spacing w:line="240" w:lineRule="auto" w:before="6"/>
              <w:ind w:right="0"/>
              <w:jc w:val="left"/>
              <w:rPr>
                <w:rFonts w:ascii="Swis721 Md BT" w:hAnsi="Swis721 Md BT" w:cs="Swis721 Md BT" w:eastAsia="Swis721 Md BT"/>
                <w:sz w:val="22"/>
                <w:szCs w:val="22"/>
              </w:rPr>
            </w:pPr>
          </w:p>
          <w:p>
            <w:pPr>
              <w:pStyle w:val="TableParagraph"/>
              <w:spacing w:line="240" w:lineRule="auto"/>
              <w:ind w:left="203" w:right="0"/>
              <w:jc w:val="left"/>
              <w:rPr>
                <w:rFonts w:ascii="Swis721 Md BT" w:hAnsi="Swis721 Md BT" w:cs="Swis721 Md BT" w:eastAsia="Swis721 Md BT"/>
                <w:sz w:val="18"/>
                <w:szCs w:val="18"/>
              </w:rPr>
            </w:pPr>
            <w:r>
              <w:rPr>
                <w:rFonts w:ascii="Swis721 Md BT"/>
                <w:color w:val="231F20"/>
                <w:sz w:val="18"/>
              </w:rPr>
              <w:t>12,000</w:t>
            </w:r>
            <w:r>
              <w:rPr>
                <w:rFonts w:ascii="Swis721 Md BT"/>
                <w:sz w:val="18"/>
              </w:rPr>
            </w:r>
          </w:p>
        </w:tc>
        <w:tc>
          <w:tcPr>
            <w:tcW w:w="992" w:type="dxa"/>
            <w:tcBorders>
              <w:top w:val="single" w:sz="8" w:space="0" w:color="848B91"/>
              <w:left w:val="nil" w:sz="6" w:space="0" w:color="auto"/>
              <w:bottom w:val="single" w:sz="8" w:space="0" w:color="848B91"/>
              <w:right w:val="nil" w:sz="6" w:space="0" w:color="auto"/>
            </w:tcBorders>
          </w:tcPr>
          <w:p>
            <w:pPr>
              <w:pStyle w:val="TableParagraph"/>
              <w:spacing w:line="240" w:lineRule="auto" w:before="6"/>
              <w:ind w:right="0"/>
              <w:jc w:val="left"/>
              <w:rPr>
                <w:rFonts w:ascii="Swis721 Md BT" w:hAnsi="Swis721 Md BT" w:cs="Swis721 Md BT" w:eastAsia="Swis721 Md BT"/>
                <w:sz w:val="22"/>
                <w:szCs w:val="22"/>
              </w:rPr>
            </w:pPr>
          </w:p>
          <w:p>
            <w:pPr>
              <w:pStyle w:val="TableParagraph"/>
              <w:spacing w:line="240" w:lineRule="auto"/>
              <w:ind w:left="219" w:right="0"/>
              <w:jc w:val="left"/>
              <w:rPr>
                <w:rFonts w:ascii="Swis721 Md BT" w:hAnsi="Swis721 Md BT" w:cs="Swis721 Md BT" w:eastAsia="Swis721 Md BT"/>
                <w:sz w:val="18"/>
                <w:szCs w:val="18"/>
              </w:rPr>
            </w:pPr>
            <w:r>
              <w:rPr>
                <w:rFonts w:ascii="Swis721 Md BT"/>
                <w:color w:val="231F20"/>
                <w:sz w:val="18"/>
              </w:rPr>
              <w:t>967,383</w:t>
            </w:r>
            <w:r>
              <w:rPr>
                <w:rFonts w:ascii="Swis721 Md BT"/>
                <w:sz w:val="18"/>
              </w:rPr>
            </w:r>
          </w:p>
        </w:tc>
      </w:tr>
      <w:tr>
        <w:trPr>
          <w:trHeight w:val="477" w:hRule="exact"/>
        </w:trPr>
        <w:tc>
          <w:tcPr>
            <w:tcW w:w="8055" w:type="dxa"/>
            <w:gridSpan w:val="7"/>
            <w:tcBorders>
              <w:top w:val="nil" w:sz="6" w:space="0" w:color="auto"/>
              <w:left w:val="nil" w:sz="6" w:space="0" w:color="auto"/>
              <w:bottom w:val="nil" w:sz="6" w:space="0" w:color="auto"/>
              <w:right w:val="nil" w:sz="6" w:space="0" w:color="auto"/>
            </w:tcBorders>
          </w:tcPr>
          <w:p>
            <w:pPr>
              <w:pStyle w:val="TableParagraph"/>
              <w:spacing w:line="240" w:lineRule="auto" w:before="172"/>
              <w:ind w:left="55" w:right="0"/>
              <w:jc w:val="left"/>
              <w:rPr>
                <w:rFonts w:ascii="Swis721 BT" w:hAnsi="Swis721 BT" w:cs="Swis721 BT" w:eastAsia="Swis721 BT"/>
                <w:sz w:val="20"/>
                <w:szCs w:val="20"/>
              </w:rPr>
            </w:pPr>
            <w:r>
              <w:rPr>
                <w:rFonts w:ascii="Swis721 BT"/>
                <w:b/>
                <w:color w:val="00757A"/>
                <w:sz w:val="20"/>
              </w:rPr>
              <w:t>NET BOOK </w:t>
            </w:r>
            <w:r>
              <w:rPr>
                <w:rFonts w:ascii="Swis721 BT"/>
                <w:b/>
                <w:color w:val="00757A"/>
                <w:spacing w:val="-2"/>
                <w:sz w:val="20"/>
              </w:rPr>
              <w:t>VALUE</w:t>
            </w:r>
            <w:r>
              <w:rPr>
                <w:rFonts w:ascii="Swis721 BT"/>
                <w:b/>
                <w:color w:val="00757A"/>
                <w:sz w:val="20"/>
              </w:rPr>
              <w:t> AS OF 30 JUNE 2019 REPRESENTED </w:t>
            </w:r>
            <w:r>
              <w:rPr>
                <w:rFonts w:ascii="Swis721 BT"/>
                <w:b/>
                <w:color w:val="00757A"/>
                <w:spacing w:val="-10"/>
                <w:sz w:val="20"/>
              </w:rPr>
              <w:t>BY:</w:t>
            </w:r>
            <w:r>
              <w:rPr>
                <w:rFonts w:ascii="Swis721 BT"/>
                <w:sz w:val="20"/>
              </w:rPr>
            </w:r>
          </w:p>
        </w:tc>
      </w:tr>
      <w:tr>
        <w:trPr>
          <w:trHeight w:val="308" w:hRule="exact"/>
        </w:trPr>
        <w:tc>
          <w:tcPr>
            <w:tcW w:w="2296"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55" w:right="0"/>
              <w:jc w:val="left"/>
              <w:rPr>
                <w:rFonts w:ascii="Swis721 Lt BT" w:hAnsi="Swis721 Lt BT" w:cs="Swis721 Lt BT" w:eastAsia="Swis721 Lt BT"/>
                <w:sz w:val="18"/>
                <w:szCs w:val="18"/>
              </w:rPr>
            </w:pPr>
            <w:r>
              <w:rPr>
                <w:rFonts w:ascii="Swis721 Lt BT"/>
                <w:color w:val="231F20"/>
                <w:sz w:val="18"/>
              </w:rPr>
              <w:t>Gross book value</w:t>
            </w:r>
            <w:r>
              <w:rPr>
                <w:rFonts w:ascii="Swis721 Lt BT"/>
                <w:sz w:val="18"/>
              </w:rPr>
            </w:r>
          </w:p>
        </w:tc>
        <w:tc>
          <w:tcPr>
            <w:tcW w:w="946"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17" w:right="0"/>
              <w:jc w:val="left"/>
              <w:rPr>
                <w:rFonts w:ascii="Swis721 Lt BT" w:hAnsi="Swis721 Lt BT" w:cs="Swis721 Lt BT" w:eastAsia="Swis721 Lt BT"/>
                <w:sz w:val="18"/>
                <w:szCs w:val="18"/>
              </w:rPr>
            </w:pPr>
            <w:r>
              <w:rPr>
                <w:rFonts w:ascii="Swis721 Lt BT"/>
                <w:color w:val="231F20"/>
                <w:sz w:val="18"/>
              </w:rPr>
              <w:t>755,281</w:t>
            </w:r>
            <w:r>
              <w:rPr>
                <w:rFonts w:ascii="Swis721 Lt BT"/>
                <w:sz w:val="18"/>
              </w:rPr>
            </w:r>
          </w:p>
        </w:tc>
        <w:tc>
          <w:tcPr>
            <w:tcW w:w="1018"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31" w:right="0"/>
              <w:jc w:val="left"/>
              <w:rPr>
                <w:rFonts w:ascii="Swis721 Lt BT" w:hAnsi="Swis721 Lt BT" w:cs="Swis721 Lt BT" w:eastAsia="Swis721 Lt BT"/>
                <w:sz w:val="18"/>
                <w:szCs w:val="18"/>
              </w:rPr>
            </w:pPr>
            <w:r>
              <w:rPr>
                <w:rFonts w:ascii="Swis721 Lt BT"/>
                <w:color w:val="231F20"/>
                <w:sz w:val="18"/>
              </w:rPr>
              <w:t>960,638</w:t>
            </w:r>
            <w:r>
              <w:rPr>
                <w:rFonts w:ascii="Swis721 Lt BT"/>
                <w:sz w:val="18"/>
              </w:rPr>
            </w:r>
          </w:p>
        </w:tc>
        <w:tc>
          <w:tcPr>
            <w:tcW w:w="917"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193" w:right="0"/>
              <w:jc w:val="left"/>
              <w:rPr>
                <w:rFonts w:ascii="Swis721 Lt BT" w:hAnsi="Swis721 Lt BT" w:cs="Swis721 Lt BT" w:eastAsia="Swis721 Lt BT"/>
                <w:sz w:val="18"/>
                <w:szCs w:val="18"/>
              </w:rPr>
            </w:pPr>
            <w:r>
              <w:rPr>
                <w:rFonts w:ascii="Swis721 Lt BT"/>
                <w:color w:val="231F20"/>
                <w:sz w:val="18"/>
              </w:rPr>
              <w:t>177,000</w:t>
            </w:r>
            <w:r>
              <w:rPr>
                <w:rFonts w:ascii="Swis721 Lt BT"/>
                <w:sz w:val="18"/>
              </w:rPr>
            </w:r>
          </w:p>
        </w:tc>
        <w:tc>
          <w:tcPr>
            <w:tcW w:w="1063"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36" w:right="0"/>
              <w:jc w:val="left"/>
              <w:rPr>
                <w:rFonts w:ascii="Swis721 Lt BT" w:hAnsi="Swis721 Lt BT" w:cs="Swis721 Lt BT" w:eastAsia="Swis721 Lt BT"/>
                <w:sz w:val="18"/>
                <w:szCs w:val="18"/>
              </w:rPr>
            </w:pPr>
            <w:r>
              <w:rPr>
                <w:rFonts w:ascii="Swis721 Lt BT"/>
                <w:color w:val="231F20"/>
                <w:sz w:val="18"/>
              </w:rPr>
              <w:t>299,353</w:t>
            </w:r>
            <w:r>
              <w:rPr>
                <w:rFonts w:ascii="Swis721 Lt BT"/>
                <w:sz w:val="18"/>
              </w:rPr>
            </w:r>
          </w:p>
        </w:tc>
        <w:tc>
          <w:tcPr>
            <w:tcW w:w="824"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49" w:right="0"/>
              <w:jc w:val="left"/>
              <w:rPr>
                <w:rFonts w:ascii="Swis721 Lt BT" w:hAnsi="Swis721 Lt BT" w:cs="Swis721 Lt BT" w:eastAsia="Swis721 Lt BT"/>
                <w:sz w:val="18"/>
                <w:szCs w:val="18"/>
              </w:rPr>
            </w:pPr>
            <w:r>
              <w:rPr>
                <w:rFonts w:ascii="Swis721 Lt BT"/>
                <w:color w:val="231F20"/>
                <w:sz w:val="18"/>
              </w:rPr>
              <w:t>12,000</w:t>
            </w:r>
            <w:r>
              <w:rPr>
                <w:rFonts w:ascii="Swis721 Lt BT"/>
                <w:sz w:val="18"/>
              </w:rPr>
            </w:r>
          </w:p>
        </w:tc>
        <w:tc>
          <w:tcPr>
            <w:tcW w:w="992"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126" w:right="0"/>
              <w:jc w:val="left"/>
              <w:rPr>
                <w:rFonts w:ascii="Swis721 Lt BT" w:hAnsi="Swis721 Lt BT" w:cs="Swis721 Lt BT" w:eastAsia="Swis721 Lt BT"/>
                <w:sz w:val="18"/>
                <w:szCs w:val="18"/>
              </w:rPr>
            </w:pPr>
            <w:r>
              <w:rPr>
                <w:rFonts w:ascii="Swis721 Lt BT"/>
                <w:color w:val="231F20"/>
                <w:sz w:val="18"/>
              </w:rPr>
              <w:t>2,204,272</w:t>
            </w:r>
            <w:r>
              <w:rPr>
                <w:rFonts w:ascii="Swis721 Lt BT"/>
                <w:sz w:val="18"/>
              </w:rPr>
            </w:r>
          </w:p>
        </w:tc>
      </w:tr>
      <w:tr>
        <w:trPr>
          <w:trHeight w:val="341" w:hRule="exact"/>
        </w:trPr>
        <w:tc>
          <w:tcPr>
            <w:tcW w:w="2296"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z w:val="18"/>
              </w:rPr>
              <w:t>Accumulated depreciation</w:t>
            </w:r>
            <w:r>
              <w:rPr>
                <w:rFonts w:ascii="Swis721 Lt BT"/>
                <w:sz w:val="18"/>
              </w:rPr>
            </w:r>
          </w:p>
        </w:tc>
        <w:tc>
          <w:tcPr>
            <w:tcW w:w="946"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03" w:right="0"/>
              <w:jc w:val="left"/>
              <w:rPr>
                <w:rFonts w:ascii="Swis721 Lt BT" w:hAnsi="Swis721 Lt BT" w:cs="Swis721 Lt BT" w:eastAsia="Swis721 Lt BT"/>
                <w:sz w:val="18"/>
                <w:szCs w:val="18"/>
              </w:rPr>
            </w:pPr>
            <w:r>
              <w:rPr>
                <w:rFonts w:ascii="Swis721 Lt BT"/>
                <w:color w:val="231F20"/>
                <w:sz w:val="18"/>
              </w:rPr>
              <w:t>(453,911)</w:t>
            </w:r>
            <w:r>
              <w:rPr>
                <w:rFonts w:ascii="Swis721 Lt BT"/>
                <w:sz w:val="18"/>
              </w:rPr>
            </w:r>
          </w:p>
        </w:tc>
        <w:tc>
          <w:tcPr>
            <w:tcW w:w="1018"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17" w:right="0"/>
              <w:jc w:val="left"/>
              <w:rPr>
                <w:rFonts w:ascii="Swis721 Lt BT" w:hAnsi="Swis721 Lt BT" w:cs="Swis721 Lt BT" w:eastAsia="Swis721 Lt BT"/>
                <w:sz w:val="18"/>
                <w:szCs w:val="18"/>
              </w:rPr>
            </w:pPr>
            <w:r>
              <w:rPr>
                <w:rFonts w:ascii="Swis721 Lt BT"/>
                <w:color w:val="231F20"/>
                <w:sz w:val="18"/>
              </w:rPr>
              <w:t>(571,635)</w:t>
            </w:r>
            <w:r>
              <w:rPr>
                <w:rFonts w:ascii="Swis721 Lt BT"/>
                <w:sz w:val="18"/>
              </w:rPr>
            </w:r>
          </w:p>
        </w:tc>
        <w:tc>
          <w:tcPr>
            <w:tcW w:w="917"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74" w:right="0"/>
              <w:jc w:val="left"/>
              <w:rPr>
                <w:rFonts w:ascii="Swis721 Lt BT" w:hAnsi="Swis721 Lt BT" w:cs="Swis721 Lt BT" w:eastAsia="Swis721 Lt BT"/>
                <w:sz w:val="18"/>
                <w:szCs w:val="18"/>
              </w:rPr>
            </w:pPr>
            <w:r>
              <w:rPr>
                <w:rFonts w:ascii="Swis721 Lt BT"/>
                <w:color w:val="231F20"/>
                <w:sz w:val="18"/>
              </w:rPr>
              <w:t>(24,247)</w:t>
            </w:r>
            <w:r>
              <w:rPr>
                <w:rFonts w:ascii="Swis721 Lt BT"/>
                <w:sz w:val="18"/>
              </w:rPr>
            </w:r>
          </w:p>
        </w:tc>
        <w:tc>
          <w:tcPr>
            <w:tcW w:w="106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22" w:right="0"/>
              <w:jc w:val="left"/>
              <w:rPr>
                <w:rFonts w:ascii="Swis721 Lt BT" w:hAnsi="Swis721 Lt BT" w:cs="Swis721 Lt BT" w:eastAsia="Swis721 Lt BT"/>
                <w:sz w:val="18"/>
                <w:szCs w:val="18"/>
              </w:rPr>
            </w:pPr>
            <w:r>
              <w:rPr>
                <w:rFonts w:ascii="Swis721 Lt BT"/>
                <w:color w:val="231F20"/>
                <w:sz w:val="18"/>
              </w:rPr>
              <w:t>(187,096)</w:t>
            </w:r>
            <w:r>
              <w:rPr>
                <w:rFonts w:ascii="Swis721 Lt BT"/>
                <w:sz w:val="18"/>
              </w:rPr>
            </w:r>
          </w:p>
        </w:tc>
        <w:tc>
          <w:tcPr>
            <w:tcW w:w="824"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right="46"/>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992"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47" w:right="0"/>
              <w:jc w:val="left"/>
              <w:rPr>
                <w:rFonts w:ascii="Swis721 Lt BT" w:hAnsi="Swis721 Lt BT" w:cs="Swis721 Lt BT" w:eastAsia="Swis721 Lt BT"/>
                <w:sz w:val="18"/>
                <w:szCs w:val="18"/>
              </w:rPr>
            </w:pPr>
            <w:r>
              <w:rPr>
                <w:rFonts w:ascii="Swis721 Lt BT"/>
                <w:color w:val="231F20"/>
                <w:sz w:val="18"/>
              </w:rPr>
              <w:t>(1,236,889)</w:t>
            </w:r>
            <w:r>
              <w:rPr>
                <w:rFonts w:ascii="Swis721 Lt BT"/>
                <w:sz w:val="18"/>
              </w:rPr>
            </w:r>
          </w:p>
        </w:tc>
      </w:tr>
      <w:tr>
        <w:trPr>
          <w:trHeight w:val="349" w:hRule="exact"/>
        </w:trPr>
        <w:tc>
          <w:tcPr>
            <w:tcW w:w="229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5" w:right="0"/>
              <w:jc w:val="left"/>
              <w:rPr>
                <w:rFonts w:ascii="Swis721 Md BT" w:hAnsi="Swis721 Md BT" w:cs="Swis721 Md BT" w:eastAsia="Swis721 Md BT"/>
                <w:sz w:val="18"/>
                <w:szCs w:val="18"/>
              </w:rPr>
            </w:pPr>
            <w:r>
              <w:rPr>
                <w:rFonts w:ascii="Swis721 Md BT"/>
                <w:color w:val="231F20"/>
                <w:sz w:val="18"/>
              </w:rPr>
              <w:t>Closing net book value</w:t>
            </w:r>
            <w:r>
              <w:rPr>
                <w:rFonts w:ascii="Swis721 Md BT"/>
                <w:sz w:val="18"/>
              </w:rPr>
            </w:r>
          </w:p>
        </w:tc>
        <w:tc>
          <w:tcPr>
            <w:tcW w:w="94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87" w:right="0"/>
              <w:jc w:val="left"/>
              <w:rPr>
                <w:rFonts w:ascii="Swis721 Md BT" w:hAnsi="Swis721 Md BT" w:cs="Swis721 Md BT" w:eastAsia="Swis721 Md BT"/>
                <w:sz w:val="18"/>
                <w:szCs w:val="18"/>
              </w:rPr>
            </w:pPr>
            <w:r>
              <w:rPr>
                <w:rFonts w:ascii="Swis721 Md BT"/>
                <w:color w:val="231F20"/>
                <w:sz w:val="18"/>
              </w:rPr>
              <w:t>301,370</w:t>
            </w:r>
            <w:r>
              <w:rPr>
                <w:rFonts w:ascii="Swis721 Md BT"/>
                <w:sz w:val="18"/>
              </w:rPr>
            </w:r>
          </w:p>
        </w:tc>
        <w:tc>
          <w:tcPr>
            <w:tcW w:w="1018"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01" w:right="0"/>
              <w:jc w:val="left"/>
              <w:rPr>
                <w:rFonts w:ascii="Swis721 Md BT" w:hAnsi="Swis721 Md BT" w:cs="Swis721 Md BT" w:eastAsia="Swis721 Md BT"/>
                <w:sz w:val="18"/>
                <w:szCs w:val="18"/>
              </w:rPr>
            </w:pPr>
            <w:r>
              <w:rPr>
                <w:rFonts w:ascii="Swis721 Md BT"/>
                <w:color w:val="231F20"/>
                <w:sz w:val="18"/>
              </w:rPr>
              <w:t>389,003</w:t>
            </w:r>
            <w:r>
              <w:rPr>
                <w:rFonts w:ascii="Swis721 Md BT"/>
                <w:sz w:val="18"/>
              </w:rPr>
            </w:r>
          </w:p>
        </w:tc>
        <w:tc>
          <w:tcPr>
            <w:tcW w:w="917"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63" w:right="0"/>
              <w:jc w:val="left"/>
              <w:rPr>
                <w:rFonts w:ascii="Swis721 Md BT" w:hAnsi="Swis721 Md BT" w:cs="Swis721 Md BT" w:eastAsia="Swis721 Md BT"/>
                <w:sz w:val="18"/>
                <w:szCs w:val="18"/>
              </w:rPr>
            </w:pPr>
            <w:r>
              <w:rPr>
                <w:rFonts w:ascii="Swis721 Md BT"/>
                <w:color w:val="231F20"/>
                <w:sz w:val="18"/>
              </w:rPr>
              <w:t>152,753</w:t>
            </w:r>
            <w:r>
              <w:rPr>
                <w:rFonts w:ascii="Swis721 Md BT"/>
                <w:sz w:val="18"/>
              </w:rPr>
            </w:r>
          </w:p>
        </w:tc>
        <w:tc>
          <w:tcPr>
            <w:tcW w:w="106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06" w:right="0"/>
              <w:jc w:val="left"/>
              <w:rPr>
                <w:rFonts w:ascii="Swis721 Md BT" w:hAnsi="Swis721 Md BT" w:cs="Swis721 Md BT" w:eastAsia="Swis721 Md BT"/>
                <w:sz w:val="18"/>
                <w:szCs w:val="18"/>
              </w:rPr>
            </w:pPr>
            <w:r>
              <w:rPr>
                <w:rFonts w:ascii="Swis721 Md BT"/>
                <w:color w:val="231F20"/>
                <w:sz w:val="18"/>
              </w:rPr>
              <w:t>112,257</w:t>
            </w:r>
            <w:r>
              <w:rPr>
                <w:rFonts w:ascii="Swis721 Md BT"/>
                <w:sz w:val="18"/>
              </w:rPr>
            </w:r>
          </w:p>
        </w:tc>
        <w:tc>
          <w:tcPr>
            <w:tcW w:w="824"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03" w:right="0"/>
              <w:jc w:val="left"/>
              <w:rPr>
                <w:rFonts w:ascii="Swis721 Md BT" w:hAnsi="Swis721 Md BT" w:cs="Swis721 Md BT" w:eastAsia="Swis721 Md BT"/>
                <w:sz w:val="18"/>
                <w:szCs w:val="18"/>
              </w:rPr>
            </w:pPr>
            <w:r>
              <w:rPr>
                <w:rFonts w:ascii="Swis721 Md BT"/>
                <w:color w:val="231F20"/>
                <w:sz w:val="18"/>
              </w:rPr>
              <w:t>12,000</w:t>
            </w:r>
            <w:r>
              <w:rPr>
                <w:rFonts w:ascii="Swis721 Md BT"/>
                <w:sz w:val="18"/>
              </w:rPr>
            </w:r>
          </w:p>
        </w:tc>
        <w:tc>
          <w:tcPr>
            <w:tcW w:w="99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20" w:right="0"/>
              <w:jc w:val="left"/>
              <w:rPr>
                <w:rFonts w:ascii="Swis721 Md BT" w:hAnsi="Swis721 Md BT" w:cs="Swis721 Md BT" w:eastAsia="Swis721 Md BT"/>
                <w:sz w:val="18"/>
                <w:szCs w:val="18"/>
              </w:rPr>
            </w:pPr>
            <w:r>
              <w:rPr>
                <w:rFonts w:ascii="Swis721 Md BT"/>
                <w:color w:val="231F20"/>
                <w:sz w:val="18"/>
              </w:rPr>
              <w:t>967,383</w:t>
            </w:r>
            <w:r>
              <w:rPr>
                <w:rFonts w:ascii="Swis721 Md BT"/>
                <w:sz w:val="18"/>
              </w:rPr>
            </w:r>
          </w:p>
        </w:tc>
      </w:tr>
    </w:tbl>
    <w:p>
      <w:pPr>
        <w:spacing w:after="0" w:line="240" w:lineRule="auto"/>
        <w:jc w:val="left"/>
        <w:rPr>
          <w:rFonts w:ascii="Swis721 Md BT" w:hAnsi="Swis721 Md BT" w:cs="Swis721 Md BT" w:eastAsia="Swis721 Md BT"/>
          <w:sz w:val="18"/>
          <w:szCs w:val="18"/>
        </w:rPr>
        <w:sectPr>
          <w:pgSz w:w="9980" w:h="14180"/>
          <w:pgMar w:header="0" w:footer="452" w:top="360" w:bottom="640" w:left="960" w:right="740"/>
        </w:sectPr>
      </w:pPr>
    </w:p>
    <w:p>
      <w:pPr>
        <w:spacing w:before="42"/>
        <w:ind w:left="110" w:right="0" w:firstLine="0"/>
        <w:jc w:val="left"/>
        <w:rPr>
          <w:rFonts w:ascii="Swis721 Lt BT" w:hAnsi="Swis721 Lt BT" w:cs="Swis721 Lt BT" w:eastAsia="Swis721 Lt BT"/>
          <w:sz w:val="24"/>
          <w:szCs w:val="24"/>
        </w:rPr>
      </w:pPr>
      <w:r>
        <w:rPr>
          <w:rFonts w:ascii="Swis721 Hv BT"/>
          <w:b/>
          <w:color w:val="005E63"/>
          <w:sz w:val="24"/>
        </w:rPr>
        <w:t>NOTE</w:t>
      </w:r>
      <w:r>
        <w:rPr>
          <w:rFonts w:ascii="Swis721 Hv BT"/>
          <w:b/>
          <w:color w:val="005E63"/>
          <w:spacing w:val="-2"/>
          <w:sz w:val="24"/>
        </w:rPr>
        <w:t> </w:t>
      </w:r>
      <w:r>
        <w:rPr>
          <w:rFonts w:ascii="Swis721 Hv BT"/>
          <w:b/>
          <w:color w:val="005E63"/>
          <w:sz w:val="24"/>
        </w:rPr>
        <w:t>4.</w:t>
      </w:r>
      <w:r>
        <w:rPr>
          <w:rFonts w:ascii="Swis721 Hv BT"/>
          <w:b/>
          <w:color w:val="005E63"/>
          <w:spacing w:val="-8"/>
          <w:sz w:val="24"/>
        </w:rPr>
        <w:t> </w:t>
      </w:r>
      <w:r>
        <w:rPr>
          <w:rFonts w:ascii="Swis721 BT"/>
          <w:color w:val="005E63"/>
          <w:sz w:val="24"/>
        </w:rPr>
        <w:t>NON-CURRENT</w:t>
      </w:r>
      <w:r>
        <w:rPr>
          <w:rFonts w:ascii="Swis721 BT"/>
          <w:color w:val="005E63"/>
          <w:spacing w:val="-2"/>
          <w:sz w:val="24"/>
        </w:rPr>
        <w:t> </w:t>
      </w:r>
      <w:r>
        <w:rPr>
          <w:rFonts w:ascii="Swis721 BT"/>
          <w:color w:val="005E63"/>
          <w:sz w:val="24"/>
        </w:rPr>
        <w:t>ASSETS</w:t>
      </w:r>
      <w:r>
        <w:rPr>
          <w:rFonts w:ascii="Swis721 BT"/>
          <w:color w:val="005E63"/>
          <w:spacing w:val="-1"/>
          <w:sz w:val="24"/>
        </w:rPr>
        <w:t> </w:t>
      </w:r>
      <w:r>
        <w:rPr>
          <w:rFonts w:ascii="Swis721 Lt BT"/>
          <w:color w:val="005E63"/>
          <w:sz w:val="24"/>
        </w:rPr>
        <w:t>CONTINUED</w:t>
      </w:r>
      <w:r>
        <w:rPr>
          <w:rFonts w:ascii="Swis721 Lt BT"/>
          <w:sz w:val="24"/>
        </w:rPr>
      </w:r>
    </w:p>
    <w:p>
      <w:pPr>
        <w:spacing w:line="240" w:lineRule="auto" w:before="3"/>
        <w:rPr>
          <w:rFonts w:ascii="Swis721 Lt BT" w:hAnsi="Swis721 Lt BT" w:cs="Swis721 Lt BT" w:eastAsia="Swis721 Lt BT"/>
          <w:sz w:val="22"/>
          <w:szCs w:val="22"/>
        </w:rPr>
      </w:pPr>
    </w:p>
    <w:p>
      <w:pPr>
        <w:pStyle w:val="Heading8"/>
        <w:spacing w:line="240" w:lineRule="auto" w:before="65"/>
        <w:ind w:left="226" w:right="0"/>
        <w:jc w:val="left"/>
      </w:pPr>
      <w:r>
        <w:rPr>
          <w:color w:val="00757A"/>
        </w:rPr>
        <w:t>Accounting </w:t>
      </w:r>
      <w:r>
        <w:rPr>
          <w:color w:val="00757A"/>
          <w:spacing w:val="-1"/>
        </w:rPr>
        <w:t>Policy</w:t>
      </w:r>
      <w:r>
        <w:rPr/>
      </w:r>
    </w:p>
    <w:p>
      <w:pPr>
        <w:spacing w:line="240" w:lineRule="auto" w:before="6"/>
        <w:rPr>
          <w:rFonts w:ascii="Swis721 Md BT" w:hAnsi="Swis721 Md BT" w:cs="Swis721 Md BT" w:eastAsia="Swis721 Md BT"/>
          <w:sz w:val="11"/>
          <w:szCs w:val="11"/>
        </w:rPr>
      </w:pPr>
    </w:p>
    <w:p>
      <w:pPr>
        <w:spacing w:after="0" w:line="240" w:lineRule="auto"/>
        <w:rPr>
          <w:rFonts w:ascii="Swis721 Md BT" w:hAnsi="Swis721 Md BT" w:cs="Swis721 Md BT" w:eastAsia="Swis721 Md BT"/>
          <w:sz w:val="11"/>
          <w:szCs w:val="11"/>
        </w:rPr>
        <w:sectPr>
          <w:pgSz w:w="9980" w:h="14180"/>
          <w:pgMar w:header="0" w:footer="452" w:top="1040" w:bottom="640" w:left="740" w:right="1020"/>
        </w:sectPr>
      </w:pPr>
    </w:p>
    <w:p>
      <w:pPr>
        <w:pStyle w:val="BodyText"/>
        <w:spacing w:line="240" w:lineRule="auto" w:before="69"/>
        <w:ind w:left="226" w:right="0"/>
        <w:jc w:val="left"/>
        <w:rPr>
          <w:rFonts w:ascii="Swis721 Md BT" w:hAnsi="Swis721 Md BT" w:cs="Swis721 Md BT" w:eastAsia="Swis721 Md BT"/>
        </w:rPr>
      </w:pPr>
      <w:r>
        <w:rPr/>
        <w:pict>
          <v:group style="position:absolute;margin-left:42.369701pt;margin-top:81.673012pt;width:400.3pt;height:536.75pt;mso-position-horizontal-relative:page;mso-position-vertical-relative:page;z-index:-181360" coordorigin="847,1633" coordsize="8006,10735">
            <v:group style="position:absolute;left:850;top:1636;width:8000;height:2" coordorigin="850,1636" coordsize="8000,2">
              <v:shape style="position:absolute;left:850;top:1636;width:8000;height:2" coordorigin="850,1636" coordsize="8000,0" path="m850,1636l8850,1636e" filled="false" stroked="true" strokeweight=".3pt" strokecolor="#71797f">
                <v:path arrowok="t"/>
              </v:shape>
            </v:group>
            <v:group style="position:absolute;left:853;top:1639;width:2;height:10723" coordorigin="853,1639" coordsize="2,10723">
              <v:shape style="position:absolute;left:853;top:1639;width:2;height:10723" coordorigin="853,1639" coordsize="0,10723" path="m853,12362l853,1639e" filled="false" stroked="true" strokeweight=".3pt" strokecolor="#71797f">
                <v:path arrowok="t"/>
              </v:shape>
            </v:group>
            <v:group style="position:absolute;left:8847;top:1639;width:2;height:10723" coordorigin="8847,1639" coordsize="2,10723">
              <v:shape style="position:absolute;left:8847;top:1639;width:2;height:10723" coordorigin="8847,1639" coordsize="0,10723" path="m8847,12362l8847,1639e" filled="false" stroked="true" strokeweight=".3pt" strokecolor="#71797f">
                <v:path arrowok="t"/>
              </v:shape>
            </v:group>
            <v:group style="position:absolute;left:850;top:12365;width:8000;height:2" coordorigin="850,12365" coordsize="8000,2">
              <v:shape style="position:absolute;left:850;top:12365;width:8000;height:2" coordorigin="850,12365" coordsize="8000,0" path="m850,12365l8850,12365e" filled="false" stroked="true" strokeweight=".3pt" strokecolor="#71797f">
                <v:path arrowok="t"/>
              </v:shape>
            </v:group>
            <w10:wrap type="none"/>
          </v:group>
        </w:pict>
      </w:r>
      <w:r>
        <w:rPr>
          <w:rFonts w:ascii="Swis721 Md BT"/>
          <w:color w:val="303B41"/>
          <w:spacing w:val="-1"/>
        </w:rPr>
        <w:t>Furniture,</w:t>
      </w:r>
      <w:r>
        <w:rPr>
          <w:rFonts w:ascii="Swis721 Md BT"/>
          <w:color w:val="303B41"/>
        </w:rPr>
        <w:t> Equipment and Cultural Assets</w:t>
      </w:r>
      <w:r>
        <w:rPr>
          <w:rFonts w:ascii="Swis721 Md BT"/>
        </w:rPr>
      </w:r>
    </w:p>
    <w:p>
      <w:pPr>
        <w:spacing w:line="240" w:lineRule="auto" w:before="11"/>
        <w:rPr>
          <w:rFonts w:ascii="Swis721 Md BT" w:hAnsi="Swis721 Md BT" w:cs="Swis721 Md BT" w:eastAsia="Swis721 Md BT"/>
          <w:sz w:val="17"/>
          <w:szCs w:val="17"/>
        </w:rPr>
      </w:pPr>
    </w:p>
    <w:p>
      <w:pPr>
        <w:pStyle w:val="BodyText"/>
        <w:spacing w:line="240" w:lineRule="auto" w:before="0"/>
        <w:ind w:left="226" w:right="0"/>
        <w:jc w:val="left"/>
      </w:pPr>
      <w:r>
        <w:rPr>
          <w:color w:val="00757A"/>
        </w:rPr>
        <w:t>Capitalisation threshold</w:t>
      </w:r>
      <w:r>
        <w:rPr/>
      </w:r>
    </w:p>
    <w:p>
      <w:pPr>
        <w:pStyle w:val="BodyText"/>
        <w:spacing w:line="240" w:lineRule="auto"/>
        <w:ind w:left="226" w:right="0"/>
        <w:jc w:val="left"/>
      </w:pPr>
      <w:r>
        <w:rPr>
          <w:color w:val="231F20"/>
        </w:rPr>
        <w:t>Purchases</w:t>
      </w:r>
      <w:r>
        <w:rPr>
          <w:color w:val="231F20"/>
          <w:spacing w:val="-3"/>
        </w:rPr>
        <w:t> </w:t>
      </w:r>
      <w:r>
        <w:rPr>
          <w:color w:val="231F20"/>
        </w:rPr>
        <w:t>of</w:t>
      </w:r>
      <w:r>
        <w:rPr>
          <w:color w:val="231F20"/>
          <w:spacing w:val="-2"/>
        </w:rPr>
        <w:t> </w:t>
      </w:r>
      <w:r>
        <w:rPr>
          <w:color w:val="231F20"/>
        </w:rPr>
        <w:t>fixtures,</w:t>
      </w:r>
      <w:r>
        <w:rPr>
          <w:color w:val="231F20"/>
          <w:spacing w:val="-2"/>
        </w:rPr>
        <w:t> </w:t>
      </w:r>
      <w:r>
        <w:rPr>
          <w:color w:val="231F20"/>
        </w:rPr>
        <w:t>fittings</w:t>
      </w:r>
      <w:r>
        <w:rPr>
          <w:color w:val="231F20"/>
          <w:spacing w:val="-3"/>
        </w:rPr>
        <w:t> </w:t>
      </w:r>
      <w:r>
        <w:rPr>
          <w:color w:val="231F20"/>
        </w:rPr>
        <w:t>and</w:t>
      </w:r>
      <w:r>
        <w:rPr>
          <w:color w:val="231F20"/>
          <w:spacing w:val="-2"/>
        </w:rPr>
        <w:t> </w:t>
      </w:r>
      <w:r>
        <w:rPr>
          <w:color w:val="231F20"/>
        </w:rPr>
        <w:t>equipment</w:t>
      </w:r>
      <w:r>
        <w:rPr>
          <w:color w:val="231F20"/>
          <w:spacing w:val="21"/>
        </w:rPr>
        <w:t> </w:t>
      </w:r>
      <w:r>
        <w:rPr>
          <w:color w:val="231F20"/>
        </w:rPr>
        <w:t>are recognised in the Statement of Financial</w:t>
      </w:r>
      <w:r>
        <w:rPr>
          <w:color w:val="231F20"/>
        </w:rPr>
        <w:t> </w:t>
      </w:r>
      <w:r>
        <w:rPr>
          <w:color w:val="231F20"/>
          <w:spacing w:val="-1"/>
        </w:rPr>
        <w:t>Position,</w:t>
      </w:r>
      <w:r>
        <w:rPr>
          <w:color w:val="231F20"/>
        </w:rPr>
        <w:t> except for purchases costing less</w:t>
      </w:r>
      <w:r>
        <w:rPr>
          <w:color w:val="231F20"/>
          <w:spacing w:val="23"/>
        </w:rPr>
        <w:t> </w:t>
      </w:r>
      <w:r>
        <w:rPr>
          <w:color w:val="231F20"/>
        </w:rPr>
        <w:t>than $1,000, which are expensed in the year</w:t>
      </w:r>
      <w:r>
        <w:rPr>
          <w:color w:val="231F20"/>
        </w:rPr>
        <w:t> of acquisition, other than where they form part of a group of similar items which are significant</w:t>
      </w:r>
      <w:r>
        <w:rPr>
          <w:color w:val="231F20"/>
          <w:spacing w:val="-5"/>
        </w:rPr>
        <w:t> </w:t>
      </w:r>
      <w:r>
        <w:rPr>
          <w:color w:val="231F20"/>
        </w:rPr>
        <w:t>in</w:t>
      </w:r>
      <w:r>
        <w:rPr>
          <w:color w:val="231F20"/>
          <w:spacing w:val="-4"/>
        </w:rPr>
        <w:t> </w:t>
      </w:r>
      <w:r>
        <w:rPr>
          <w:color w:val="231F20"/>
        </w:rPr>
        <w:t>total.</w:t>
      </w:r>
      <w:r>
        <w:rPr/>
      </w:r>
    </w:p>
    <w:p>
      <w:pPr>
        <w:spacing w:line="240" w:lineRule="auto" w:before="11"/>
        <w:rPr>
          <w:rFonts w:ascii="Swis721 Lt BT" w:hAnsi="Swis721 Lt BT" w:cs="Swis721 Lt BT" w:eastAsia="Swis721 Lt BT"/>
          <w:sz w:val="17"/>
          <w:szCs w:val="17"/>
        </w:rPr>
      </w:pPr>
    </w:p>
    <w:p>
      <w:pPr>
        <w:pStyle w:val="BodyText"/>
        <w:spacing w:line="240" w:lineRule="auto" w:before="0"/>
        <w:ind w:left="226" w:right="0"/>
        <w:jc w:val="left"/>
      </w:pPr>
      <w:r>
        <w:rPr>
          <w:color w:val="00757A"/>
        </w:rPr>
        <w:t>Carrying amount</w:t>
      </w:r>
      <w:r>
        <w:rPr/>
      </w:r>
    </w:p>
    <w:p>
      <w:pPr>
        <w:pStyle w:val="BodyText"/>
        <w:spacing w:line="240" w:lineRule="auto"/>
        <w:ind w:left="226" w:right="0"/>
        <w:jc w:val="left"/>
      </w:pPr>
      <w:r>
        <w:rPr>
          <w:color w:val="231F20"/>
        </w:rPr>
        <w:t>Fixtures,</w:t>
      </w:r>
      <w:r>
        <w:rPr>
          <w:color w:val="231F20"/>
          <w:spacing w:val="-2"/>
        </w:rPr>
        <w:t> </w:t>
      </w:r>
      <w:r>
        <w:rPr>
          <w:color w:val="231F20"/>
        </w:rPr>
        <w:t>fittings</w:t>
      </w:r>
      <w:r>
        <w:rPr>
          <w:color w:val="231F20"/>
          <w:spacing w:val="-1"/>
        </w:rPr>
        <w:t> </w:t>
      </w:r>
      <w:r>
        <w:rPr>
          <w:color w:val="231F20"/>
        </w:rPr>
        <w:t>and</w:t>
      </w:r>
      <w:r>
        <w:rPr>
          <w:color w:val="231F20"/>
          <w:spacing w:val="-1"/>
        </w:rPr>
        <w:t> </w:t>
      </w:r>
      <w:r>
        <w:rPr>
          <w:color w:val="231F20"/>
        </w:rPr>
        <w:t>equipment</w:t>
      </w:r>
      <w:r>
        <w:rPr>
          <w:color w:val="231F20"/>
          <w:spacing w:val="-1"/>
        </w:rPr>
        <w:t> </w:t>
      </w:r>
      <w:r>
        <w:rPr>
          <w:color w:val="231F20"/>
        </w:rPr>
        <w:t>are</w:t>
      </w:r>
      <w:r>
        <w:rPr>
          <w:color w:val="231F20"/>
          <w:spacing w:val="-1"/>
        </w:rPr>
        <w:t> </w:t>
      </w:r>
      <w:r>
        <w:rPr>
          <w:color w:val="231F20"/>
        </w:rPr>
        <w:t>carried</w:t>
      </w:r>
      <w:r>
        <w:rPr>
          <w:color w:val="231F20"/>
        </w:rPr>
        <w:t> at cost less, where applicable, accumulated depreciation and impairment losses. Cultural art work is carried at fair value.</w:t>
      </w:r>
      <w:r>
        <w:rPr/>
      </w:r>
    </w:p>
    <w:p>
      <w:pPr>
        <w:pStyle w:val="BodyText"/>
        <w:spacing w:line="240" w:lineRule="auto"/>
        <w:ind w:left="226" w:right="189"/>
        <w:jc w:val="left"/>
      </w:pPr>
      <w:r>
        <w:rPr>
          <w:color w:val="231F20"/>
        </w:rPr>
        <w:t>AITSL holds a lease agreement to occupy premises at 440 Collins Street, Melbourne. The lease agreement contains a clause to make-good on the company vacating the premises. These costs include the costs of dismantling and removing an asset and restoring the site on which the asset was created.</w:t>
      </w:r>
      <w:r>
        <w:rPr/>
      </w:r>
    </w:p>
    <w:p>
      <w:pPr>
        <w:pStyle w:val="BodyText"/>
        <w:spacing w:line="240" w:lineRule="auto"/>
        <w:ind w:left="226" w:right="398"/>
        <w:jc w:val="left"/>
      </w:pPr>
      <w:r>
        <w:rPr>
          <w:color w:val="231F20"/>
        </w:rPr>
        <w:t>Revaluation adjustments are made on a class basis. Any revaluation increment is credited to equity under the heading</w:t>
      </w:r>
      <w:r>
        <w:rPr/>
      </w:r>
    </w:p>
    <w:p>
      <w:pPr>
        <w:pStyle w:val="BodyText"/>
        <w:spacing w:line="240" w:lineRule="auto" w:before="0"/>
        <w:ind w:left="226" w:right="51"/>
        <w:jc w:val="left"/>
      </w:pPr>
      <w:r>
        <w:rPr>
          <w:color w:val="231F20"/>
        </w:rPr>
        <w:t>reserves except to the extent that it reverses a previous revaluation decrement of the same asset class that was previously recognised</w:t>
      </w:r>
      <w:r>
        <w:rPr>
          <w:color w:val="231F20"/>
          <w:spacing w:val="-2"/>
        </w:rPr>
        <w:t> </w:t>
      </w:r>
      <w:r>
        <w:rPr>
          <w:color w:val="231F20"/>
        </w:rPr>
        <w:t>through</w:t>
      </w:r>
      <w:r>
        <w:rPr>
          <w:color w:val="231F20"/>
          <w:spacing w:val="-1"/>
        </w:rPr>
        <w:t> </w:t>
      </w:r>
      <w:r>
        <w:rPr>
          <w:color w:val="231F20"/>
        </w:rPr>
        <w:t>surplus</w:t>
      </w:r>
      <w:r>
        <w:rPr>
          <w:color w:val="231F20"/>
          <w:spacing w:val="-2"/>
        </w:rPr>
        <w:t> </w:t>
      </w:r>
      <w:r>
        <w:rPr>
          <w:color w:val="231F20"/>
        </w:rPr>
        <w:t>and</w:t>
      </w:r>
      <w:r>
        <w:rPr>
          <w:color w:val="231F20"/>
          <w:spacing w:val="-1"/>
        </w:rPr>
        <w:t> </w:t>
      </w:r>
      <w:r>
        <w:rPr>
          <w:color w:val="231F20"/>
        </w:rPr>
        <w:t>deficit.</w:t>
      </w:r>
      <w:r>
        <w:rPr/>
      </w:r>
    </w:p>
    <w:p>
      <w:pPr>
        <w:pStyle w:val="BodyText"/>
        <w:spacing w:line="240" w:lineRule="auto" w:before="0"/>
        <w:ind w:left="226" w:right="51"/>
        <w:jc w:val="left"/>
      </w:pPr>
      <w:r>
        <w:rPr>
          <w:color w:val="231F20"/>
        </w:rPr>
        <w:t>Revaluation decrements for a class of assets are recognised directly through other comprehensive income except to the extent that they reverse a previous revaluation increment for that class.</w:t>
      </w:r>
      <w:r>
        <w:rPr/>
      </w:r>
    </w:p>
    <w:p>
      <w:pPr>
        <w:pStyle w:val="BodyText"/>
        <w:spacing w:line="240" w:lineRule="auto"/>
        <w:ind w:left="226" w:right="51"/>
        <w:jc w:val="left"/>
      </w:pPr>
      <w:r>
        <w:rPr>
          <w:color w:val="231F20"/>
        </w:rPr>
        <w:t>Any accumulated depreciation as at the revaluation date is eliminated against the gross carrying amount of the asset and the asset restated to the revalued amount.</w:t>
      </w:r>
      <w:r>
        <w:rPr/>
      </w:r>
    </w:p>
    <w:p>
      <w:pPr>
        <w:pStyle w:val="BodyText"/>
        <w:spacing w:line="240" w:lineRule="auto" w:before="69"/>
        <w:ind w:left="226" w:right="0"/>
        <w:jc w:val="left"/>
      </w:pPr>
      <w:r>
        <w:rPr/>
        <w:br w:type="column"/>
      </w:r>
      <w:r>
        <w:rPr>
          <w:color w:val="00757A"/>
        </w:rPr>
        <w:t>Depreciation</w:t>
      </w:r>
      <w:r>
        <w:rPr/>
      </w:r>
    </w:p>
    <w:p>
      <w:pPr>
        <w:pStyle w:val="BodyText"/>
        <w:spacing w:line="240" w:lineRule="auto"/>
        <w:ind w:left="226" w:right="308"/>
        <w:jc w:val="left"/>
      </w:pPr>
      <w:r>
        <w:rPr>
          <w:color w:val="231F20"/>
        </w:rPr>
        <w:t>The</w:t>
      </w:r>
      <w:r>
        <w:rPr>
          <w:color w:val="231F20"/>
          <w:spacing w:val="-1"/>
        </w:rPr>
        <w:t> </w:t>
      </w:r>
      <w:r>
        <w:rPr>
          <w:color w:val="231F20"/>
        </w:rPr>
        <w:t>depreciable</w:t>
      </w:r>
      <w:r>
        <w:rPr>
          <w:color w:val="231F20"/>
          <w:spacing w:val="-1"/>
        </w:rPr>
        <w:t> </w:t>
      </w:r>
      <w:r>
        <w:rPr>
          <w:color w:val="231F20"/>
        </w:rPr>
        <w:t>amount of</w:t>
      </w:r>
      <w:r>
        <w:rPr>
          <w:color w:val="231F20"/>
          <w:spacing w:val="-1"/>
        </w:rPr>
        <w:t> </w:t>
      </w:r>
      <w:r>
        <w:rPr>
          <w:color w:val="231F20"/>
        </w:rPr>
        <w:t>all fixed</w:t>
      </w:r>
      <w:r>
        <w:rPr>
          <w:color w:val="231F20"/>
          <w:spacing w:val="-1"/>
        </w:rPr>
        <w:t> </w:t>
      </w:r>
      <w:r>
        <w:rPr>
          <w:color w:val="231F20"/>
        </w:rPr>
        <w:t>assets </w:t>
      </w:r>
      <w:r>
        <w:rPr>
          <w:color w:val="231F20"/>
        </w:rPr>
      </w:r>
      <w:r>
        <w:rPr>
          <w:color w:val="231F20"/>
        </w:rPr>
        <w:t>is</w:t>
      </w:r>
      <w:r>
        <w:rPr>
          <w:color w:val="231F20"/>
        </w:rPr>
        <w:t> depreciated on a straight line basis over the asset’s useful life to AITSL commencing from the time the asset is held ready for use.</w:t>
      </w:r>
      <w:r>
        <w:rPr/>
      </w:r>
    </w:p>
    <w:p>
      <w:pPr>
        <w:pStyle w:val="BodyText"/>
        <w:spacing w:line="240" w:lineRule="auto" w:before="0"/>
        <w:ind w:left="226" w:right="149"/>
        <w:jc w:val="left"/>
      </w:pPr>
      <w:r>
        <w:rPr>
          <w:color w:val="231F20"/>
        </w:rPr>
        <w:t>The depreciation rates used for each class of asset are based on the following estimated useful lives for current and comparative periods:</w:t>
      </w:r>
      <w:r>
        <w:rPr/>
      </w:r>
    </w:p>
    <w:p>
      <w:pPr>
        <w:spacing w:line="240" w:lineRule="auto" w:before="11"/>
        <w:rPr>
          <w:rFonts w:ascii="Swis721 Lt BT" w:hAnsi="Swis721 Lt BT" w:cs="Swis721 Lt BT" w:eastAsia="Swis721 Lt BT"/>
          <w:sz w:val="17"/>
          <w:szCs w:val="17"/>
        </w:rPr>
      </w:pPr>
    </w:p>
    <w:p>
      <w:pPr>
        <w:pStyle w:val="BodyText"/>
        <w:spacing w:line="240" w:lineRule="auto" w:before="0"/>
        <w:ind w:left="226" w:right="0"/>
        <w:jc w:val="left"/>
      </w:pPr>
      <w:r>
        <w:rPr>
          <w:color w:val="00757A"/>
        </w:rPr>
        <w:t>Plant and equipment</w:t>
      </w:r>
      <w:r>
        <w:rPr/>
      </w:r>
    </w:p>
    <w:p>
      <w:pPr>
        <w:pStyle w:val="BodyText"/>
        <w:spacing w:line="240" w:lineRule="auto"/>
        <w:ind w:left="226" w:right="0"/>
        <w:jc w:val="left"/>
      </w:pPr>
      <w:r>
        <w:rPr>
          <w:rFonts w:ascii="Arial" w:hAnsi="Arial"/>
          <w:color w:val="00757A"/>
        </w:rPr>
        <w:t>ϐ </w:t>
      </w:r>
      <w:r>
        <w:rPr>
          <w:rFonts w:ascii="Arial" w:hAnsi="Arial"/>
          <w:color w:val="00757A"/>
          <w:spacing w:val="8"/>
        </w:rPr>
        <w:t> </w:t>
      </w:r>
      <w:r>
        <w:rPr>
          <w:color w:val="231F20"/>
        </w:rPr>
        <w:t>Computer</w:t>
      </w:r>
      <w:r>
        <w:rPr>
          <w:color w:val="231F20"/>
          <w:spacing w:val="1"/>
        </w:rPr>
        <w:t> </w:t>
      </w:r>
      <w:r>
        <w:rPr>
          <w:color w:val="231F20"/>
        </w:rPr>
        <w:t>equipment -</w:t>
      </w:r>
      <w:r>
        <w:rPr>
          <w:color w:val="231F20"/>
          <w:spacing w:val="1"/>
        </w:rPr>
        <w:t> </w:t>
      </w:r>
      <w:r>
        <w:rPr>
          <w:color w:val="231F20"/>
        </w:rPr>
        <w:t>3</w:t>
      </w:r>
      <w:r>
        <w:rPr>
          <w:color w:val="231F20"/>
          <w:spacing w:val="1"/>
        </w:rPr>
        <w:t> </w:t>
      </w:r>
      <w:r>
        <w:rPr>
          <w:color w:val="231F20"/>
        </w:rPr>
        <w:t>years</w:t>
      </w:r>
      <w:r>
        <w:rPr/>
      </w:r>
    </w:p>
    <w:p>
      <w:pPr>
        <w:pStyle w:val="BodyText"/>
        <w:spacing w:line="240" w:lineRule="auto" w:before="0"/>
        <w:ind w:left="226" w:right="0"/>
        <w:jc w:val="left"/>
      </w:pPr>
      <w:r>
        <w:rPr>
          <w:rFonts w:ascii="Arial" w:hAnsi="Arial"/>
          <w:color w:val="00757A"/>
        </w:rPr>
        <w:t>ϐ </w:t>
      </w:r>
      <w:r>
        <w:rPr>
          <w:rFonts w:ascii="Arial" w:hAnsi="Arial"/>
          <w:color w:val="00757A"/>
          <w:spacing w:val="6"/>
        </w:rPr>
        <w:t> </w:t>
      </w:r>
      <w:r>
        <w:rPr>
          <w:color w:val="231F20"/>
        </w:rPr>
        <w:t>Office and other equipment - 3 years</w:t>
      </w:r>
      <w:r>
        <w:rPr/>
      </w:r>
    </w:p>
    <w:p>
      <w:pPr>
        <w:pStyle w:val="BodyText"/>
        <w:spacing w:line="240" w:lineRule="auto" w:before="0"/>
        <w:ind w:left="227" w:right="0"/>
        <w:jc w:val="left"/>
      </w:pPr>
      <w:r>
        <w:rPr>
          <w:rFonts w:ascii="Arial" w:hAnsi="Arial"/>
          <w:color w:val="00757A"/>
        </w:rPr>
        <w:t>ϐ </w:t>
      </w:r>
      <w:r>
        <w:rPr>
          <w:rFonts w:ascii="Arial" w:hAnsi="Arial"/>
          <w:color w:val="00757A"/>
          <w:spacing w:val="6"/>
        </w:rPr>
        <w:t> </w:t>
      </w:r>
      <w:r>
        <w:rPr>
          <w:color w:val="231F20"/>
          <w:spacing w:val="-1"/>
        </w:rPr>
        <w:t>Furniture</w:t>
      </w:r>
      <w:r>
        <w:rPr>
          <w:color w:val="231F20"/>
        </w:rPr>
        <w:t> and fittings - 10 years</w:t>
      </w:r>
      <w:r>
        <w:rPr/>
      </w:r>
    </w:p>
    <w:p>
      <w:pPr>
        <w:pStyle w:val="BodyText"/>
        <w:spacing w:line="240" w:lineRule="auto"/>
        <w:ind w:left="227" w:right="149"/>
        <w:jc w:val="left"/>
      </w:pPr>
      <w:r>
        <w:rPr>
          <w:color w:val="231F20"/>
        </w:rPr>
        <w:t>Depreciation methods, useful lives, and residual</w:t>
      </w:r>
      <w:r>
        <w:rPr>
          <w:color w:val="231F20"/>
          <w:spacing w:val="-2"/>
        </w:rPr>
        <w:t> </w:t>
      </w:r>
      <w:r>
        <w:rPr>
          <w:color w:val="231F20"/>
        </w:rPr>
        <w:t>values</w:t>
      </w:r>
      <w:r>
        <w:rPr>
          <w:color w:val="231F20"/>
          <w:spacing w:val="-1"/>
        </w:rPr>
        <w:t> </w:t>
      </w:r>
      <w:r>
        <w:rPr>
          <w:color w:val="231F20"/>
        </w:rPr>
        <w:t>are</w:t>
      </w:r>
      <w:r>
        <w:rPr>
          <w:color w:val="231F20"/>
          <w:spacing w:val="-1"/>
        </w:rPr>
        <w:t> </w:t>
      </w:r>
      <w:r>
        <w:rPr>
          <w:color w:val="231F20"/>
        </w:rPr>
        <w:t>reviewed</w:t>
      </w:r>
      <w:r>
        <w:rPr>
          <w:color w:val="231F20"/>
          <w:spacing w:val="-1"/>
        </w:rPr>
        <w:t> </w:t>
      </w:r>
      <w:r>
        <w:rPr>
          <w:color w:val="231F20"/>
        </w:rPr>
        <w:t>at</w:t>
      </w:r>
      <w:r>
        <w:rPr>
          <w:color w:val="231F20"/>
          <w:spacing w:val="-1"/>
        </w:rPr>
        <w:t> </w:t>
      </w:r>
      <w:r>
        <w:rPr>
          <w:color w:val="231F20"/>
        </w:rPr>
        <w:t>each</w:t>
      </w:r>
      <w:r>
        <w:rPr>
          <w:color w:val="231F20"/>
          <w:spacing w:val="-1"/>
        </w:rPr>
        <w:t> </w:t>
      </w:r>
      <w:r>
        <w:rPr>
          <w:color w:val="231F20"/>
        </w:rPr>
        <w:t>financial</w:t>
      </w:r>
      <w:r>
        <w:rPr>
          <w:color w:val="231F20"/>
          <w:w w:val="99"/>
        </w:rPr>
        <w:t> </w:t>
      </w:r>
      <w:r>
        <w:rPr>
          <w:color w:val="231F20"/>
        </w:rPr>
        <w:t>year end and adjusted if appropriate.</w:t>
      </w:r>
      <w:r>
        <w:rPr/>
      </w:r>
    </w:p>
    <w:p>
      <w:pPr>
        <w:spacing w:line="240" w:lineRule="auto" w:before="11"/>
        <w:rPr>
          <w:rFonts w:ascii="Swis721 Lt BT" w:hAnsi="Swis721 Lt BT" w:cs="Swis721 Lt BT" w:eastAsia="Swis721 Lt BT"/>
          <w:sz w:val="17"/>
          <w:szCs w:val="17"/>
        </w:rPr>
      </w:pPr>
    </w:p>
    <w:p>
      <w:pPr>
        <w:pStyle w:val="BodyText"/>
        <w:spacing w:line="240" w:lineRule="auto" w:before="0"/>
        <w:ind w:left="227" w:right="0"/>
        <w:jc w:val="left"/>
      </w:pPr>
      <w:r>
        <w:rPr>
          <w:color w:val="00757A"/>
        </w:rPr>
        <w:t>Cultural</w:t>
      </w:r>
      <w:r>
        <w:rPr/>
      </w:r>
    </w:p>
    <w:p>
      <w:pPr>
        <w:pStyle w:val="BodyText"/>
        <w:spacing w:line="240" w:lineRule="auto"/>
        <w:ind w:left="227" w:right="0"/>
        <w:jc w:val="left"/>
      </w:pPr>
      <w:r>
        <w:rPr>
          <w:rFonts w:ascii="Arial" w:hAnsi="Arial"/>
          <w:color w:val="00757A"/>
        </w:rPr>
        <w:t>ϐ </w:t>
      </w:r>
      <w:r>
        <w:rPr>
          <w:rFonts w:ascii="Arial" w:hAnsi="Arial"/>
          <w:color w:val="00757A"/>
          <w:spacing w:val="5"/>
        </w:rPr>
        <w:t> </w:t>
      </w:r>
      <w:r>
        <w:rPr>
          <w:color w:val="231F20"/>
        </w:rPr>
        <w:t>Art</w:t>
      </w:r>
      <w:r>
        <w:rPr>
          <w:color w:val="231F20"/>
          <w:spacing w:val="-1"/>
        </w:rPr>
        <w:t> </w:t>
      </w:r>
      <w:r>
        <w:rPr>
          <w:color w:val="231F20"/>
        </w:rPr>
        <w:t>works -</w:t>
      </w:r>
      <w:r>
        <w:rPr>
          <w:color w:val="231F20"/>
          <w:spacing w:val="-1"/>
        </w:rPr>
        <w:t> </w:t>
      </w:r>
      <w:r>
        <w:rPr>
          <w:color w:val="231F20"/>
        </w:rPr>
        <w:t>Infinite</w:t>
      </w:r>
      <w:r>
        <w:rPr>
          <w:color w:val="231F20"/>
          <w:spacing w:val="-1"/>
        </w:rPr>
        <w:t> </w:t>
      </w:r>
      <w:r>
        <w:rPr>
          <w:color w:val="231F20"/>
        </w:rPr>
        <w:t>life (2018:</w:t>
      </w:r>
      <w:r>
        <w:rPr>
          <w:color w:val="231F20"/>
          <w:spacing w:val="-1"/>
        </w:rPr>
        <w:t> </w:t>
      </w:r>
      <w:r>
        <w:rPr>
          <w:color w:val="231F20"/>
        </w:rPr>
        <w:t>Infinite</w:t>
      </w:r>
      <w:r>
        <w:rPr>
          <w:color w:val="231F20"/>
          <w:spacing w:val="-1"/>
        </w:rPr>
        <w:t> </w:t>
      </w:r>
      <w:r>
        <w:rPr>
          <w:color w:val="231F20"/>
        </w:rPr>
        <w:t>life)</w:t>
      </w:r>
      <w:r>
        <w:rPr/>
      </w:r>
    </w:p>
    <w:p>
      <w:pPr>
        <w:pStyle w:val="BodyText"/>
        <w:spacing w:line="240" w:lineRule="auto"/>
        <w:ind w:left="227" w:right="576"/>
        <w:jc w:val="left"/>
      </w:pPr>
      <w:r>
        <w:rPr>
          <w:color w:val="231F20"/>
        </w:rPr>
        <w:t>AITSL has two paintings (2018: 2) with an aggregate fair value of $12,000 (2018:</w:t>
      </w:r>
      <w:r>
        <w:rPr/>
      </w:r>
    </w:p>
    <w:p>
      <w:pPr>
        <w:pStyle w:val="BodyText"/>
        <w:spacing w:line="240" w:lineRule="auto" w:before="0"/>
        <w:ind w:left="227" w:right="288"/>
        <w:jc w:val="both"/>
      </w:pPr>
      <w:r>
        <w:rPr>
          <w:color w:val="231F20"/>
        </w:rPr>
        <w:t>$12,000) painted by Australian artists Bessie Sims and </w:t>
      </w:r>
      <w:r>
        <w:rPr>
          <w:color w:val="231F20"/>
          <w:spacing w:val="-2"/>
        </w:rPr>
        <w:t>Yumutjin</w:t>
      </w:r>
      <w:r>
        <w:rPr>
          <w:color w:val="231F20"/>
        </w:rPr>
        <w:t> Wunungmurra. AITSL has</w:t>
      </w:r>
      <w:r>
        <w:rPr>
          <w:color w:val="231F20"/>
          <w:spacing w:val="23"/>
        </w:rPr>
        <w:t> </w:t>
      </w:r>
      <w:r>
        <w:rPr>
          <w:color w:val="231F20"/>
        </w:rPr>
        <w:t>classified</w:t>
      </w:r>
      <w:r>
        <w:rPr>
          <w:color w:val="231F20"/>
          <w:spacing w:val="-2"/>
        </w:rPr>
        <w:t> </w:t>
      </w:r>
      <w:r>
        <w:rPr>
          <w:color w:val="231F20"/>
        </w:rPr>
        <w:t>them</w:t>
      </w:r>
      <w:r>
        <w:rPr>
          <w:color w:val="231F20"/>
          <w:spacing w:val="-1"/>
        </w:rPr>
        <w:t> </w:t>
      </w:r>
      <w:r>
        <w:rPr>
          <w:color w:val="231F20"/>
        </w:rPr>
        <w:t>as</w:t>
      </w:r>
      <w:r>
        <w:rPr>
          <w:color w:val="231F20"/>
          <w:spacing w:val="-1"/>
        </w:rPr>
        <w:t> </w:t>
      </w:r>
      <w:r>
        <w:rPr>
          <w:color w:val="231F20"/>
        </w:rPr>
        <w:t>cultural</w:t>
      </w:r>
      <w:r>
        <w:rPr>
          <w:color w:val="231F20"/>
          <w:spacing w:val="-2"/>
        </w:rPr>
        <w:t> </w:t>
      </w:r>
      <w:r>
        <w:rPr>
          <w:color w:val="231F20"/>
        </w:rPr>
        <w:t>assets</w:t>
      </w:r>
      <w:r>
        <w:rPr>
          <w:color w:val="231F20"/>
          <w:spacing w:val="-1"/>
        </w:rPr>
        <w:t> </w:t>
      </w:r>
      <w:r>
        <w:rPr>
          <w:color w:val="231F20"/>
        </w:rPr>
        <w:t>as</w:t>
      </w:r>
      <w:r>
        <w:rPr>
          <w:color w:val="231F20"/>
          <w:spacing w:val="-1"/>
        </w:rPr>
        <w:t> </w:t>
      </w:r>
      <w:r>
        <w:rPr>
          <w:color w:val="231F20"/>
        </w:rPr>
        <w:t>they</w:t>
      </w:r>
      <w:r>
        <w:rPr/>
      </w:r>
    </w:p>
    <w:p>
      <w:pPr>
        <w:pStyle w:val="BodyText"/>
        <w:spacing w:line="240" w:lineRule="auto" w:before="0"/>
        <w:ind w:left="227" w:right="392"/>
        <w:jc w:val="left"/>
      </w:pPr>
      <w:r>
        <w:rPr>
          <w:color w:val="231F20"/>
        </w:rPr>
        <w:t>are primarily held for purposes that relate to</w:t>
      </w:r>
      <w:r>
        <w:rPr>
          <w:color w:val="231F20"/>
          <w:spacing w:val="-3"/>
        </w:rPr>
        <w:t> </w:t>
      </w:r>
      <w:r>
        <w:rPr>
          <w:color w:val="231F20"/>
        </w:rPr>
        <w:t>their</w:t>
      </w:r>
      <w:r>
        <w:rPr>
          <w:color w:val="231F20"/>
          <w:spacing w:val="-2"/>
        </w:rPr>
        <w:t> </w:t>
      </w:r>
      <w:r>
        <w:rPr>
          <w:color w:val="231F20"/>
        </w:rPr>
        <w:t>cultural</w:t>
      </w:r>
      <w:r>
        <w:rPr>
          <w:color w:val="231F20"/>
          <w:spacing w:val="-2"/>
        </w:rPr>
        <w:t> </w:t>
      </w:r>
      <w:r>
        <w:rPr>
          <w:color w:val="231F20"/>
        </w:rPr>
        <w:t>significance.</w:t>
      </w:r>
      <w:r>
        <w:rPr>
          <w:color w:val="231F20"/>
          <w:spacing w:val="-2"/>
        </w:rPr>
        <w:t> </w:t>
      </w:r>
      <w:r>
        <w:rPr>
          <w:color w:val="231F20"/>
        </w:rPr>
        <w:t>The</w:t>
      </w:r>
      <w:r>
        <w:rPr>
          <w:color w:val="231F20"/>
          <w:spacing w:val="-2"/>
        </w:rPr>
        <w:t> </w:t>
      </w:r>
      <w:r>
        <w:rPr>
          <w:color w:val="231F20"/>
        </w:rPr>
        <w:t>paintings</w:t>
      </w:r>
      <w:r>
        <w:rPr>
          <w:color w:val="231F20"/>
        </w:rPr>
        <w:t> are</w:t>
      </w:r>
      <w:r>
        <w:rPr>
          <w:color w:val="231F20"/>
          <w:spacing w:val="-2"/>
        </w:rPr>
        <w:t> </w:t>
      </w:r>
      <w:r>
        <w:rPr>
          <w:color w:val="231F20"/>
        </w:rPr>
        <w:t>deemed</w:t>
      </w:r>
      <w:r>
        <w:rPr>
          <w:color w:val="231F20"/>
          <w:spacing w:val="-1"/>
        </w:rPr>
        <w:t> </w:t>
      </w:r>
      <w:r>
        <w:rPr>
          <w:color w:val="231F20"/>
        </w:rPr>
        <w:t>to</w:t>
      </w:r>
      <w:r>
        <w:rPr>
          <w:color w:val="231F20"/>
          <w:spacing w:val="-1"/>
        </w:rPr>
        <w:t> </w:t>
      </w:r>
      <w:r>
        <w:rPr>
          <w:color w:val="231F20"/>
        </w:rPr>
        <w:t>have</w:t>
      </w:r>
      <w:r>
        <w:rPr>
          <w:color w:val="231F20"/>
          <w:spacing w:val="-1"/>
        </w:rPr>
        <w:t> </w:t>
      </w:r>
      <w:r>
        <w:rPr>
          <w:color w:val="231F20"/>
        </w:rPr>
        <w:t>indefinite</w:t>
      </w:r>
      <w:r>
        <w:rPr>
          <w:color w:val="231F20"/>
          <w:spacing w:val="-2"/>
        </w:rPr>
        <w:t> </w:t>
      </w:r>
      <w:r>
        <w:rPr>
          <w:color w:val="231F20"/>
        </w:rPr>
        <w:t>useful</w:t>
      </w:r>
      <w:r>
        <w:rPr>
          <w:color w:val="231F20"/>
          <w:spacing w:val="-1"/>
        </w:rPr>
        <w:t> </w:t>
      </w:r>
      <w:r>
        <w:rPr>
          <w:color w:val="231F20"/>
        </w:rPr>
        <w:t>lives</w:t>
      </w:r>
      <w:r>
        <w:rPr>
          <w:color w:val="231F20"/>
        </w:rPr>
        <w:t> and hence are not depreciated. AITSL is responsible for ensuring the preservation of these assets.</w:t>
      </w:r>
      <w:r>
        <w:rPr/>
      </w:r>
    </w:p>
    <w:p>
      <w:pPr>
        <w:spacing w:after="0" w:line="240" w:lineRule="auto"/>
        <w:jc w:val="left"/>
        <w:sectPr>
          <w:type w:val="continuous"/>
          <w:pgSz w:w="9980" w:h="14180"/>
          <w:pgMar w:top="0" w:bottom="280" w:left="740" w:right="1020"/>
          <w:cols w:num="2" w:equalWidth="0">
            <w:col w:w="3887" w:space="158"/>
            <w:col w:w="4175"/>
          </w:cols>
        </w:sectPr>
      </w:pPr>
    </w:p>
    <w:p>
      <w:pPr>
        <w:spacing w:before="58"/>
        <w:ind w:left="0" w:right="108" w:firstLine="0"/>
        <w:jc w:val="right"/>
        <w:rPr>
          <w:rFonts w:ascii="Swis721 Lt BT" w:hAnsi="Swis721 Lt BT" w:cs="Swis721 Lt BT" w:eastAsia="Swis721 Lt BT"/>
          <w:sz w:val="14"/>
          <w:szCs w:val="14"/>
        </w:rPr>
      </w:pPr>
      <w:bookmarkStart w:name="NOTE 5. FAIR VALUE MEASUREMENTS" w:id="32"/>
      <w:bookmarkEnd w:id="32"/>
      <w:r>
        <w:rPr/>
      </w: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16"/>
          <w:szCs w:val="16"/>
        </w:rPr>
      </w:pPr>
    </w:p>
    <w:p>
      <w:pPr>
        <w:spacing w:before="61"/>
        <w:ind w:left="173" w:right="0" w:firstLine="0"/>
        <w:jc w:val="left"/>
        <w:rPr>
          <w:rFonts w:ascii="Swis721 BT" w:hAnsi="Swis721 BT" w:cs="Swis721 BT" w:eastAsia="Swis721 BT"/>
          <w:sz w:val="24"/>
          <w:szCs w:val="24"/>
        </w:rPr>
      </w:pPr>
      <w:r>
        <w:rPr/>
        <w:pict>
          <v:group style="position:absolute;margin-left:56.693001pt;margin-top:35.612381pt;width:399.7pt;height:25.7pt;mso-position-horizontal-relative:page;mso-position-vertical-relative:paragraph;z-index:-181312" coordorigin="1134,712" coordsize="7994,514">
            <v:group style="position:absolute;left:1134;top:712;width:5500;height:514" coordorigin="1134,712" coordsize="5500,514">
              <v:shape style="position:absolute;left:1134;top:712;width:5500;height:514" coordorigin="1134,712" coordsize="5500,514" path="m6633,712l1134,712,1134,1226,6633,1226,6633,712xe" filled="true" fillcolor="#ebf0c9" stroked="false">
                <v:path arrowok="t"/>
                <v:fill type="solid"/>
              </v:shape>
            </v:group>
            <v:group style="position:absolute;left:6633;top:712;width:2495;height:514" coordorigin="6633,712" coordsize="2495,514">
              <v:shape style="position:absolute;left:6633;top:712;width:2495;height:514" coordorigin="6633,712" coordsize="2495,514" path="m9128,712l6633,712,6633,1226,9128,1226,9128,712xe" filled="true" fillcolor="#ebf0c9" stroked="false">
                <v:path arrowok="t"/>
                <v:fill type="solid"/>
              </v:shape>
              <v:shape style="position:absolute;left:1134;top:712;width:7994;height:514" type="#_x0000_t202" filled="false" stroked="false">
                <v:textbox inset="0,0,0,0">
                  <w:txbxContent>
                    <w:p>
                      <w:pPr>
                        <w:spacing w:before="44"/>
                        <w:ind w:left="6097" w:right="77" w:hanging="306"/>
                        <w:jc w:val="right"/>
                        <w:rPr>
                          <w:rFonts w:ascii="Swis721 Cn BT" w:hAnsi="Swis721 Cn BT" w:cs="Swis721 Cn BT" w:eastAsia="Swis721 Cn BT"/>
                          <w:sz w:val="18"/>
                          <w:szCs w:val="18"/>
                        </w:rPr>
                      </w:pPr>
                      <w:r>
                        <w:rPr>
                          <w:rFonts w:ascii="Swis721 Cn BT"/>
                          <w:color w:val="303B41"/>
                          <w:spacing w:val="-2"/>
                          <w:sz w:val="18"/>
                        </w:rPr>
                        <w:t>Fair</w:t>
                      </w:r>
                      <w:r>
                        <w:rPr>
                          <w:rFonts w:ascii="Swis721 Cn BT"/>
                          <w:color w:val="303B41"/>
                          <w:sz w:val="18"/>
                        </w:rPr>
                        <w:t> value measurements at the</w:t>
                      </w:r>
                      <w:r>
                        <w:rPr>
                          <w:rFonts w:ascii="Swis721 Cn BT"/>
                          <w:color w:val="303B41"/>
                          <w:spacing w:val="23"/>
                          <w:sz w:val="18"/>
                        </w:rPr>
                        <w:t> </w:t>
                      </w:r>
                      <w:r>
                        <w:rPr>
                          <w:rFonts w:ascii="Swis721 Cn BT"/>
                          <w:color w:val="303B41"/>
                          <w:sz w:val="18"/>
                        </w:rPr>
                        <w:t>end of the </w:t>
                      </w:r>
                      <w:r>
                        <w:rPr>
                          <w:rFonts w:ascii="Swis721 Cn BT"/>
                          <w:color w:val="303B41"/>
                          <w:spacing w:val="1"/>
                          <w:sz w:val="18"/>
                        </w:rPr>
                        <w:t>reporting</w:t>
                      </w:r>
                      <w:r>
                        <w:rPr>
                          <w:rFonts w:ascii="Swis721 Cn BT"/>
                          <w:color w:val="303B41"/>
                          <w:sz w:val="18"/>
                        </w:rPr>
                        <w:t> period</w:t>
                      </w:r>
                      <w:r>
                        <w:rPr>
                          <w:rFonts w:ascii="Swis721 Cn BT"/>
                          <w:sz w:val="18"/>
                        </w:rPr>
                      </w:r>
                    </w:p>
                  </w:txbxContent>
                </v:textbox>
                <w10:wrap type="none"/>
              </v:shape>
            </v:group>
            <w10:wrap type="none"/>
          </v:group>
        </w:pict>
      </w:r>
      <w:r>
        <w:rPr>
          <w:rFonts w:ascii="Swis721 Hv BT"/>
          <w:b/>
          <w:color w:val="005E63"/>
          <w:sz w:val="24"/>
        </w:rPr>
        <w:t>NOTE</w:t>
      </w:r>
      <w:r>
        <w:rPr>
          <w:rFonts w:ascii="Swis721 Hv BT"/>
          <w:b/>
          <w:color w:val="005E63"/>
          <w:spacing w:val="-2"/>
          <w:sz w:val="24"/>
        </w:rPr>
        <w:t> </w:t>
      </w:r>
      <w:r>
        <w:rPr>
          <w:rFonts w:ascii="Swis721 Hv BT"/>
          <w:b/>
          <w:color w:val="005E63"/>
          <w:sz w:val="24"/>
        </w:rPr>
        <w:t>5.</w:t>
      </w:r>
      <w:r>
        <w:rPr>
          <w:rFonts w:ascii="Swis721 Hv BT"/>
          <w:b/>
          <w:color w:val="005E63"/>
          <w:spacing w:val="-8"/>
          <w:sz w:val="24"/>
        </w:rPr>
        <w:t> </w:t>
      </w:r>
      <w:r>
        <w:rPr>
          <w:rFonts w:ascii="Swis721 BT"/>
          <w:color w:val="005E63"/>
          <w:spacing w:val="-3"/>
          <w:sz w:val="24"/>
        </w:rPr>
        <w:t>FAIR</w:t>
      </w:r>
      <w:r>
        <w:rPr>
          <w:rFonts w:ascii="Swis721 BT"/>
          <w:color w:val="005E63"/>
          <w:spacing w:val="-2"/>
          <w:sz w:val="24"/>
        </w:rPr>
        <w:t> VALUE</w:t>
      </w:r>
      <w:r>
        <w:rPr>
          <w:rFonts w:ascii="Swis721 BT"/>
          <w:color w:val="005E63"/>
          <w:spacing w:val="-1"/>
          <w:sz w:val="24"/>
        </w:rPr>
        <w:t> </w:t>
      </w:r>
      <w:r>
        <w:rPr>
          <w:rFonts w:ascii="Swis721 BT"/>
          <w:color w:val="005E63"/>
          <w:sz w:val="24"/>
        </w:rPr>
        <w:t>MEASUREMENTS</w:t>
      </w:r>
      <w:r>
        <w:rPr>
          <w:rFonts w:ascii="Swis721 BT"/>
          <w:sz w:val="24"/>
        </w:rPr>
      </w:r>
    </w:p>
    <w:p>
      <w:pPr>
        <w:spacing w:line="240" w:lineRule="auto" w:before="0"/>
        <w:rPr>
          <w:rFonts w:ascii="Swis721 BT" w:hAnsi="Swis721 BT" w:cs="Swis721 BT" w:eastAsia="Swis721 BT"/>
          <w:sz w:val="20"/>
          <w:szCs w:val="20"/>
        </w:rPr>
      </w:pPr>
    </w:p>
    <w:p>
      <w:pPr>
        <w:spacing w:line="240" w:lineRule="auto" w:before="0"/>
        <w:rPr>
          <w:rFonts w:ascii="Swis721 BT" w:hAnsi="Swis721 BT" w:cs="Swis721 BT" w:eastAsia="Swis721 BT"/>
          <w:sz w:val="20"/>
          <w:szCs w:val="20"/>
        </w:rPr>
      </w:pPr>
    </w:p>
    <w:p>
      <w:pPr>
        <w:spacing w:line="240" w:lineRule="auto" w:before="0"/>
        <w:rPr>
          <w:rFonts w:ascii="Swis721 BT" w:hAnsi="Swis721 BT" w:cs="Swis721 BT" w:eastAsia="Swis721 BT"/>
          <w:sz w:val="20"/>
          <w:szCs w:val="20"/>
        </w:rPr>
      </w:pPr>
    </w:p>
    <w:p>
      <w:pPr>
        <w:spacing w:line="240" w:lineRule="auto" w:before="9"/>
        <w:rPr>
          <w:rFonts w:ascii="Swis721 BT" w:hAnsi="Swis721 BT" w:cs="Swis721 BT" w:eastAsia="Swis721 BT"/>
          <w:sz w:val="12"/>
          <w:szCs w:val="12"/>
        </w:rPr>
      </w:pPr>
    </w:p>
    <w:tbl>
      <w:tblPr>
        <w:tblW w:w="0" w:type="auto"/>
        <w:jc w:val="left"/>
        <w:tblInd w:w="118" w:type="dxa"/>
        <w:tblLayout w:type="fixed"/>
        <w:tblCellMar>
          <w:top w:w="0" w:type="dxa"/>
          <w:left w:w="0" w:type="dxa"/>
          <w:bottom w:w="0" w:type="dxa"/>
          <w:right w:w="0" w:type="dxa"/>
        </w:tblCellMar>
        <w:tblLook w:val="01E0"/>
      </w:tblPr>
      <w:tblGrid>
        <w:gridCol w:w="4134"/>
        <w:gridCol w:w="1685"/>
        <w:gridCol w:w="1233"/>
        <w:gridCol w:w="996"/>
      </w:tblGrid>
      <w:tr>
        <w:trPr>
          <w:trHeight w:val="518" w:hRule="exact"/>
        </w:trPr>
        <w:tc>
          <w:tcPr>
            <w:tcW w:w="4134" w:type="dxa"/>
            <w:tcBorders>
              <w:top w:val="nil" w:sz="6" w:space="0" w:color="auto"/>
              <w:left w:val="nil" w:sz="6" w:space="0" w:color="auto"/>
              <w:bottom w:val="nil" w:sz="6" w:space="0" w:color="auto"/>
              <w:right w:val="nil" w:sz="6" w:space="0" w:color="auto"/>
            </w:tcBorders>
            <w:shd w:val="clear" w:color="auto" w:fill="BFD22B"/>
          </w:tcPr>
          <w:p>
            <w:pPr/>
          </w:p>
        </w:tc>
        <w:tc>
          <w:tcPr>
            <w:tcW w:w="1685"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8"/>
              <w:ind w:left="723" w:right="0"/>
              <w:jc w:val="left"/>
              <w:rPr>
                <w:rFonts w:ascii="Swis721 Cn BT" w:hAnsi="Swis721 Cn BT" w:cs="Swis721 Cn BT" w:eastAsia="Swis721 Cn BT"/>
                <w:sz w:val="18"/>
                <w:szCs w:val="18"/>
              </w:rPr>
            </w:pPr>
            <w:r>
              <w:rPr>
                <w:rFonts w:ascii="Swis721 Cn BT"/>
                <w:color w:val="303B41"/>
                <w:sz w:val="18"/>
              </w:rPr>
              <w:t>Category</w:t>
            </w:r>
            <w:r>
              <w:rPr>
                <w:rFonts w:ascii="Swis721 Cn BT"/>
                <w:sz w:val="18"/>
              </w:rPr>
            </w:r>
          </w:p>
        </w:tc>
        <w:tc>
          <w:tcPr>
            <w:tcW w:w="1233"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8"/>
              <w:ind w:left="543" w:right="0"/>
              <w:jc w:val="left"/>
              <w:rPr>
                <w:rFonts w:ascii="Swis721 Cn BT" w:hAnsi="Swis721 Cn BT" w:cs="Swis721 Cn BT" w:eastAsia="Swis721 Cn BT"/>
                <w:sz w:val="18"/>
                <w:szCs w:val="18"/>
              </w:rPr>
            </w:pPr>
            <w:r>
              <w:rPr>
                <w:rFonts w:ascii="Swis721 Cn BT"/>
                <w:color w:val="303B41"/>
                <w:sz w:val="18"/>
              </w:rPr>
              <w:t>2019</w:t>
            </w:r>
            <w:r>
              <w:rPr>
                <w:rFonts w:ascii="Swis721 Cn BT"/>
                <w:sz w:val="18"/>
              </w:rPr>
            </w:r>
          </w:p>
          <w:p>
            <w:pPr>
              <w:pStyle w:val="TableParagraph"/>
              <w:spacing w:line="240" w:lineRule="auto"/>
              <w:ind w:left="812" w:right="0"/>
              <w:jc w:val="left"/>
              <w:rPr>
                <w:rFonts w:ascii="Swis721 Cn BT" w:hAnsi="Swis721 Cn BT" w:cs="Swis721 Cn BT" w:eastAsia="Swis721 Cn BT"/>
                <w:sz w:val="18"/>
                <w:szCs w:val="18"/>
              </w:rPr>
            </w:pPr>
            <w:r>
              <w:rPr>
                <w:rFonts w:ascii="Swis721 Cn BT"/>
                <w:color w:val="303B41"/>
                <w:sz w:val="18"/>
              </w:rPr>
              <w:t>$</w:t>
            </w:r>
            <w:r>
              <w:rPr>
                <w:rFonts w:ascii="Swis721 Cn BT"/>
                <w:sz w:val="18"/>
              </w:rPr>
            </w:r>
          </w:p>
        </w:tc>
        <w:tc>
          <w:tcPr>
            <w:tcW w:w="99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8"/>
              <w:ind w:right="77"/>
              <w:jc w:val="right"/>
              <w:rPr>
                <w:rFonts w:ascii="Swis721 Cn BT" w:hAnsi="Swis721 Cn BT" w:cs="Swis721 Cn BT" w:eastAsia="Swis721 Cn BT"/>
                <w:sz w:val="18"/>
                <w:szCs w:val="18"/>
              </w:rPr>
            </w:pPr>
            <w:r>
              <w:rPr>
                <w:rFonts w:ascii="Swis721 Cn BT"/>
                <w:color w:val="303B41"/>
                <w:sz w:val="18"/>
              </w:rPr>
              <w:t>2018</w:t>
            </w:r>
            <w:r>
              <w:rPr>
                <w:rFonts w:ascii="Swis721 Cn BT"/>
                <w:sz w:val="18"/>
              </w:rPr>
            </w:r>
          </w:p>
          <w:p>
            <w:pPr>
              <w:pStyle w:val="TableParagraph"/>
              <w:spacing w:line="240" w:lineRule="auto"/>
              <w:ind w:right="77"/>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r>
      <w:tr>
        <w:trPr>
          <w:trHeight w:val="499" w:hRule="exact"/>
        </w:trPr>
        <w:tc>
          <w:tcPr>
            <w:tcW w:w="4134" w:type="dxa"/>
            <w:tcBorders>
              <w:top w:val="nil" w:sz="6" w:space="0" w:color="auto"/>
              <w:left w:val="nil" w:sz="6" w:space="0" w:color="auto"/>
              <w:bottom w:val="nil" w:sz="6" w:space="0" w:color="auto"/>
              <w:right w:val="nil" w:sz="6" w:space="0" w:color="auto"/>
            </w:tcBorders>
          </w:tcPr>
          <w:p>
            <w:pPr>
              <w:pStyle w:val="TableParagraph"/>
              <w:spacing w:line="240" w:lineRule="auto" w:before="2"/>
              <w:ind w:right="0"/>
              <w:jc w:val="left"/>
              <w:rPr>
                <w:rFonts w:ascii="Swis721 BT" w:hAnsi="Swis721 BT" w:cs="Swis721 BT" w:eastAsia="Swis721 BT"/>
                <w:sz w:val="16"/>
                <w:szCs w:val="16"/>
              </w:rPr>
            </w:pPr>
          </w:p>
          <w:p>
            <w:pPr>
              <w:pStyle w:val="TableParagraph"/>
              <w:spacing w:line="240" w:lineRule="auto"/>
              <w:ind w:left="55" w:right="0"/>
              <w:jc w:val="left"/>
              <w:rPr>
                <w:rFonts w:ascii="Swis721 BT" w:hAnsi="Swis721 BT" w:cs="Swis721 BT" w:eastAsia="Swis721 BT"/>
                <w:sz w:val="20"/>
                <w:szCs w:val="20"/>
              </w:rPr>
            </w:pPr>
            <w:r>
              <w:rPr>
                <w:rFonts w:ascii="Swis721 BT"/>
                <w:b/>
                <w:color w:val="00757A"/>
                <w:sz w:val="20"/>
              </w:rPr>
              <w:t>NON-FINANCIAL ASSETS</w:t>
            </w:r>
            <w:r>
              <w:rPr>
                <w:rFonts w:ascii="Swis721 BT"/>
                <w:sz w:val="20"/>
              </w:rPr>
            </w:r>
          </w:p>
        </w:tc>
        <w:tc>
          <w:tcPr>
            <w:tcW w:w="1685" w:type="dxa"/>
            <w:tcBorders>
              <w:top w:val="nil" w:sz="6" w:space="0" w:color="auto"/>
              <w:left w:val="nil" w:sz="6" w:space="0" w:color="auto"/>
              <w:bottom w:val="nil" w:sz="6" w:space="0" w:color="auto"/>
              <w:right w:val="nil" w:sz="6" w:space="0" w:color="auto"/>
            </w:tcBorders>
          </w:tcPr>
          <w:p>
            <w:pPr/>
          </w:p>
        </w:tc>
        <w:tc>
          <w:tcPr>
            <w:tcW w:w="1233" w:type="dxa"/>
            <w:tcBorders>
              <w:top w:val="nil" w:sz="6" w:space="0" w:color="auto"/>
              <w:left w:val="nil" w:sz="6" w:space="0" w:color="auto"/>
              <w:bottom w:val="nil" w:sz="6" w:space="0" w:color="auto"/>
              <w:right w:val="nil" w:sz="6" w:space="0" w:color="auto"/>
            </w:tcBorders>
          </w:tcPr>
          <w:p>
            <w:pPr/>
          </w:p>
        </w:tc>
        <w:tc>
          <w:tcPr>
            <w:tcW w:w="996" w:type="dxa"/>
            <w:tcBorders>
              <w:top w:val="nil" w:sz="6" w:space="0" w:color="auto"/>
              <w:left w:val="nil" w:sz="6" w:space="0" w:color="auto"/>
              <w:bottom w:val="nil" w:sz="6" w:space="0" w:color="auto"/>
              <w:right w:val="nil" w:sz="6" w:space="0" w:color="auto"/>
            </w:tcBorders>
          </w:tcPr>
          <w:p>
            <w:pPr/>
          </w:p>
        </w:tc>
      </w:tr>
      <w:tr>
        <w:trPr>
          <w:trHeight w:val="320" w:hRule="exact"/>
        </w:trPr>
        <w:tc>
          <w:tcPr>
            <w:tcW w:w="4134" w:type="dxa"/>
            <w:tcBorders>
              <w:top w:val="nil" w:sz="6" w:space="0" w:color="auto"/>
              <w:left w:val="nil" w:sz="6" w:space="0" w:color="auto"/>
              <w:bottom w:val="single" w:sz="8" w:space="0" w:color="848B91"/>
              <w:right w:val="nil" w:sz="6" w:space="0" w:color="auto"/>
            </w:tcBorders>
          </w:tcPr>
          <w:p>
            <w:pPr>
              <w:pStyle w:val="TableParagraph"/>
              <w:spacing w:line="240" w:lineRule="auto" w:before="44"/>
              <w:ind w:left="55" w:right="0"/>
              <w:jc w:val="left"/>
              <w:rPr>
                <w:rFonts w:ascii="Swis721 Lt BT" w:hAnsi="Swis721 Lt BT" w:cs="Swis721 Lt BT" w:eastAsia="Swis721 Lt BT"/>
                <w:sz w:val="18"/>
                <w:szCs w:val="18"/>
              </w:rPr>
            </w:pPr>
            <w:r>
              <w:rPr>
                <w:rFonts w:ascii="Swis721 Lt BT"/>
                <w:color w:val="231F20"/>
                <w:sz w:val="18"/>
              </w:rPr>
              <w:t>Cultural</w:t>
            </w:r>
            <w:r>
              <w:rPr>
                <w:rFonts w:ascii="Swis721 Lt BT"/>
                <w:sz w:val="18"/>
              </w:rPr>
            </w:r>
          </w:p>
        </w:tc>
        <w:tc>
          <w:tcPr>
            <w:tcW w:w="1685" w:type="dxa"/>
            <w:tcBorders>
              <w:top w:val="nil" w:sz="6" w:space="0" w:color="auto"/>
              <w:left w:val="nil" w:sz="6" w:space="0" w:color="auto"/>
              <w:bottom w:val="single" w:sz="8" w:space="0" w:color="848B91"/>
              <w:right w:val="nil" w:sz="6" w:space="0" w:color="auto"/>
            </w:tcBorders>
          </w:tcPr>
          <w:p>
            <w:pPr>
              <w:pStyle w:val="TableParagraph"/>
              <w:spacing w:line="240" w:lineRule="auto" w:before="44"/>
              <w:ind w:left="792" w:right="0"/>
              <w:jc w:val="left"/>
              <w:rPr>
                <w:rFonts w:ascii="Swis721 Lt BT" w:hAnsi="Swis721 Lt BT" w:cs="Swis721 Lt BT" w:eastAsia="Swis721 Lt BT"/>
                <w:sz w:val="18"/>
                <w:szCs w:val="18"/>
              </w:rPr>
            </w:pPr>
            <w:r>
              <w:rPr>
                <w:rFonts w:ascii="Swis721 Lt BT"/>
                <w:color w:val="231F20"/>
                <w:sz w:val="18"/>
              </w:rPr>
              <w:t>Level 2</w:t>
            </w:r>
            <w:r>
              <w:rPr>
                <w:rFonts w:ascii="Swis721 Lt BT"/>
                <w:sz w:val="18"/>
              </w:rPr>
            </w:r>
          </w:p>
        </w:tc>
        <w:tc>
          <w:tcPr>
            <w:tcW w:w="1233" w:type="dxa"/>
            <w:tcBorders>
              <w:top w:val="nil" w:sz="6" w:space="0" w:color="auto"/>
              <w:left w:val="nil" w:sz="6" w:space="0" w:color="auto"/>
              <w:bottom w:val="single" w:sz="8" w:space="0" w:color="848B91"/>
              <w:right w:val="nil" w:sz="6" w:space="0" w:color="auto"/>
            </w:tcBorders>
          </w:tcPr>
          <w:p>
            <w:pPr>
              <w:pStyle w:val="TableParagraph"/>
              <w:spacing w:line="240" w:lineRule="auto" w:before="44"/>
              <w:ind w:left="369" w:right="0"/>
              <w:jc w:val="left"/>
              <w:rPr>
                <w:rFonts w:ascii="Swis721 Lt BT" w:hAnsi="Swis721 Lt BT" w:cs="Swis721 Lt BT" w:eastAsia="Swis721 Lt BT"/>
                <w:sz w:val="18"/>
                <w:szCs w:val="18"/>
              </w:rPr>
            </w:pPr>
            <w:r>
              <w:rPr>
                <w:rFonts w:ascii="Swis721 Lt BT"/>
                <w:color w:val="231F20"/>
                <w:sz w:val="18"/>
              </w:rPr>
              <w:t>12,000</w:t>
            </w:r>
            <w:r>
              <w:rPr>
                <w:rFonts w:ascii="Swis721 Lt BT"/>
                <w:sz w:val="18"/>
              </w:rPr>
            </w:r>
          </w:p>
        </w:tc>
        <w:tc>
          <w:tcPr>
            <w:tcW w:w="996" w:type="dxa"/>
            <w:tcBorders>
              <w:top w:val="nil" w:sz="6" w:space="0" w:color="auto"/>
              <w:left w:val="nil" w:sz="6" w:space="0" w:color="auto"/>
              <w:bottom w:val="single" w:sz="8" w:space="0" w:color="848B91"/>
              <w:right w:val="nil" w:sz="6" w:space="0" w:color="auto"/>
            </w:tcBorders>
          </w:tcPr>
          <w:p>
            <w:pPr>
              <w:pStyle w:val="TableParagraph"/>
              <w:spacing w:line="240" w:lineRule="auto" w:before="44"/>
              <w:ind w:left="375" w:right="0"/>
              <w:jc w:val="left"/>
              <w:rPr>
                <w:rFonts w:ascii="Swis721 Lt BT" w:hAnsi="Swis721 Lt BT" w:cs="Swis721 Lt BT" w:eastAsia="Swis721 Lt BT"/>
                <w:sz w:val="18"/>
                <w:szCs w:val="18"/>
              </w:rPr>
            </w:pPr>
            <w:r>
              <w:rPr>
                <w:rFonts w:ascii="Swis721 Lt BT"/>
                <w:color w:val="231F20"/>
                <w:sz w:val="18"/>
              </w:rPr>
              <w:t>12,000</w:t>
            </w:r>
            <w:r>
              <w:rPr>
                <w:rFonts w:ascii="Swis721 Lt BT"/>
                <w:sz w:val="18"/>
              </w:rPr>
            </w:r>
          </w:p>
        </w:tc>
      </w:tr>
      <w:tr>
        <w:trPr>
          <w:trHeight w:val="349" w:hRule="exact"/>
        </w:trPr>
        <w:tc>
          <w:tcPr>
            <w:tcW w:w="4134" w:type="dxa"/>
            <w:tcBorders>
              <w:top w:val="single" w:sz="8" w:space="0" w:color="848B91"/>
              <w:left w:val="nil" w:sz="6" w:space="0" w:color="auto"/>
              <w:bottom w:val="single" w:sz="8" w:space="0" w:color="71797F"/>
              <w:right w:val="nil" w:sz="6" w:space="0" w:color="auto"/>
            </w:tcBorders>
          </w:tcPr>
          <w:p>
            <w:pPr>
              <w:pStyle w:val="TableParagraph"/>
              <w:spacing w:line="240" w:lineRule="auto" w:before="53"/>
              <w:ind w:left="55" w:right="0"/>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pacing w:val="-6"/>
                <w:sz w:val="18"/>
              </w:rPr>
              <w:t> </w:t>
            </w:r>
            <w:r>
              <w:rPr>
                <w:rFonts w:ascii="Swis721 Md BT"/>
                <w:color w:val="231F20"/>
                <w:sz w:val="18"/>
              </w:rPr>
              <w:t>non-financial</w:t>
            </w:r>
            <w:r>
              <w:rPr>
                <w:rFonts w:ascii="Swis721 Md BT"/>
                <w:color w:val="231F20"/>
                <w:spacing w:val="-5"/>
                <w:sz w:val="18"/>
              </w:rPr>
              <w:t> </w:t>
            </w:r>
            <w:r>
              <w:rPr>
                <w:rFonts w:ascii="Swis721 Md BT"/>
                <w:color w:val="231F20"/>
                <w:sz w:val="18"/>
              </w:rPr>
              <w:t>assets</w:t>
            </w:r>
            <w:r>
              <w:rPr>
                <w:rFonts w:ascii="Swis721 Md BT"/>
                <w:sz w:val="18"/>
              </w:rPr>
            </w:r>
          </w:p>
        </w:tc>
        <w:tc>
          <w:tcPr>
            <w:tcW w:w="1685" w:type="dxa"/>
            <w:tcBorders>
              <w:top w:val="single" w:sz="8" w:space="0" w:color="848B91"/>
              <w:left w:val="nil" w:sz="6" w:space="0" w:color="auto"/>
              <w:bottom w:val="single" w:sz="8" w:space="0" w:color="71797F"/>
              <w:right w:val="nil" w:sz="6" w:space="0" w:color="auto"/>
            </w:tcBorders>
          </w:tcPr>
          <w:p>
            <w:pPr/>
          </w:p>
        </w:tc>
        <w:tc>
          <w:tcPr>
            <w:tcW w:w="1233" w:type="dxa"/>
            <w:tcBorders>
              <w:top w:val="single" w:sz="8" w:space="0" w:color="848B91"/>
              <w:left w:val="nil" w:sz="6" w:space="0" w:color="auto"/>
              <w:bottom w:val="single" w:sz="8" w:space="0" w:color="71797F"/>
              <w:right w:val="nil" w:sz="6" w:space="0" w:color="auto"/>
            </w:tcBorders>
          </w:tcPr>
          <w:p>
            <w:pPr>
              <w:pStyle w:val="TableParagraph"/>
              <w:spacing w:line="240" w:lineRule="auto" w:before="53"/>
              <w:ind w:left="344" w:right="0"/>
              <w:jc w:val="left"/>
              <w:rPr>
                <w:rFonts w:ascii="Swis721 Md BT" w:hAnsi="Swis721 Md BT" w:cs="Swis721 Md BT" w:eastAsia="Swis721 Md BT"/>
                <w:sz w:val="18"/>
                <w:szCs w:val="18"/>
              </w:rPr>
            </w:pPr>
            <w:r>
              <w:rPr>
                <w:rFonts w:ascii="Swis721 Md BT"/>
                <w:color w:val="231F20"/>
                <w:sz w:val="18"/>
              </w:rPr>
              <w:t>12,000</w:t>
            </w:r>
            <w:r>
              <w:rPr>
                <w:rFonts w:ascii="Swis721 Md BT"/>
                <w:sz w:val="18"/>
              </w:rPr>
            </w:r>
          </w:p>
        </w:tc>
        <w:tc>
          <w:tcPr>
            <w:tcW w:w="996" w:type="dxa"/>
            <w:tcBorders>
              <w:top w:val="single" w:sz="8" w:space="0" w:color="848B91"/>
              <w:left w:val="nil" w:sz="6" w:space="0" w:color="auto"/>
              <w:bottom w:val="single" w:sz="8" w:space="0" w:color="71797F"/>
              <w:right w:val="nil" w:sz="6" w:space="0" w:color="auto"/>
            </w:tcBorders>
          </w:tcPr>
          <w:p>
            <w:pPr>
              <w:pStyle w:val="TableParagraph"/>
              <w:spacing w:line="240" w:lineRule="auto" w:before="53"/>
              <w:ind w:left="331" w:right="0"/>
              <w:jc w:val="left"/>
              <w:rPr>
                <w:rFonts w:ascii="Swis721 Md BT" w:hAnsi="Swis721 Md BT" w:cs="Swis721 Md BT" w:eastAsia="Swis721 Md BT"/>
                <w:sz w:val="18"/>
                <w:szCs w:val="18"/>
              </w:rPr>
            </w:pPr>
            <w:r>
              <w:rPr>
                <w:rFonts w:ascii="Swis721 Md BT"/>
                <w:color w:val="231F20"/>
                <w:sz w:val="18"/>
              </w:rPr>
              <w:t>12,000</w:t>
            </w:r>
            <w:r>
              <w:rPr>
                <w:rFonts w:ascii="Swis721 Md BT"/>
                <w:sz w:val="18"/>
              </w:rPr>
            </w:r>
          </w:p>
        </w:tc>
      </w:tr>
      <w:tr>
        <w:trPr>
          <w:trHeight w:val="565" w:hRule="exact"/>
        </w:trPr>
        <w:tc>
          <w:tcPr>
            <w:tcW w:w="4134" w:type="dxa"/>
            <w:tcBorders>
              <w:top w:val="single" w:sz="8" w:space="0" w:color="71797F"/>
              <w:left w:val="nil" w:sz="6" w:space="0" w:color="auto"/>
              <w:bottom w:val="single" w:sz="8" w:space="0" w:color="71797F"/>
              <w:right w:val="nil" w:sz="6" w:space="0" w:color="auto"/>
            </w:tcBorders>
          </w:tcPr>
          <w:p>
            <w:pPr>
              <w:pStyle w:val="TableParagraph"/>
              <w:spacing w:line="240" w:lineRule="auto" w:before="53"/>
              <w:ind w:left="55" w:right="721"/>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fair value measurement of assets in</w:t>
            </w:r>
            <w:r>
              <w:rPr>
                <w:rFonts w:ascii="Swis721 Md BT"/>
                <w:color w:val="231F20"/>
                <w:spacing w:val="22"/>
                <w:sz w:val="18"/>
              </w:rPr>
              <w:t> </w:t>
            </w:r>
            <w:r>
              <w:rPr>
                <w:rFonts w:ascii="Swis721 Md BT"/>
                <w:color w:val="231F20"/>
                <w:sz w:val="18"/>
              </w:rPr>
              <w:t>the</w:t>
            </w:r>
            <w:r>
              <w:rPr>
                <w:rFonts w:ascii="Swis721 Md BT"/>
                <w:color w:val="231F20"/>
                <w:spacing w:val="-2"/>
                <w:sz w:val="18"/>
              </w:rPr>
              <w:t> </w:t>
            </w:r>
            <w:r>
              <w:rPr>
                <w:rFonts w:ascii="Swis721 Md BT"/>
                <w:color w:val="231F20"/>
                <w:sz w:val="18"/>
              </w:rPr>
              <w:t>statement</w:t>
            </w:r>
            <w:r>
              <w:rPr>
                <w:rFonts w:ascii="Swis721 Md BT"/>
                <w:color w:val="231F20"/>
                <w:spacing w:val="-2"/>
                <w:sz w:val="18"/>
              </w:rPr>
              <w:t> </w:t>
            </w:r>
            <w:r>
              <w:rPr>
                <w:rFonts w:ascii="Swis721 Md BT"/>
                <w:color w:val="231F20"/>
                <w:sz w:val="18"/>
              </w:rPr>
              <w:t>of</w:t>
            </w:r>
            <w:r>
              <w:rPr>
                <w:rFonts w:ascii="Swis721 Md BT"/>
                <w:color w:val="231F20"/>
                <w:spacing w:val="-2"/>
                <w:sz w:val="18"/>
              </w:rPr>
              <w:t> </w:t>
            </w:r>
            <w:r>
              <w:rPr>
                <w:rFonts w:ascii="Swis721 Md BT"/>
                <w:color w:val="231F20"/>
                <w:sz w:val="18"/>
              </w:rPr>
              <w:t>financial</w:t>
            </w:r>
            <w:r>
              <w:rPr>
                <w:rFonts w:ascii="Swis721 Md BT"/>
                <w:color w:val="231F20"/>
                <w:spacing w:val="-1"/>
                <w:sz w:val="18"/>
              </w:rPr>
              <w:t> </w:t>
            </w:r>
            <w:r>
              <w:rPr>
                <w:rFonts w:ascii="Swis721 Md BT"/>
                <w:color w:val="231F20"/>
                <w:sz w:val="18"/>
              </w:rPr>
              <w:t>position</w:t>
            </w:r>
            <w:r>
              <w:rPr>
                <w:rFonts w:ascii="Swis721 Md BT"/>
                <w:sz w:val="18"/>
              </w:rPr>
            </w:r>
          </w:p>
        </w:tc>
        <w:tc>
          <w:tcPr>
            <w:tcW w:w="1685" w:type="dxa"/>
            <w:tcBorders>
              <w:top w:val="single" w:sz="8" w:space="0" w:color="71797F"/>
              <w:left w:val="nil" w:sz="6" w:space="0" w:color="auto"/>
              <w:bottom w:val="single" w:sz="8" w:space="0" w:color="71797F"/>
              <w:right w:val="nil" w:sz="6" w:space="0" w:color="auto"/>
            </w:tcBorders>
          </w:tcPr>
          <w:p>
            <w:pPr/>
          </w:p>
        </w:tc>
        <w:tc>
          <w:tcPr>
            <w:tcW w:w="1233" w:type="dxa"/>
            <w:tcBorders>
              <w:top w:val="single" w:sz="8" w:space="0" w:color="71797F"/>
              <w:left w:val="nil" w:sz="6" w:space="0" w:color="auto"/>
              <w:bottom w:val="single" w:sz="8" w:space="0" w:color="71797F"/>
              <w:right w:val="nil" w:sz="6" w:space="0" w:color="auto"/>
            </w:tcBorders>
          </w:tcPr>
          <w:p>
            <w:pPr>
              <w:pStyle w:val="TableParagraph"/>
              <w:spacing w:line="240" w:lineRule="auto" w:before="53"/>
              <w:ind w:left="344" w:right="0"/>
              <w:jc w:val="left"/>
              <w:rPr>
                <w:rFonts w:ascii="Swis721 Md BT" w:hAnsi="Swis721 Md BT" w:cs="Swis721 Md BT" w:eastAsia="Swis721 Md BT"/>
                <w:sz w:val="18"/>
                <w:szCs w:val="18"/>
              </w:rPr>
            </w:pPr>
            <w:r>
              <w:rPr>
                <w:rFonts w:ascii="Swis721 Md BT"/>
                <w:color w:val="231F20"/>
                <w:sz w:val="18"/>
              </w:rPr>
              <w:t>12,000</w:t>
            </w:r>
            <w:r>
              <w:rPr>
                <w:rFonts w:ascii="Swis721 Md BT"/>
                <w:sz w:val="18"/>
              </w:rPr>
            </w:r>
          </w:p>
        </w:tc>
        <w:tc>
          <w:tcPr>
            <w:tcW w:w="996" w:type="dxa"/>
            <w:tcBorders>
              <w:top w:val="single" w:sz="8" w:space="0" w:color="71797F"/>
              <w:left w:val="nil" w:sz="6" w:space="0" w:color="auto"/>
              <w:bottom w:val="single" w:sz="8" w:space="0" w:color="71797F"/>
              <w:right w:val="nil" w:sz="6" w:space="0" w:color="auto"/>
            </w:tcBorders>
          </w:tcPr>
          <w:p>
            <w:pPr>
              <w:pStyle w:val="TableParagraph"/>
              <w:spacing w:line="240" w:lineRule="auto" w:before="53"/>
              <w:ind w:left="331" w:right="0"/>
              <w:jc w:val="left"/>
              <w:rPr>
                <w:rFonts w:ascii="Swis721 Md BT" w:hAnsi="Swis721 Md BT" w:cs="Swis721 Md BT" w:eastAsia="Swis721 Md BT"/>
                <w:sz w:val="18"/>
                <w:szCs w:val="18"/>
              </w:rPr>
            </w:pPr>
            <w:r>
              <w:rPr>
                <w:rFonts w:ascii="Swis721 Md BT"/>
                <w:color w:val="231F20"/>
                <w:sz w:val="18"/>
              </w:rPr>
              <w:t>12,000</w:t>
            </w:r>
            <w:r>
              <w:rPr>
                <w:rFonts w:ascii="Swis721 Md BT"/>
                <w:sz w:val="18"/>
              </w:rPr>
            </w:r>
          </w:p>
        </w:tc>
      </w:tr>
    </w:tbl>
    <w:p>
      <w:pPr>
        <w:spacing w:line="240" w:lineRule="auto" w:before="8"/>
        <w:rPr>
          <w:rFonts w:ascii="Swis721 BT" w:hAnsi="Swis721 BT" w:cs="Swis721 BT" w:eastAsia="Swis721 BT"/>
          <w:sz w:val="25"/>
          <w:szCs w:val="25"/>
        </w:rPr>
      </w:pPr>
    </w:p>
    <w:p>
      <w:pPr>
        <w:pStyle w:val="BodyText"/>
        <w:spacing w:line="240" w:lineRule="auto" w:before="69"/>
        <w:ind w:left="173" w:right="0"/>
        <w:jc w:val="left"/>
      </w:pPr>
      <w:r>
        <w:rPr>
          <w:rFonts w:ascii="Arial" w:hAnsi="Arial"/>
          <w:color w:val="00757A"/>
        </w:rPr>
        <w:t>ϐ </w:t>
      </w:r>
      <w:r>
        <w:rPr>
          <w:rFonts w:ascii="Arial" w:hAnsi="Arial"/>
          <w:color w:val="00757A"/>
          <w:spacing w:val="5"/>
        </w:rPr>
        <w:t> </w:t>
      </w:r>
      <w:r>
        <w:rPr>
          <w:color w:val="231F20"/>
        </w:rPr>
        <w:t>AITSL</w:t>
      </w:r>
      <w:r>
        <w:rPr>
          <w:color w:val="231F20"/>
          <w:spacing w:val="-1"/>
        </w:rPr>
        <w:t> </w:t>
      </w:r>
      <w:r>
        <w:rPr>
          <w:color w:val="231F20"/>
        </w:rPr>
        <w:t>does</w:t>
      </w:r>
      <w:r>
        <w:rPr>
          <w:color w:val="231F20"/>
          <w:spacing w:val="-1"/>
        </w:rPr>
        <w:t> </w:t>
      </w:r>
      <w:r>
        <w:rPr>
          <w:color w:val="231F20"/>
        </w:rPr>
        <w:t>not hold</w:t>
      </w:r>
      <w:r>
        <w:rPr>
          <w:color w:val="231F20"/>
          <w:spacing w:val="-1"/>
        </w:rPr>
        <w:t> </w:t>
      </w:r>
      <w:r>
        <w:rPr>
          <w:color w:val="231F20"/>
        </w:rPr>
        <w:t>any</w:t>
      </w:r>
      <w:r>
        <w:rPr>
          <w:color w:val="231F20"/>
          <w:spacing w:val="-1"/>
        </w:rPr>
        <w:t> </w:t>
      </w:r>
      <w:r>
        <w:rPr>
          <w:color w:val="231F20"/>
        </w:rPr>
        <w:t>non-financial</w:t>
      </w:r>
      <w:r>
        <w:rPr>
          <w:color w:val="231F20"/>
          <w:spacing w:val="-1"/>
        </w:rPr>
        <w:t> </w:t>
      </w:r>
      <w:r>
        <w:rPr>
          <w:color w:val="231F20"/>
        </w:rPr>
        <w:t>liabilities.</w:t>
      </w:r>
      <w:r>
        <w:rPr/>
      </w:r>
    </w:p>
    <w:p>
      <w:pPr>
        <w:pStyle w:val="BodyText"/>
        <w:spacing w:line="240" w:lineRule="auto"/>
        <w:ind w:left="174" w:right="0"/>
        <w:jc w:val="left"/>
      </w:pPr>
      <w:r>
        <w:rPr>
          <w:rFonts w:ascii="Arial" w:hAnsi="Arial"/>
          <w:color w:val="00757A"/>
        </w:rPr>
        <w:t>ϐ </w:t>
      </w:r>
      <w:r>
        <w:rPr>
          <w:rFonts w:ascii="Arial" w:hAnsi="Arial"/>
          <w:color w:val="00757A"/>
          <w:spacing w:val="7"/>
        </w:rPr>
        <w:t> </w:t>
      </w:r>
      <w:r>
        <w:rPr>
          <w:color w:val="231F20"/>
        </w:rPr>
        <w:t>No</w:t>
      </w:r>
      <w:r>
        <w:rPr>
          <w:color w:val="231F20"/>
          <w:spacing w:val="1"/>
        </w:rPr>
        <w:t> </w:t>
      </w:r>
      <w:r>
        <w:rPr>
          <w:color w:val="231F20"/>
        </w:rPr>
        <w:t>assets or liabilities have</w:t>
      </w:r>
      <w:r>
        <w:rPr>
          <w:color w:val="231F20"/>
          <w:spacing w:val="1"/>
        </w:rPr>
        <w:t> </w:t>
      </w:r>
      <w:r>
        <w:rPr>
          <w:color w:val="231F20"/>
        </w:rPr>
        <w:t>been transferred between</w:t>
      </w:r>
      <w:r>
        <w:rPr>
          <w:color w:val="231F20"/>
          <w:spacing w:val="1"/>
        </w:rPr>
        <w:t> </w:t>
      </w:r>
      <w:r>
        <w:rPr>
          <w:color w:val="231F20"/>
        </w:rPr>
        <w:t>value levels during</w:t>
      </w:r>
      <w:r>
        <w:rPr>
          <w:color w:val="231F20"/>
          <w:spacing w:val="1"/>
        </w:rPr>
        <w:t> </w:t>
      </w:r>
      <w:r>
        <w:rPr>
          <w:color w:val="231F20"/>
        </w:rPr>
        <w:t>the </w:t>
      </w:r>
      <w:r>
        <w:rPr>
          <w:color w:val="231F20"/>
          <w:spacing w:val="-4"/>
        </w:rPr>
        <w:t>year.</w:t>
      </w:r>
      <w:r>
        <w:rPr/>
      </w:r>
    </w:p>
    <w:p>
      <w:pPr>
        <w:pStyle w:val="BodyText"/>
        <w:spacing w:line="240" w:lineRule="auto"/>
        <w:ind w:left="401" w:right="121" w:hanging="227"/>
        <w:jc w:val="left"/>
      </w:pPr>
      <w:r>
        <w:rPr>
          <w:rFonts w:ascii="Arial" w:hAnsi="Arial"/>
          <w:color w:val="00757A"/>
        </w:rPr>
        <w:t>ϐ </w:t>
      </w:r>
      <w:r>
        <w:rPr>
          <w:rFonts w:ascii="Arial" w:hAnsi="Arial"/>
          <w:color w:val="00757A"/>
          <w:spacing w:val="7"/>
        </w:rPr>
        <w:t> </w:t>
      </w:r>
      <w:r>
        <w:rPr>
          <w:color w:val="231F20"/>
        </w:rPr>
        <w:t>The observable</w:t>
      </w:r>
      <w:r>
        <w:rPr>
          <w:color w:val="231F20"/>
          <w:spacing w:val="1"/>
        </w:rPr>
        <w:t> </w:t>
      </w:r>
      <w:r>
        <w:rPr>
          <w:color w:val="231F20"/>
        </w:rPr>
        <w:t>inputs used in</w:t>
      </w:r>
      <w:r>
        <w:rPr>
          <w:color w:val="231F20"/>
          <w:spacing w:val="1"/>
        </w:rPr>
        <w:t> </w:t>
      </w:r>
      <w:r>
        <w:rPr>
          <w:color w:val="231F20"/>
        </w:rPr>
        <w:t>the fair value measurement</w:t>
      </w:r>
      <w:r>
        <w:rPr>
          <w:color w:val="231F20"/>
          <w:spacing w:val="1"/>
        </w:rPr>
        <w:t> </w:t>
      </w:r>
      <w:r>
        <w:rPr>
          <w:color w:val="231F20"/>
        </w:rPr>
        <w:t>of cultural assets</w:t>
      </w:r>
      <w:r>
        <w:rPr>
          <w:color w:val="231F20"/>
          <w:spacing w:val="1"/>
        </w:rPr>
        <w:t> </w:t>
      </w:r>
      <w:r>
        <w:rPr>
          <w:color w:val="231F20"/>
        </w:rPr>
        <w:t>are independent</w:t>
      </w:r>
      <w:r>
        <w:rPr>
          <w:color w:val="231F20"/>
        </w:rPr>
        <w:t> valuations dated 26 June 2015, based on recent sales value.</w:t>
      </w:r>
      <w:r>
        <w:rPr/>
      </w:r>
    </w:p>
    <w:p>
      <w:pPr>
        <w:spacing w:after="0" w:line="240" w:lineRule="auto"/>
        <w:jc w:val="left"/>
        <w:sectPr>
          <w:pgSz w:w="9980" w:h="14180"/>
          <w:pgMar w:header="0" w:footer="452" w:top="360" w:bottom="640" w:left="960" w:right="740"/>
        </w:sectPr>
      </w:pPr>
    </w:p>
    <w:p>
      <w:pPr>
        <w:spacing w:line="240" w:lineRule="auto" w:before="8"/>
        <w:rPr>
          <w:rFonts w:ascii="Swis721 Lt BT" w:hAnsi="Swis721 Lt BT" w:cs="Swis721 Lt BT" w:eastAsia="Swis721 Lt BT"/>
          <w:sz w:val="6"/>
          <w:szCs w:val="6"/>
        </w:rPr>
      </w:pPr>
    </w:p>
    <w:tbl>
      <w:tblPr>
        <w:tblW w:w="0" w:type="auto"/>
        <w:jc w:val="left"/>
        <w:tblInd w:w="170" w:type="dxa"/>
        <w:tblLayout w:type="fixed"/>
        <w:tblCellMar>
          <w:top w:w="0" w:type="dxa"/>
          <w:left w:w="0" w:type="dxa"/>
          <w:bottom w:w="0" w:type="dxa"/>
          <w:right w:w="0" w:type="dxa"/>
        </w:tblCellMar>
        <w:tblLook w:val="01E0"/>
      </w:tblPr>
      <w:tblGrid>
        <w:gridCol w:w="5499"/>
        <w:gridCol w:w="1448"/>
        <w:gridCol w:w="1046"/>
      </w:tblGrid>
      <w:tr>
        <w:trPr>
          <w:trHeight w:val="600" w:hRule="exact"/>
        </w:trPr>
        <w:tc>
          <w:tcPr>
            <w:tcW w:w="5499" w:type="dxa"/>
            <w:tcBorders>
              <w:top w:val="nil" w:sz="6" w:space="0" w:color="auto"/>
              <w:left w:val="nil" w:sz="6" w:space="0" w:color="auto"/>
              <w:bottom w:val="nil" w:sz="6" w:space="0" w:color="auto"/>
              <w:right w:val="nil" w:sz="6" w:space="0" w:color="auto"/>
            </w:tcBorders>
          </w:tcPr>
          <w:p>
            <w:pPr>
              <w:pStyle w:val="TableParagraph"/>
              <w:spacing w:line="240" w:lineRule="auto" w:before="61"/>
              <w:ind w:left="-1" w:right="0"/>
              <w:jc w:val="left"/>
              <w:rPr>
                <w:rFonts w:ascii="Swis721 BT" w:hAnsi="Swis721 BT" w:cs="Swis721 BT" w:eastAsia="Swis721 BT"/>
                <w:sz w:val="24"/>
                <w:szCs w:val="24"/>
              </w:rPr>
            </w:pPr>
            <w:bookmarkStart w:name="NOTE 6. PROVISIONS" w:id="33"/>
            <w:bookmarkEnd w:id="33"/>
            <w:r>
              <w:rPr/>
            </w:r>
            <w:r>
              <w:rPr>
                <w:rFonts w:ascii="Swis721 Hv BT"/>
                <w:b/>
                <w:color w:val="005E63"/>
                <w:sz w:val="24"/>
              </w:rPr>
              <w:t>NOTE</w:t>
            </w:r>
            <w:r>
              <w:rPr>
                <w:rFonts w:ascii="Swis721 Hv BT"/>
                <w:b/>
                <w:color w:val="005E63"/>
                <w:spacing w:val="-4"/>
                <w:sz w:val="24"/>
              </w:rPr>
              <w:t> </w:t>
            </w:r>
            <w:r>
              <w:rPr>
                <w:rFonts w:ascii="Swis721 Hv BT"/>
                <w:b/>
                <w:color w:val="005E63"/>
                <w:sz w:val="24"/>
              </w:rPr>
              <w:t>6.</w:t>
            </w:r>
            <w:r>
              <w:rPr>
                <w:rFonts w:ascii="Swis721 Hv BT"/>
                <w:b/>
                <w:color w:val="005E63"/>
                <w:spacing w:val="-3"/>
                <w:sz w:val="24"/>
              </w:rPr>
              <w:t> </w:t>
            </w:r>
            <w:r>
              <w:rPr>
                <w:rFonts w:ascii="Swis721 BT"/>
                <w:color w:val="005E63"/>
                <w:spacing w:val="-1"/>
                <w:sz w:val="24"/>
              </w:rPr>
              <w:t>PROVISIONS</w:t>
            </w:r>
            <w:r>
              <w:rPr>
                <w:rFonts w:ascii="Swis721 BT"/>
                <w:sz w:val="24"/>
              </w:rPr>
            </w:r>
          </w:p>
        </w:tc>
        <w:tc>
          <w:tcPr>
            <w:tcW w:w="2494" w:type="dxa"/>
            <w:gridSpan w:val="2"/>
            <w:tcBorders>
              <w:top w:val="nil" w:sz="6" w:space="0" w:color="auto"/>
              <w:left w:val="nil" w:sz="6" w:space="0" w:color="auto"/>
              <w:bottom w:val="nil" w:sz="6" w:space="0" w:color="auto"/>
              <w:right w:val="nil" w:sz="6" w:space="0" w:color="auto"/>
            </w:tcBorders>
          </w:tcPr>
          <w:p>
            <w:pPr/>
          </w:p>
        </w:tc>
      </w:tr>
      <w:tr>
        <w:trPr>
          <w:trHeight w:val="514" w:hRule="exact"/>
        </w:trPr>
        <w:tc>
          <w:tcPr>
            <w:tcW w:w="5499" w:type="dxa"/>
            <w:tcBorders>
              <w:top w:val="nil" w:sz="6" w:space="0" w:color="auto"/>
              <w:left w:val="nil" w:sz="6" w:space="0" w:color="auto"/>
              <w:bottom w:val="nil" w:sz="6" w:space="0" w:color="auto"/>
              <w:right w:val="single" w:sz="1" w:space="0" w:color="BFD22B"/>
            </w:tcBorders>
            <w:shd w:val="clear" w:color="auto" w:fill="BFD22B"/>
          </w:tcPr>
          <w:p>
            <w:pPr/>
          </w:p>
        </w:tc>
        <w:tc>
          <w:tcPr>
            <w:tcW w:w="1448" w:type="dxa"/>
            <w:tcBorders>
              <w:top w:val="nil" w:sz="6" w:space="0" w:color="auto"/>
              <w:left w:val="single" w:sz="1" w:space="0" w:color="BFD22B"/>
              <w:bottom w:val="nil" w:sz="6" w:space="0" w:color="auto"/>
              <w:right w:val="nil" w:sz="6" w:space="0" w:color="auto"/>
            </w:tcBorders>
            <w:shd w:val="clear" w:color="auto" w:fill="BFD22B"/>
          </w:tcPr>
          <w:p>
            <w:pPr>
              <w:pStyle w:val="TableParagraph"/>
              <w:spacing w:line="240" w:lineRule="auto" w:before="44"/>
              <w:ind w:right="279"/>
              <w:jc w:val="right"/>
              <w:rPr>
                <w:rFonts w:ascii="Swis721 Cn BT" w:hAnsi="Swis721 Cn BT" w:cs="Swis721 Cn BT" w:eastAsia="Swis721 Cn BT"/>
                <w:sz w:val="18"/>
                <w:szCs w:val="18"/>
              </w:rPr>
            </w:pPr>
            <w:r>
              <w:rPr>
                <w:rFonts w:ascii="Swis721 Cn BT"/>
                <w:color w:val="303B41"/>
                <w:w w:val="95"/>
                <w:sz w:val="18"/>
              </w:rPr>
              <w:t>2019</w:t>
            </w:r>
            <w:r>
              <w:rPr>
                <w:rFonts w:ascii="Swis721 Cn BT"/>
                <w:sz w:val="18"/>
              </w:rPr>
            </w:r>
          </w:p>
          <w:p>
            <w:pPr>
              <w:pStyle w:val="TableParagraph"/>
              <w:spacing w:line="240" w:lineRule="auto"/>
              <w:ind w:right="279"/>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04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8"/>
              <w:jc w:val="right"/>
              <w:rPr>
                <w:rFonts w:ascii="Swis721 Cn BT" w:hAnsi="Swis721 Cn BT" w:cs="Swis721 Cn BT" w:eastAsia="Swis721 Cn BT"/>
                <w:sz w:val="18"/>
                <w:szCs w:val="18"/>
              </w:rPr>
            </w:pPr>
            <w:r>
              <w:rPr>
                <w:rFonts w:ascii="Swis721 Cn BT"/>
                <w:color w:val="303B41"/>
                <w:sz w:val="18"/>
              </w:rPr>
              <w:t>2018</w:t>
            </w:r>
            <w:r>
              <w:rPr>
                <w:rFonts w:ascii="Swis721 Cn BT"/>
                <w:sz w:val="18"/>
              </w:rPr>
            </w:r>
          </w:p>
          <w:p>
            <w:pPr>
              <w:pStyle w:val="TableParagraph"/>
              <w:spacing w:line="240" w:lineRule="auto"/>
              <w:ind w:right="78"/>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r>
      <w:tr>
        <w:trPr>
          <w:trHeight w:val="499" w:hRule="exact"/>
        </w:trPr>
        <w:tc>
          <w:tcPr>
            <w:tcW w:w="5499" w:type="dxa"/>
            <w:tcBorders>
              <w:top w:val="nil" w:sz="6" w:space="0" w:color="auto"/>
              <w:left w:val="nil" w:sz="6" w:space="0" w:color="auto"/>
              <w:bottom w:val="nil" w:sz="6" w:space="0" w:color="auto"/>
              <w:right w:val="nil" w:sz="6" w:space="0" w:color="auto"/>
            </w:tcBorders>
          </w:tcPr>
          <w:p>
            <w:pPr>
              <w:pStyle w:val="TableParagraph"/>
              <w:spacing w:line="240" w:lineRule="auto" w:before="2"/>
              <w:ind w:right="0"/>
              <w:jc w:val="left"/>
              <w:rPr>
                <w:rFonts w:ascii="Swis721 Lt BT" w:hAnsi="Swis721 Lt BT" w:cs="Swis721 Lt BT" w:eastAsia="Swis721 Lt BT"/>
                <w:sz w:val="16"/>
                <w:szCs w:val="16"/>
              </w:rPr>
            </w:pPr>
          </w:p>
          <w:p>
            <w:pPr>
              <w:pStyle w:val="TableParagraph"/>
              <w:spacing w:line="240" w:lineRule="auto"/>
              <w:ind w:left="-1" w:right="0"/>
              <w:jc w:val="left"/>
              <w:rPr>
                <w:rFonts w:ascii="Swis721 BT" w:hAnsi="Swis721 BT" w:cs="Swis721 BT" w:eastAsia="Swis721 BT"/>
                <w:sz w:val="20"/>
                <w:szCs w:val="20"/>
              </w:rPr>
            </w:pPr>
            <w:r>
              <w:rPr>
                <w:rFonts w:ascii="Swis721 BT"/>
                <w:b/>
                <w:color w:val="00757A"/>
                <w:spacing w:val="-2"/>
                <w:sz w:val="20"/>
              </w:rPr>
              <w:t>EMPLOYEE</w:t>
            </w:r>
            <w:r>
              <w:rPr>
                <w:rFonts w:ascii="Swis721 BT"/>
                <w:sz w:val="20"/>
              </w:rPr>
            </w:r>
          </w:p>
        </w:tc>
        <w:tc>
          <w:tcPr>
            <w:tcW w:w="1448" w:type="dxa"/>
            <w:tcBorders>
              <w:top w:val="nil" w:sz="6" w:space="0" w:color="auto"/>
              <w:left w:val="nil" w:sz="6" w:space="0" w:color="auto"/>
              <w:bottom w:val="nil" w:sz="6" w:space="0" w:color="auto"/>
              <w:right w:val="nil" w:sz="6" w:space="0" w:color="auto"/>
            </w:tcBorders>
          </w:tcPr>
          <w:p>
            <w:pPr/>
          </w:p>
        </w:tc>
        <w:tc>
          <w:tcPr>
            <w:tcW w:w="1046" w:type="dxa"/>
            <w:tcBorders>
              <w:top w:val="nil" w:sz="6" w:space="0" w:color="auto"/>
              <w:left w:val="nil" w:sz="6" w:space="0" w:color="auto"/>
              <w:bottom w:val="nil" w:sz="6" w:space="0" w:color="auto"/>
              <w:right w:val="nil" w:sz="6" w:space="0" w:color="auto"/>
            </w:tcBorders>
          </w:tcPr>
          <w:p>
            <w:pPr/>
          </w:p>
        </w:tc>
      </w:tr>
      <w:tr>
        <w:trPr>
          <w:trHeight w:val="308" w:hRule="exact"/>
        </w:trPr>
        <w:tc>
          <w:tcPr>
            <w:tcW w:w="5499"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1" w:right="0"/>
              <w:jc w:val="left"/>
              <w:rPr>
                <w:rFonts w:ascii="Swis721 Lt BT" w:hAnsi="Swis721 Lt BT" w:cs="Swis721 Lt BT" w:eastAsia="Swis721 Lt BT"/>
                <w:sz w:val="18"/>
                <w:szCs w:val="18"/>
              </w:rPr>
            </w:pPr>
            <w:r>
              <w:rPr>
                <w:rFonts w:ascii="Swis721 Lt BT"/>
                <w:color w:val="231F20"/>
                <w:sz w:val="18"/>
              </w:rPr>
              <w:t>Annual leave</w:t>
            </w:r>
            <w:r>
              <w:rPr>
                <w:rFonts w:ascii="Swis721 Lt BT"/>
                <w:sz w:val="18"/>
              </w:rPr>
            </w:r>
          </w:p>
        </w:tc>
        <w:tc>
          <w:tcPr>
            <w:tcW w:w="1448"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538" w:right="0"/>
              <w:jc w:val="left"/>
              <w:rPr>
                <w:rFonts w:ascii="Swis721 Lt BT" w:hAnsi="Swis721 Lt BT" w:cs="Swis721 Lt BT" w:eastAsia="Swis721 Lt BT"/>
                <w:sz w:val="18"/>
                <w:szCs w:val="18"/>
              </w:rPr>
            </w:pPr>
            <w:r>
              <w:rPr>
                <w:rFonts w:ascii="Swis721 Lt BT"/>
                <w:color w:val="231F20"/>
                <w:sz w:val="18"/>
              </w:rPr>
              <w:t>414,453</w:t>
            </w:r>
            <w:r>
              <w:rPr>
                <w:rFonts w:ascii="Swis721 Lt BT"/>
                <w:sz w:val="18"/>
              </w:rPr>
            </w:r>
          </w:p>
        </w:tc>
        <w:tc>
          <w:tcPr>
            <w:tcW w:w="1046"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329" w:right="0"/>
              <w:jc w:val="left"/>
              <w:rPr>
                <w:rFonts w:ascii="Swis721 Lt BT" w:hAnsi="Swis721 Lt BT" w:cs="Swis721 Lt BT" w:eastAsia="Swis721 Lt BT"/>
                <w:sz w:val="18"/>
                <w:szCs w:val="18"/>
              </w:rPr>
            </w:pPr>
            <w:r>
              <w:rPr>
                <w:rFonts w:ascii="Swis721 Lt BT"/>
                <w:color w:val="231F20"/>
                <w:sz w:val="18"/>
              </w:rPr>
              <w:t>414,595</w:t>
            </w:r>
            <w:r>
              <w:rPr>
                <w:rFonts w:ascii="Swis721 Lt BT"/>
                <w:sz w:val="18"/>
              </w:rPr>
            </w:r>
          </w:p>
        </w:tc>
      </w:tr>
      <w:tr>
        <w:trPr>
          <w:trHeight w:val="341" w:hRule="exact"/>
        </w:trPr>
        <w:tc>
          <w:tcPr>
            <w:tcW w:w="5499"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Long service leave</w:t>
            </w:r>
            <w:r>
              <w:rPr>
                <w:rFonts w:ascii="Swis721 Lt BT"/>
                <w:sz w:val="18"/>
              </w:rPr>
            </w:r>
          </w:p>
        </w:tc>
        <w:tc>
          <w:tcPr>
            <w:tcW w:w="1448"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38" w:right="0"/>
              <w:jc w:val="left"/>
              <w:rPr>
                <w:rFonts w:ascii="Swis721 Lt BT" w:hAnsi="Swis721 Lt BT" w:cs="Swis721 Lt BT" w:eastAsia="Swis721 Lt BT"/>
                <w:sz w:val="18"/>
                <w:szCs w:val="18"/>
              </w:rPr>
            </w:pPr>
            <w:r>
              <w:rPr>
                <w:rFonts w:ascii="Swis721 Lt BT"/>
                <w:color w:val="231F20"/>
                <w:sz w:val="18"/>
              </w:rPr>
              <w:t>369,850</w:t>
            </w:r>
            <w:r>
              <w:rPr>
                <w:rFonts w:ascii="Swis721 Lt BT"/>
                <w:sz w:val="18"/>
              </w:rPr>
            </w:r>
          </w:p>
        </w:tc>
        <w:tc>
          <w:tcPr>
            <w:tcW w:w="1046"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329" w:right="0"/>
              <w:jc w:val="left"/>
              <w:rPr>
                <w:rFonts w:ascii="Swis721 Lt BT" w:hAnsi="Swis721 Lt BT" w:cs="Swis721 Lt BT" w:eastAsia="Swis721 Lt BT"/>
                <w:sz w:val="18"/>
                <w:szCs w:val="18"/>
              </w:rPr>
            </w:pPr>
            <w:r>
              <w:rPr>
                <w:rFonts w:ascii="Swis721 Lt BT"/>
                <w:color w:val="231F20"/>
                <w:sz w:val="18"/>
              </w:rPr>
              <w:t>303,384</w:t>
            </w:r>
            <w:r>
              <w:rPr>
                <w:rFonts w:ascii="Swis721 Lt BT"/>
                <w:sz w:val="18"/>
              </w:rPr>
            </w:r>
          </w:p>
        </w:tc>
      </w:tr>
      <w:tr>
        <w:trPr>
          <w:trHeight w:val="349" w:hRule="exact"/>
        </w:trPr>
        <w:tc>
          <w:tcPr>
            <w:tcW w:w="5499"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employee provisions</w:t>
            </w:r>
            <w:r>
              <w:rPr>
                <w:rFonts w:ascii="Swis721 Md BT"/>
                <w:sz w:val="18"/>
              </w:rPr>
            </w:r>
          </w:p>
        </w:tc>
        <w:tc>
          <w:tcPr>
            <w:tcW w:w="1448"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09" w:right="0"/>
              <w:jc w:val="left"/>
              <w:rPr>
                <w:rFonts w:ascii="Swis721 Md BT" w:hAnsi="Swis721 Md BT" w:cs="Swis721 Md BT" w:eastAsia="Swis721 Md BT"/>
                <w:sz w:val="18"/>
                <w:szCs w:val="18"/>
              </w:rPr>
            </w:pPr>
            <w:r>
              <w:rPr>
                <w:rFonts w:ascii="Swis721 Md BT"/>
                <w:color w:val="231F20"/>
                <w:sz w:val="18"/>
              </w:rPr>
              <w:t>784,303</w:t>
            </w:r>
            <w:r>
              <w:rPr>
                <w:rFonts w:ascii="Swis721 Md BT"/>
                <w:sz w:val="18"/>
              </w:rPr>
            </w:r>
          </w:p>
        </w:tc>
        <w:tc>
          <w:tcPr>
            <w:tcW w:w="104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81" w:right="0"/>
              <w:jc w:val="left"/>
              <w:rPr>
                <w:rFonts w:ascii="Swis721 Md BT" w:hAnsi="Swis721 Md BT" w:cs="Swis721 Md BT" w:eastAsia="Swis721 Md BT"/>
                <w:sz w:val="18"/>
                <w:szCs w:val="18"/>
              </w:rPr>
            </w:pPr>
            <w:r>
              <w:rPr>
                <w:rFonts w:ascii="Swis721 Md BT"/>
                <w:color w:val="231F20"/>
                <w:sz w:val="18"/>
              </w:rPr>
              <w:t>717,979</w:t>
            </w:r>
            <w:r>
              <w:rPr>
                <w:rFonts w:ascii="Swis721 Md BT"/>
                <w:sz w:val="18"/>
              </w:rPr>
            </w:r>
          </w:p>
        </w:tc>
      </w:tr>
      <w:tr>
        <w:trPr>
          <w:trHeight w:val="553" w:hRule="exact"/>
        </w:trPr>
        <w:tc>
          <w:tcPr>
            <w:tcW w:w="5499" w:type="dxa"/>
            <w:tcBorders>
              <w:top w:val="single" w:sz="8" w:space="0" w:color="848B91"/>
              <w:left w:val="nil" w:sz="6" w:space="0" w:color="auto"/>
              <w:bottom w:val="nil" w:sz="6" w:space="0" w:color="auto"/>
              <w:right w:val="nil" w:sz="6" w:space="0" w:color="auto"/>
            </w:tcBorders>
          </w:tcPr>
          <w:p>
            <w:pPr>
              <w:pStyle w:val="TableParagraph"/>
              <w:spacing w:line="240" w:lineRule="auto" w:before="6"/>
              <w:ind w:right="0"/>
              <w:jc w:val="left"/>
              <w:rPr>
                <w:rFonts w:ascii="Swis721 Lt BT" w:hAnsi="Swis721 Lt BT" w:cs="Swis721 Lt BT" w:eastAsia="Swis721 Lt BT"/>
                <w:sz w:val="22"/>
                <w:szCs w:val="22"/>
              </w:rPr>
            </w:pPr>
          </w:p>
          <w:p>
            <w:pPr>
              <w:pStyle w:val="TableParagraph"/>
              <w:spacing w:line="240" w:lineRule="auto"/>
              <w:ind w:left="-1" w:right="0"/>
              <w:jc w:val="left"/>
              <w:rPr>
                <w:rFonts w:ascii="Swis721 Lt BT" w:hAnsi="Swis721 Lt BT" w:cs="Swis721 Lt BT" w:eastAsia="Swis721 Lt BT"/>
                <w:sz w:val="18"/>
                <w:szCs w:val="18"/>
              </w:rPr>
            </w:pPr>
            <w:r>
              <w:rPr>
                <w:rFonts w:ascii="Swis721 Lt BT"/>
                <w:color w:val="231F20"/>
                <w:sz w:val="18"/>
              </w:rPr>
              <w:t>Employee provisions expected to be settled in:</w:t>
            </w:r>
            <w:r>
              <w:rPr>
                <w:rFonts w:ascii="Swis721 Lt BT"/>
                <w:sz w:val="18"/>
              </w:rPr>
            </w:r>
          </w:p>
        </w:tc>
        <w:tc>
          <w:tcPr>
            <w:tcW w:w="1448" w:type="dxa"/>
            <w:tcBorders>
              <w:top w:val="single" w:sz="8" w:space="0" w:color="848B91"/>
              <w:left w:val="nil" w:sz="6" w:space="0" w:color="auto"/>
              <w:bottom w:val="nil" w:sz="6" w:space="0" w:color="auto"/>
              <w:right w:val="nil" w:sz="6" w:space="0" w:color="auto"/>
            </w:tcBorders>
          </w:tcPr>
          <w:p>
            <w:pPr/>
          </w:p>
        </w:tc>
        <w:tc>
          <w:tcPr>
            <w:tcW w:w="1046" w:type="dxa"/>
            <w:tcBorders>
              <w:top w:val="single" w:sz="8" w:space="0" w:color="848B91"/>
              <w:left w:val="nil" w:sz="6" w:space="0" w:color="auto"/>
              <w:bottom w:val="nil" w:sz="6" w:space="0" w:color="auto"/>
              <w:right w:val="nil" w:sz="6" w:space="0" w:color="auto"/>
            </w:tcBorders>
          </w:tcPr>
          <w:p>
            <w:pPr/>
          </w:p>
        </w:tc>
      </w:tr>
      <w:tr>
        <w:trPr>
          <w:trHeight w:val="310" w:hRule="exact"/>
        </w:trPr>
        <w:tc>
          <w:tcPr>
            <w:tcW w:w="5499" w:type="dxa"/>
            <w:tcBorders>
              <w:top w:val="nil" w:sz="6" w:space="0" w:color="auto"/>
              <w:left w:val="nil" w:sz="6" w:space="0" w:color="auto"/>
              <w:bottom w:val="single" w:sz="2" w:space="0" w:color="848B91"/>
              <w:right w:val="nil" w:sz="6" w:space="0" w:color="auto"/>
            </w:tcBorders>
          </w:tcPr>
          <w:p>
            <w:pPr>
              <w:pStyle w:val="TableParagraph"/>
              <w:spacing w:line="240" w:lineRule="auto" w:before="46"/>
              <w:ind w:left="-1" w:right="0"/>
              <w:jc w:val="left"/>
              <w:rPr>
                <w:rFonts w:ascii="Swis721 Lt BT" w:hAnsi="Swis721 Lt BT" w:cs="Swis721 Lt BT" w:eastAsia="Swis721 Lt BT"/>
                <w:sz w:val="18"/>
                <w:szCs w:val="18"/>
              </w:rPr>
            </w:pPr>
            <w:r>
              <w:rPr>
                <w:rFonts w:ascii="Swis721 Lt BT"/>
                <w:color w:val="231F20"/>
                <w:sz w:val="18"/>
              </w:rPr>
              <w:t>No more than 12 months</w:t>
            </w:r>
            <w:r>
              <w:rPr>
                <w:rFonts w:ascii="Swis721 Lt BT"/>
                <w:sz w:val="18"/>
              </w:rPr>
            </w:r>
          </w:p>
        </w:tc>
        <w:tc>
          <w:tcPr>
            <w:tcW w:w="1448" w:type="dxa"/>
            <w:tcBorders>
              <w:top w:val="nil" w:sz="6" w:space="0" w:color="auto"/>
              <w:left w:val="nil" w:sz="6" w:space="0" w:color="auto"/>
              <w:bottom w:val="single" w:sz="2" w:space="0" w:color="848B91"/>
              <w:right w:val="nil" w:sz="6" w:space="0" w:color="auto"/>
            </w:tcBorders>
          </w:tcPr>
          <w:p>
            <w:pPr>
              <w:pStyle w:val="TableParagraph"/>
              <w:spacing w:line="240" w:lineRule="auto" w:before="46"/>
              <w:ind w:left="538" w:right="0"/>
              <w:jc w:val="left"/>
              <w:rPr>
                <w:rFonts w:ascii="Swis721 Lt BT" w:hAnsi="Swis721 Lt BT" w:cs="Swis721 Lt BT" w:eastAsia="Swis721 Lt BT"/>
                <w:sz w:val="18"/>
                <w:szCs w:val="18"/>
              </w:rPr>
            </w:pPr>
            <w:r>
              <w:rPr>
                <w:rFonts w:ascii="Swis721 Lt BT"/>
                <w:color w:val="231F20"/>
                <w:sz w:val="18"/>
              </w:rPr>
              <w:t>630,194</w:t>
            </w:r>
            <w:r>
              <w:rPr>
                <w:rFonts w:ascii="Swis721 Lt BT"/>
                <w:sz w:val="18"/>
              </w:rPr>
            </w:r>
          </w:p>
        </w:tc>
        <w:tc>
          <w:tcPr>
            <w:tcW w:w="1046" w:type="dxa"/>
            <w:tcBorders>
              <w:top w:val="nil" w:sz="6" w:space="0" w:color="auto"/>
              <w:left w:val="nil" w:sz="6" w:space="0" w:color="auto"/>
              <w:bottom w:val="single" w:sz="2" w:space="0" w:color="848B91"/>
              <w:right w:val="nil" w:sz="6" w:space="0" w:color="auto"/>
            </w:tcBorders>
          </w:tcPr>
          <w:p>
            <w:pPr>
              <w:pStyle w:val="TableParagraph"/>
              <w:spacing w:line="240" w:lineRule="auto" w:before="46"/>
              <w:ind w:left="329" w:right="0"/>
              <w:jc w:val="left"/>
              <w:rPr>
                <w:rFonts w:ascii="Swis721 Lt BT" w:hAnsi="Swis721 Lt BT" w:cs="Swis721 Lt BT" w:eastAsia="Swis721 Lt BT"/>
                <w:sz w:val="18"/>
                <w:szCs w:val="18"/>
              </w:rPr>
            </w:pPr>
            <w:r>
              <w:rPr>
                <w:rFonts w:ascii="Swis721 Lt BT"/>
                <w:color w:val="231F20"/>
                <w:sz w:val="18"/>
              </w:rPr>
              <w:t>568,533</w:t>
            </w:r>
            <w:r>
              <w:rPr>
                <w:rFonts w:ascii="Swis721 Lt BT"/>
                <w:sz w:val="18"/>
              </w:rPr>
            </w:r>
          </w:p>
        </w:tc>
      </w:tr>
      <w:tr>
        <w:trPr>
          <w:trHeight w:val="341" w:hRule="exact"/>
        </w:trPr>
        <w:tc>
          <w:tcPr>
            <w:tcW w:w="5499"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More than 12 months</w:t>
            </w:r>
            <w:r>
              <w:rPr>
                <w:rFonts w:ascii="Swis721 Lt BT"/>
                <w:sz w:val="18"/>
              </w:rPr>
            </w:r>
          </w:p>
        </w:tc>
        <w:tc>
          <w:tcPr>
            <w:tcW w:w="1448"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38" w:right="0"/>
              <w:jc w:val="left"/>
              <w:rPr>
                <w:rFonts w:ascii="Swis721 Lt BT" w:hAnsi="Swis721 Lt BT" w:cs="Swis721 Lt BT" w:eastAsia="Swis721 Lt BT"/>
                <w:sz w:val="18"/>
                <w:szCs w:val="18"/>
              </w:rPr>
            </w:pPr>
            <w:r>
              <w:rPr>
                <w:rFonts w:ascii="Swis721 Lt BT"/>
                <w:color w:val="231F20"/>
                <w:sz w:val="18"/>
              </w:rPr>
              <w:t>154,109</w:t>
            </w:r>
            <w:r>
              <w:rPr>
                <w:rFonts w:ascii="Swis721 Lt BT"/>
                <w:sz w:val="18"/>
              </w:rPr>
            </w:r>
          </w:p>
        </w:tc>
        <w:tc>
          <w:tcPr>
            <w:tcW w:w="1046"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329" w:right="0"/>
              <w:jc w:val="left"/>
              <w:rPr>
                <w:rFonts w:ascii="Swis721 Lt BT" w:hAnsi="Swis721 Lt BT" w:cs="Swis721 Lt BT" w:eastAsia="Swis721 Lt BT"/>
                <w:sz w:val="18"/>
                <w:szCs w:val="18"/>
              </w:rPr>
            </w:pPr>
            <w:r>
              <w:rPr>
                <w:rFonts w:ascii="Swis721 Lt BT"/>
                <w:color w:val="231F20"/>
                <w:sz w:val="18"/>
              </w:rPr>
              <w:t>149,446</w:t>
            </w:r>
            <w:r>
              <w:rPr>
                <w:rFonts w:ascii="Swis721 Lt BT"/>
                <w:sz w:val="18"/>
              </w:rPr>
            </w:r>
          </w:p>
        </w:tc>
      </w:tr>
      <w:tr>
        <w:trPr>
          <w:trHeight w:val="349" w:hRule="exact"/>
        </w:trPr>
        <w:tc>
          <w:tcPr>
            <w:tcW w:w="5499"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employee provisions</w:t>
            </w:r>
            <w:r>
              <w:rPr>
                <w:rFonts w:ascii="Swis721 Md BT"/>
                <w:sz w:val="18"/>
              </w:rPr>
            </w:r>
          </w:p>
        </w:tc>
        <w:tc>
          <w:tcPr>
            <w:tcW w:w="1448"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09" w:right="0"/>
              <w:jc w:val="left"/>
              <w:rPr>
                <w:rFonts w:ascii="Swis721 Md BT" w:hAnsi="Swis721 Md BT" w:cs="Swis721 Md BT" w:eastAsia="Swis721 Md BT"/>
                <w:sz w:val="18"/>
                <w:szCs w:val="18"/>
              </w:rPr>
            </w:pPr>
            <w:r>
              <w:rPr>
                <w:rFonts w:ascii="Swis721 Md BT"/>
                <w:color w:val="231F20"/>
                <w:sz w:val="18"/>
              </w:rPr>
              <w:t>784,303</w:t>
            </w:r>
            <w:r>
              <w:rPr>
                <w:rFonts w:ascii="Swis721 Md BT"/>
                <w:sz w:val="18"/>
              </w:rPr>
            </w:r>
          </w:p>
        </w:tc>
        <w:tc>
          <w:tcPr>
            <w:tcW w:w="104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81" w:right="0"/>
              <w:jc w:val="left"/>
              <w:rPr>
                <w:rFonts w:ascii="Swis721 Md BT" w:hAnsi="Swis721 Md BT" w:cs="Swis721 Md BT" w:eastAsia="Swis721 Md BT"/>
                <w:sz w:val="18"/>
                <w:szCs w:val="18"/>
              </w:rPr>
            </w:pPr>
            <w:r>
              <w:rPr>
                <w:rFonts w:ascii="Swis721 Md BT"/>
                <w:color w:val="231F20"/>
                <w:sz w:val="18"/>
              </w:rPr>
              <w:t>717,979</w:t>
            </w:r>
            <w:r>
              <w:rPr>
                <w:rFonts w:ascii="Swis721 Md BT"/>
                <w:sz w:val="18"/>
              </w:rPr>
            </w:r>
          </w:p>
        </w:tc>
      </w:tr>
      <w:tr>
        <w:trPr>
          <w:trHeight w:val="477" w:hRule="exact"/>
        </w:trPr>
        <w:tc>
          <w:tcPr>
            <w:tcW w:w="5499" w:type="dxa"/>
            <w:tcBorders>
              <w:top w:val="single" w:sz="8" w:space="0" w:color="848B91"/>
              <w:left w:val="nil" w:sz="6" w:space="0" w:color="auto"/>
              <w:bottom w:val="nil" w:sz="6" w:space="0" w:color="auto"/>
              <w:right w:val="nil" w:sz="6" w:space="0" w:color="auto"/>
            </w:tcBorders>
          </w:tcPr>
          <w:p>
            <w:pPr>
              <w:pStyle w:val="TableParagraph"/>
              <w:spacing w:line="240" w:lineRule="auto" w:before="172"/>
              <w:ind w:left="-1" w:right="0"/>
              <w:jc w:val="left"/>
              <w:rPr>
                <w:rFonts w:ascii="Swis721 BT" w:hAnsi="Swis721 BT" w:cs="Swis721 BT" w:eastAsia="Swis721 BT"/>
                <w:sz w:val="20"/>
                <w:szCs w:val="20"/>
              </w:rPr>
            </w:pPr>
            <w:r>
              <w:rPr>
                <w:rFonts w:ascii="Swis721 BT"/>
                <w:b/>
                <w:color w:val="00757A"/>
                <w:sz w:val="20"/>
              </w:rPr>
              <w:t>OTHER</w:t>
            </w:r>
            <w:r>
              <w:rPr>
                <w:rFonts w:ascii="Swis721 BT"/>
                <w:sz w:val="20"/>
              </w:rPr>
            </w:r>
          </w:p>
        </w:tc>
        <w:tc>
          <w:tcPr>
            <w:tcW w:w="1448" w:type="dxa"/>
            <w:tcBorders>
              <w:top w:val="single" w:sz="8" w:space="0" w:color="848B91"/>
              <w:left w:val="nil" w:sz="6" w:space="0" w:color="auto"/>
              <w:bottom w:val="nil" w:sz="6" w:space="0" w:color="auto"/>
              <w:right w:val="nil" w:sz="6" w:space="0" w:color="auto"/>
            </w:tcBorders>
          </w:tcPr>
          <w:p>
            <w:pPr/>
          </w:p>
        </w:tc>
        <w:tc>
          <w:tcPr>
            <w:tcW w:w="1046" w:type="dxa"/>
            <w:tcBorders>
              <w:top w:val="single" w:sz="8" w:space="0" w:color="848B91"/>
              <w:left w:val="nil" w:sz="6" w:space="0" w:color="auto"/>
              <w:bottom w:val="nil" w:sz="6" w:space="0" w:color="auto"/>
              <w:right w:val="nil" w:sz="6" w:space="0" w:color="auto"/>
            </w:tcBorders>
          </w:tcPr>
          <w:p>
            <w:pPr/>
          </w:p>
        </w:tc>
      </w:tr>
      <w:tr>
        <w:trPr>
          <w:trHeight w:val="320" w:hRule="exact"/>
        </w:trPr>
        <w:tc>
          <w:tcPr>
            <w:tcW w:w="5499" w:type="dxa"/>
            <w:tcBorders>
              <w:top w:val="nil" w:sz="6" w:space="0" w:color="auto"/>
              <w:left w:val="nil" w:sz="6" w:space="0" w:color="auto"/>
              <w:bottom w:val="single" w:sz="8" w:space="0" w:color="848B91"/>
              <w:right w:val="nil" w:sz="6" w:space="0" w:color="auto"/>
            </w:tcBorders>
          </w:tcPr>
          <w:p>
            <w:pPr>
              <w:pStyle w:val="TableParagraph"/>
              <w:spacing w:line="240" w:lineRule="auto" w:before="44"/>
              <w:ind w:left="-1" w:right="0"/>
              <w:jc w:val="left"/>
              <w:rPr>
                <w:rFonts w:ascii="Swis721 Lt BT" w:hAnsi="Swis721 Lt BT" w:cs="Swis721 Lt BT" w:eastAsia="Swis721 Lt BT"/>
                <w:sz w:val="18"/>
                <w:szCs w:val="18"/>
              </w:rPr>
            </w:pPr>
            <w:r>
              <w:rPr>
                <w:rFonts w:ascii="Swis721 Lt BT"/>
                <w:color w:val="231F20"/>
                <w:sz w:val="18"/>
              </w:rPr>
              <w:t>Provision for make good</w:t>
            </w:r>
            <w:r>
              <w:rPr>
                <w:rFonts w:ascii="Swis721 Lt BT"/>
                <w:sz w:val="18"/>
              </w:rPr>
            </w:r>
          </w:p>
        </w:tc>
        <w:tc>
          <w:tcPr>
            <w:tcW w:w="1448" w:type="dxa"/>
            <w:tcBorders>
              <w:top w:val="nil" w:sz="6" w:space="0" w:color="auto"/>
              <w:left w:val="nil" w:sz="6" w:space="0" w:color="auto"/>
              <w:bottom w:val="single" w:sz="8" w:space="0" w:color="848B91"/>
              <w:right w:val="nil" w:sz="6" w:space="0" w:color="auto"/>
            </w:tcBorders>
          </w:tcPr>
          <w:p>
            <w:pPr>
              <w:pStyle w:val="TableParagraph"/>
              <w:spacing w:line="240" w:lineRule="auto" w:before="44"/>
              <w:ind w:left="538" w:right="0"/>
              <w:jc w:val="left"/>
              <w:rPr>
                <w:rFonts w:ascii="Swis721 Lt BT" w:hAnsi="Swis721 Lt BT" w:cs="Swis721 Lt BT" w:eastAsia="Swis721 Lt BT"/>
                <w:sz w:val="18"/>
                <w:szCs w:val="18"/>
              </w:rPr>
            </w:pPr>
            <w:r>
              <w:rPr>
                <w:rFonts w:ascii="Swis721 Lt BT"/>
                <w:color w:val="231F20"/>
                <w:sz w:val="18"/>
              </w:rPr>
              <w:t>367,760</w:t>
            </w:r>
            <w:r>
              <w:rPr>
                <w:rFonts w:ascii="Swis721 Lt BT"/>
                <w:sz w:val="18"/>
              </w:rPr>
            </w:r>
          </w:p>
        </w:tc>
        <w:tc>
          <w:tcPr>
            <w:tcW w:w="1046" w:type="dxa"/>
            <w:tcBorders>
              <w:top w:val="nil" w:sz="6" w:space="0" w:color="auto"/>
              <w:left w:val="nil" w:sz="6" w:space="0" w:color="auto"/>
              <w:bottom w:val="single" w:sz="8" w:space="0" w:color="848B91"/>
              <w:right w:val="nil" w:sz="6" w:space="0" w:color="auto"/>
            </w:tcBorders>
          </w:tcPr>
          <w:p>
            <w:pPr>
              <w:pStyle w:val="TableParagraph"/>
              <w:spacing w:line="240" w:lineRule="auto" w:before="44"/>
              <w:ind w:left="329" w:right="0"/>
              <w:jc w:val="left"/>
              <w:rPr>
                <w:rFonts w:ascii="Swis721 Lt BT" w:hAnsi="Swis721 Lt BT" w:cs="Swis721 Lt BT" w:eastAsia="Swis721 Lt BT"/>
                <w:sz w:val="18"/>
                <w:szCs w:val="18"/>
              </w:rPr>
            </w:pPr>
            <w:r>
              <w:rPr>
                <w:rFonts w:ascii="Swis721 Lt BT"/>
                <w:color w:val="231F20"/>
                <w:sz w:val="18"/>
              </w:rPr>
              <w:t>344,346</w:t>
            </w:r>
            <w:r>
              <w:rPr>
                <w:rFonts w:ascii="Swis721 Lt BT"/>
                <w:sz w:val="18"/>
              </w:rPr>
            </w:r>
          </w:p>
        </w:tc>
      </w:tr>
      <w:tr>
        <w:trPr>
          <w:trHeight w:val="349" w:hRule="exact"/>
        </w:trPr>
        <w:tc>
          <w:tcPr>
            <w:tcW w:w="5499"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other provisions</w:t>
            </w:r>
            <w:r>
              <w:rPr>
                <w:rFonts w:ascii="Swis721 Md BT"/>
                <w:sz w:val="18"/>
              </w:rPr>
            </w:r>
          </w:p>
        </w:tc>
        <w:tc>
          <w:tcPr>
            <w:tcW w:w="1448"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09" w:right="0"/>
              <w:jc w:val="left"/>
              <w:rPr>
                <w:rFonts w:ascii="Swis721 Md BT" w:hAnsi="Swis721 Md BT" w:cs="Swis721 Md BT" w:eastAsia="Swis721 Md BT"/>
                <w:sz w:val="18"/>
                <w:szCs w:val="18"/>
              </w:rPr>
            </w:pPr>
            <w:r>
              <w:rPr>
                <w:rFonts w:ascii="Swis721 Md BT"/>
                <w:color w:val="231F20"/>
                <w:sz w:val="18"/>
              </w:rPr>
              <w:t>367,760</w:t>
            </w:r>
            <w:r>
              <w:rPr>
                <w:rFonts w:ascii="Swis721 Md BT"/>
                <w:sz w:val="18"/>
              </w:rPr>
            </w:r>
          </w:p>
        </w:tc>
        <w:tc>
          <w:tcPr>
            <w:tcW w:w="104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81" w:right="0"/>
              <w:jc w:val="left"/>
              <w:rPr>
                <w:rFonts w:ascii="Swis721 Md BT" w:hAnsi="Swis721 Md BT" w:cs="Swis721 Md BT" w:eastAsia="Swis721 Md BT"/>
                <w:sz w:val="18"/>
                <w:szCs w:val="18"/>
              </w:rPr>
            </w:pPr>
            <w:r>
              <w:rPr>
                <w:rFonts w:ascii="Swis721 Md BT"/>
                <w:color w:val="231F20"/>
                <w:sz w:val="18"/>
              </w:rPr>
              <w:t>344,346</w:t>
            </w:r>
            <w:r>
              <w:rPr>
                <w:rFonts w:ascii="Swis721 Md BT"/>
                <w:sz w:val="18"/>
              </w:rPr>
            </w:r>
          </w:p>
        </w:tc>
      </w:tr>
    </w:tbl>
    <w:p>
      <w:pPr>
        <w:spacing w:line="240" w:lineRule="auto" w:before="8"/>
        <w:rPr>
          <w:rFonts w:ascii="Swis721 Lt BT" w:hAnsi="Swis721 Lt BT" w:cs="Swis721 Lt BT" w:eastAsia="Swis721 Lt BT"/>
          <w:sz w:val="24"/>
          <w:szCs w:val="24"/>
        </w:rPr>
      </w:pPr>
    </w:p>
    <w:p>
      <w:pPr>
        <w:pStyle w:val="BodyText"/>
        <w:spacing w:line="240" w:lineRule="auto" w:before="69"/>
        <w:ind w:left="170" w:right="121"/>
        <w:jc w:val="left"/>
      </w:pPr>
      <w:r>
        <w:rPr>
          <w:color w:val="231F20"/>
        </w:rPr>
        <w:t>AITSL currently has an agreement for the leasing of premises at 440 Collins Street, Melbourne. The lease has a clause requiring AITSL to restore the premises to its original condition at the conclusion</w:t>
      </w:r>
      <w:r>
        <w:rPr>
          <w:color w:val="231F20"/>
          <w:spacing w:val="-1"/>
        </w:rPr>
        <w:t> </w:t>
      </w:r>
      <w:r>
        <w:rPr>
          <w:color w:val="231F20"/>
        </w:rPr>
        <w:t>of the lease.</w:t>
      </w:r>
      <w:r>
        <w:rPr>
          <w:color w:val="231F20"/>
          <w:spacing w:val="-1"/>
        </w:rPr>
        <w:t> </w:t>
      </w:r>
      <w:r>
        <w:rPr>
          <w:color w:val="231F20"/>
        </w:rPr>
        <w:t>A provision has</w:t>
      </w:r>
      <w:r>
        <w:rPr>
          <w:color w:val="231F20"/>
          <w:spacing w:val="-1"/>
        </w:rPr>
        <w:t> </w:t>
      </w:r>
      <w:r>
        <w:rPr>
          <w:color w:val="231F20"/>
        </w:rPr>
        <w:t>been made to</w:t>
      </w:r>
      <w:r>
        <w:rPr>
          <w:color w:val="231F20"/>
          <w:spacing w:val="-1"/>
        </w:rPr>
        <w:t> </w:t>
      </w:r>
      <w:r>
        <w:rPr>
          <w:color w:val="231F20"/>
        </w:rPr>
        <w:t>reflect the present</w:t>
      </w:r>
      <w:r>
        <w:rPr>
          <w:color w:val="231F20"/>
          <w:spacing w:val="-1"/>
        </w:rPr>
        <w:t> </w:t>
      </w:r>
      <w:r>
        <w:rPr>
          <w:color w:val="231F20"/>
        </w:rPr>
        <w:t>value of this obligation</w:t>
      </w:r>
      <w:r>
        <w:rPr>
          <w:color w:val="231F20"/>
        </w:rPr>
        <w:t> which is expected to be settled in more than 12 months.</w:t>
      </w:r>
      <w:r>
        <w:rPr/>
      </w:r>
    </w:p>
    <w:p>
      <w:pPr>
        <w:spacing w:line="240" w:lineRule="auto" w:before="2"/>
        <w:rPr>
          <w:rFonts w:ascii="Swis721 Lt BT" w:hAnsi="Swis721 Lt BT" w:cs="Swis721 Lt BT" w:eastAsia="Swis721 Lt BT"/>
          <w:sz w:val="19"/>
          <w:szCs w:val="19"/>
        </w:rPr>
      </w:pPr>
    </w:p>
    <w:p>
      <w:pPr>
        <w:pStyle w:val="Heading9"/>
        <w:spacing w:line="240" w:lineRule="auto"/>
        <w:ind w:right="0"/>
        <w:jc w:val="left"/>
        <w:rPr>
          <w:rFonts w:ascii="Swis721 BT" w:hAnsi="Swis721 BT" w:cs="Swis721 BT" w:eastAsia="Swis721 BT"/>
          <w:b w:val="0"/>
          <w:bCs w:val="0"/>
        </w:rPr>
      </w:pPr>
      <w:r>
        <w:rPr>
          <w:rFonts w:ascii="Swis721 BT"/>
          <w:color w:val="00757A"/>
          <w:spacing w:val="-1"/>
        </w:rPr>
        <w:t>MOVEMENTS</w:t>
      </w:r>
      <w:r>
        <w:rPr>
          <w:rFonts w:ascii="Swis721 BT"/>
          <w:color w:val="00757A"/>
        </w:rPr>
        <w:t> IN THE OTHER </w:t>
      </w:r>
      <w:r>
        <w:rPr>
          <w:rFonts w:ascii="Swis721 BT"/>
          <w:color w:val="00757A"/>
          <w:spacing w:val="-1"/>
        </w:rPr>
        <w:t>PROVISIONS</w:t>
      </w:r>
      <w:r>
        <w:rPr>
          <w:rFonts w:ascii="Swis721 BT"/>
          <w:b w:val="0"/>
        </w:rPr>
      </w:r>
    </w:p>
    <w:p>
      <w:pPr>
        <w:spacing w:line="240" w:lineRule="auto" w:before="2"/>
        <w:rPr>
          <w:rFonts w:ascii="Swis721 BT" w:hAnsi="Swis721 BT" w:cs="Swis721 BT" w:eastAsia="Swis721 BT"/>
          <w:b/>
          <w:bCs/>
          <w:sz w:val="12"/>
          <w:szCs w:val="12"/>
        </w:rPr>
      </w:pPr>
    </w:p>
    <w:tbl>
      <w:tblPr>
        <w:tblW w:w="0" w:type="auto"/>
        <w:jc w:val="left"/>
        <w:tblInd w:w="170" w:type="dxa"/>
        <w:tblLayout w:type="fixed"/>
        <w:tblCellMar>
          <w:top w:w="0" w:type="dxa"/>
          <w:left w:w="0" w:type="dxa"/>
          <w:bottom w:w="0" w:type="dxa"/>
          <w:right w:w="0" w:type="dxa"/>
        </w:tblCellMar>
        <w:tblLook w:val="01E0"/>
      </w:tblPr>
      <w:tblGrid>
        <w:gridCol w:w="4616"/>
        <w:gridCol w:w="883"/>
        <w:gridCol w:w="1611"/>
        <w:gridCol w:w="883"/>
      </w:tblGrid>
      <w:tr>
        <w:trPr>
          <w:trHeight w:val="305" w:hRule="exact"/>
        </w:trPr>
        <w:tc>
          <w:tcPr>
            <w:tcW w:w="5499" w:type="dxa"/>
            <w:gridSpan w:val="2"/>
            <w:tcBorders>
              <w:top w:val="nil" w:sz="6" w:space="0" w:color="auto"/>
              <w:left w:val="nil" w:sz="6" w:space="0" w:color="auto"/>
              <w:bottom w:val="nil" w:sz="6" w:space="0" w:color="auto"/>
              <w:right w:val="single" w:sz="1" w:space="0" w:color="EBF0C9"/>
            </w:tcBorders>
            <w:shd w:val="clear" w:color="auto" w:fill="EBF0C9"/>
          </w:tcPr>
          <w:p>
            <w:pPr>
              <w:pStyle w:val="TableParagraph"/>
              <w:spacing w:line="240" w:lineRule="auto" w:before="44"/>
              <w:ind w:right="76"/>
              <w:jc w:val="right"/>
              <w:rPr>
                <w:rFonts w:ascii="Swis721 Cn BT" w:hAnsi="Swis721 Cn BT" w:cs="Swis721 Cn BT" w:eastAsia="Swis721 Cn BT"/>
                <w:sz w:val="18"/>
                <w:szCs w:val="18"/>
              </w:rPr>
            </w:pPr>
            <w:r>
              <w:rPr>
                <w:rFonts w:ascii="Swis721 Cn BT"/>
                <w:color w:val="303B41"/>
                <w:sz w:val="18"/>
              </w:rPr>
              <w:t>Make Good</w:t>
            </w:r>
            <w:r>
              <w:rPr>
                <w:rFonts w:ascii="Swis721 Cn BT"/>
                <w:sz w:val="18"/>
              </w:rPr>
            </w:r>
          </w:p>
        </w:tc>
        <w:tc>
          <w:tcPr>
            <w:tcW w:w="2494" w:type="dxa"/>
            <w:gridSpan w:val="2"/>
            <w:tcBorders>
              <w:top w:val="nil" w:sz="6" w:space="0" w:color="auto"/>
              <w:left w:val="single" w:sz="1" w:space="0" w:color="EBF0C9"/>
              <w:bottom w:val="nil" w:sz="6" w:space="0" w:color="auto"/>
              <w:right w:val="nil" w:sz="6" w:space="0" w:color="auto"/>
            </w:tcBorders>
            <w:shd w:val="clear" w:color="auto" w:fill="EBF0C9"/>
          </w:tcPr>
          <w:p>
            <w:pPr>
              <w:pStyle w:val="TableParagraph"/>
              <w:spacing w:line="240" w:lineRule="auto" w:before="44"/>
              <w:ind w:left="1277" w:right="0"/>
              <w:jc w:val="left"/>
              <w:rPr>
                <w:rFonts w:ascii="Swis721 Cn BT" w:hAnsi="Swis721 Cn BT" w:cs="Swis721 Cn BT" w:eastAsia="Swis721 Cn BT"/>
                <w:sz w:val="18"/>
                <w:szCs w:val="18"/>
              </w:rPr>
            </w:pPr>
            <w:r>
              <w:rPr>
                <w:rFonts w:ascii="Swis721 Cn BT"/>
                <w:color w:val="303B41"/>
                <w:sz w:val="18"/>
              </w:rPr>
              <w:t>Lease Incentives</w:t>
            </w:r>
            <w:r>
              <w:rPr>
                <w:rFonts w:ascii="Swis721 Cn BT"/>
                <w:sz w:val="18"/>
              </w:rPr>
            </w:r>
          </w:p>
        </w:tc>
      </w:tr>
      <w:tr>
        <w:trPr>
          <w:trHeight w:val="514" w:hRule="exact"/>
        </w:trPr>
        <w:tc>
          <w:tcPr>
            <w:tcW w:w="461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442"/>
              <w:jc w:val="right"/>
              <w:rPr>
                <w:rFonts w:ascii="Swis721 Cn BT" w:hAnsi="Swis721 Cn BT" w:cs="Swis721 Cn BT" w:eastAsia="Swis721 Cn BT"/>
                <w:sz w:val="18"/>
                <w:szCs w:val="18"/>
              </w:rPr>
            </w:pPr>
            <w:r>
              <w:rPr>
                <w:rFonts w:ascii="Swis721 Cn BT"/>
                <w:color w:val="303B41"/>
                <w:w w:val="95"/>
                <w:sz w:val="18"/>
              </w:rPr>
              <w:t>2019</w:t>
            </w:r>
            <w:r>
              <w:rPr>
                <w:rFonts w:ascii="Swis721 Cn BT"/>
                <w:sz w:val="18"/>
              </w:rPr>
            </w:r>
          </w:p>
          <w:p>
            <w:pPr>
              <w:pStyle w:val="TableParagraph"/>
              <w:spacing w:line="240" w:lineRule="auto"/>
              <w:ind w:right="442"/>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883"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8"/>
              <w:jc w:val="right"/>
              <w:rPr>
                <w:rFonts w:ascii="Swis721 Cn BT" w:hAnsi="Swis721 Cn BT" w:cs="Swis721 Cn BT" w:eastAsia="Swis721 Cn BT"/>
                <w:sz w:val="18"/>
                <w:szCs w:val="18"/>
              </w:rPr>
            </w:pPr>
            <w:r>
              <w:rPr>
                <w:rFonts w:ascii="Swis721 Cn BT"/>
                <w:color w:val="303B41"/>
                <w:sz w:val="18"/>
              </w:rPr>
              <w:t>2018</w:t>
            </w:r>
            <w:r>
              <w:rPr>
                <w:rFonts w:ascii="Swis721 Cn BT"/>
                <w:sz w:val="18"/>
              </w:rPr>
            </w:r>
          </w:p>
          <w:p>
            <w:pPr>
              <w:pStyle w:val="TableParagraph"/>
              <w:spacing w:line="240" w:lineRule="auto"/>
              <w:ind w:right="78"/>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611"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442"/>
              <w:jc w:val="right"/>
              <w:rPr>
                <w:rFonts w:ascii="Swis721 Cn BT" w:hAnsi="Swis721 Cn BT" w:cs="Swis721 Cn BT" w:eastAsia="Swis721 Cn BT"/>
                <w:sz w:val="18"/>
                <w:szCs w:val="18"/>
              </w:rPr>
            </w:pPr>
            <w:r>
              <w:rPr>
                <w:rFonts w:ascii="Swis721 Cn BT"/>
                <w:color w:val="303B41"/>
                <w:w w:val="95"/>
                <w:sz w:val="18"/>
              </w:rPr>
              <w:t>2019</w:t>
            </w:r>
            <w:r>
              <w:rPr>
                <w:rFonts w:ascii="Swis721 Cn BT"/>
                <w:sz w:val="18"/>
              </w:rPr>
            </w:r>
          </w:p>
          <w:p>
            <w:pPr>
              <w:pStyle w:val="TableParagraph"/>
              <w:spacing w:line="240" w:lineRule="auto"/>
              <w:ind w:right="442"/>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883"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8"/>
              <w:jc w:val="right"/>
              <w:rPr>
                <w:rFonts w:ascii="Swis721 Cn BT" w:hAnsi="Swis721 Cn BT" w:cs="Swis721 Cn BT" w:eastAsia="Swis721 Cn BT"/>
                <w:sz w:val="18"/>
                <w:szCs w:val="18"/>
              </w:rPr>
            </w:pPr>
            <w:r>
              <w:rPr>
                <w:rFonts w:ascii="Swis721 Cn BT"/>
                <w:color w:val="303B41"/>
                <w:sz w:val="18"/>
              </w:rPr>
              <w:t>2018</w:t>
            </w:r>
            <w:r>
              <w:rPr>
                <w:rFonts w:ascii="Swis721 Cn BT"/>
                <w:sz w:val="18"/>
              </w:rPr>
            </w:r>
          </w:p>
          <w:p>
            <w:pPr>
              <w:pStyle w:val="TableParagraph"/>
              <w:spacing w:line="240" w:lineRule="auto"/>
              <w:ind w:right="78"/>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r>
    </w:tbl>
    <w:p>
      <w:pPr>
        <w:spacing w:line="240" w:lineRule="auto" w:before="11"/>
        <w:rPr>
          <w:rFonts w:ascii="Swis721 BT" w:hAnsi="Swis721 BT" w:cs="Swis721 BT" w:eastAsia="Swis721 BT"/>
          <w:b/>
          <w:bCs/>
          <w:sz w:val="8"/>
          <w:szCs w:val="8"/>
        </w:rPr>
      </w:pPr>
    </w:p>
    <w:tbl>
      <w:tblPr>
        <w:tblW w:w="0" w:type="auto"/>
        <w:jc w:val="left"/>
        <w:tblInd w:w="115" w:type="dxa"/>
        <w:tblLayout w:type="fixed"/>
        <w:tblCellMar>
          <w:top w:w="0" w:type="dxa"/>
          <w:left w:w="0" w:type="dxa"/>
          <w:bottom w:w="0" w:type="dxa"/>
          <w:right w:w="0" w:type="dxa"/>
        </w:tblCellMar>
        <w:tblLook w:val="01E0"/>
      </w:tblPr>
      <w:tblGrid>
        <w:gridCol w:w="2860"/>
        <w:gridCol w:w="1669"/>
        <w:gridCol w:w="1536"/>
        <w:gridCol w:w="1983"/>
      </w:tblGrid>
      <w:tr>
        <w:trPr>
          <w:trHeight w:val="336" w:hRule="exact"/>
        </w:trPr>
        <w:tc>
          <w:tcPr>
            <w:tcW w:w="2860" w:type="dxa"/>
            <w:tcBorders>
              <w:top w:val="nil" w:sz="6" w:space="0" w:color="auto"/>
              <w:left w:val="nil" w:sz="6" w:space="0" w:color="auto"/>
              <w:bottom w:val="single" w:sz="2" w:space="0" w:color="848B91"/>
              <w:right w:val="nil" w:sz="6" w:space="0" w:color="auto"/>
            </w:tcBorders>
          </w:tcPr>
          <w:p>
            <w:pPr>
              <w:pStyle w:val="TableParagraph"/>
              <w:spacing w:line="240" w:lineRule="auto" w:before="71"/>
              <w:ind w:left="55" w:right="0"/>
              <w:jc w:val="left"/>
              <w:rPr>
                <w:rFonts w:ascii="Swis721 Lt BT" w:hAnsi="Swis721 Lt BT" w:cs="Swis721 Lt BT" w:eastAsia="Swis721 Lt BT"/>
                <w:sz w:val="18"/>
                <w:szCs w:val="18"/>
              </w:rPr>
            </w:pPr>
            <w:r>
              <w:rPr>
                <w:rFonts w:ascii="Swis721 Lt BT"/>
                <w:color w:val="231F20"/>
                <w:sz w:val="18"/>
              </w:rPr>
              <w:t>Opening balance</w:t>
            </w:r>
            <w:r>
              <w:rPr>
                <w:rFonts w:ascii="Swis721 Lt BT"/>
                <w:sz w:val="18"/>
              </w:rPr>
            </w:r>
          </w:p>
        </w:tc>
        <w:tc>
          <w:tcPr>
            <w:tcW w:w="1669" w:type="dxa"/>
            <w:tcBorders>
              <w:top w:val="nil" w:sz="6" w:space="0" w:color="auto"/>
              <w:left w:val="nil" w:sz="6" w:space="0" w:color="auto"/>
              <w:bottom w:val="single" w:sz="2" w:space="0" w:color="848B91"/>
              <w:right w:val="nil" w:sz="6" w:space="0" w:color="auto"/>
            </w:tcBorders>
          </w:tcPr>
          <w:p>
            <w:pPr>
              <w:pStyle w:val="TableParagraph"/>
              <w:spacing w:line="240" w:lineRule="auto" w:before="71"/>
              <w:ind w:left="732" w:right="0"/>
              <w:jc w:val="left"/>
              <w:rPr>
                <w:rFonts w:ascii="Swis721 Lt BT" w:hAnsi="Swis721 Lt BT" w:cs="Swis721 Lt BT" w:eastAsia="Swis721 Lt BT"/>
                <w:sz w:val="18"/>
                <w:szCs w:val="18"/>
              </w:rPr>
            </w:pPr>
            <w:r>
              <w:rPr>
                <w:rFonts w:ascii="Swis721 Lt BT"/>
                <w:color w:val="231F20"/>
                <w:sz w:val="18"/>
              </w:rPr>
              <w:t>344,346</w:t>
            </w:r>
            <w:r>
              <w:rPr>
                <w:rFonts w:ascii="Swis721 Lt BT"/>
                <w:sz w:val="18"/>
              </w:rPr>
            </w:r>
          </w:p>
        </w:tc>
        <w:tc>
          <w:tcPr>
            <w:tcW w:w="1536" w:type="dxa"/>
            <w:tcBorders>
              <w:top w:val="nil" w:sz="6" w:space="0" w:color="auto"/>
              <w:left w:val="nil" w:sz="6" w:space="0" w:color="auto"/>
              <w:bottom w:val="single" w:sz="2" w:space="0" w:color="848B91"/>
              <w:right w:val="nil" w:sz="6" w:space="0" w:color="auto"/>
            </w:tcBorders>
          </w:tcPr>
          <w:p>
            <w:pPr>
              <w:pStyle w:val="TableParagraph"/>
              <w:spacing w:line="240" w:lineRule="auto" w:before="71"/>
              <w:ind w:left="323" w:right="0"/>
              <w:jc w:val="left"/>
              <w:rPr>
                <w:rFonts w:ascii="Swis721 Lt BT" w:hAnsi="Swis721 Lt BT" w:cs="Swis721 Lt BT" w:eastAsia="Swis721 Lt BT"/>
                <w:sz w:val="18"/>
                <w:szCs w:val="18"/>
              </w:rPr>
            </w:pPr>
            <w:r>
              <w:rPr>
                <w:rFonts w:ascii="Swis721 Lt BT"/>
                <w:color w:val="231F20"/>
                <w:sz w:val="18"/>
              </w:rPr>
              <w:t>330,633</w:t>
            </w:r>
            <w:r>
              <w:rPr>
                <w:rFonts w:ascii="Swis721 Lt BT"/>
                <w:sz w:val="18"/>
              </w:rPr>
            </w:r>
          </w:p>
        </w:tc>
        <w:tc>
          <w:tcPr>
            <w:tcW w:w="1983" w:type="dxa"/>
            <w:tcBorders>
              <w:top w:val="nil" w:sz="6" w:space="0" w:color="auto"/>
              <w:left w:val="nil" w:sz="6" w:space="0" w:color="auto"/>
              <w:bottom w:val="single" w:sz="2" w:space="0" w:color="848B91"/>
              <w:right w:val="nil" w:sz="6" w:space="0" w:color="auto"/>
            </w:tcBorders>
          </w:tcPr>
          <w:p>
            <w:pPr>
              <w:pStyle w:val="TableParagraph"/>
              <w:tabs>
                <w:tab w:pos="1266" w:val="left" w:leader="none"/>
              </w:tabs>
              <w:spacing w:line="240" w:lineRule="auto" w:before="71"/>
              <w:ind w:left="590" w:right="0"/>
              <w:jc w:val="left"/>
              <w:rPr>
                <w:rFonts w:ascii="Swis721 Lt BT" w:hAnsi="Swis721 Lt BT" w:cs="Swis721 Lt BT" w:eastAsia="Swis721 Lt BT"/>
                <w:sz w:val="18"/>
                <w:szCs w:val="18"/>
              </w:rPr>
            </w:pPr>
            <w:r>
              <w:rPr>
                <w:rFonts w:ascii="Swis721 Lt BT"/>
                <w:color w:val="231F20"/>
                <w:sz w:val="18"/>
              </w:rPr>
              <w:t>-</w:t>
              <w:tab/>
              <w:t>259,184</w:t>
            </w:r>
            <w:r>
              <w:rPr>
                <w:rFonts w:ascii="Swis721 Lt BT"/>
                <w:sz w:val="18"/>
              </w:rPr>
            </w:r>
          </w:p>
        </w:tc>
      </w:tr>
      <w:tr>
        <w:trPr>
          <w:trHeight w:val="329" w:hRule="exact"/>
        </w:trPr>
        <w:tc>
          <w:tcPr>
            <w:tcW w:w="286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z w:val="18"/>
              </w:rPr>
              <w:t>Borrowing cost adjustment</w:t>
            </w:r>
            <w:r>
              <w:rPr>
                <w:rFonts w:ascii="Swis721 Lt BT"/>
                <w:sz w:val="18"/>
              </w:rPr>
            </w:r>
          </w:p>
        </w:tc>
        <w:tc>
          <w:tcPr>
            <w:tcW w:w="166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828" w:right="0"/>
              <w:jc w:val="left"/>
              <w:rPr>
                <w:rFonts w:ascii="Swis721 Lt BT" w:hAnsi="Swis721 Lt BT" w:cs="Swis721 Lt BT" w:eastAsia="Swis721 Lt BT"/>
                <w:sz w:val="18"/>
                <w:szCs w:val="18"/>
              </w:rPr>
            </w:pPr>
            <w:r>
              <w:rPr>
                <w:rFonts w:ascii="Swis721 Lt BT"/>
                <w:color w:val="231F20"/>
                <w:sz w:val="18"/>
              </w:rPr>
              <w:t>12,478</w:t>
            </w:r>
            <w:r>
              <w:rPr>
                <w:rFonts w:ascii="Swis721 Lt BT"/>
                <w:sz w:val="18"/>
              </w:rPr>
            </w:r>
          </w:p>
        </w:tc>
        <w:tc>
          <w:tcPr>
            <w:tcW w:w="153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419" w:right="0"/>
              <w:jc w:val="left"/>
              <w:rPr>
                <w:rFonts w:ascii="Swis721 Lt BT" w:hAnsi="Swis721 Lt BT" w:cs="Swis721 Lt BT" w:eastAsia="Swis721 Lt BT"/>
                <w:sz w:val="18"/>
                <w:szCs w:val="18"/>
              </w:rPr>
            </w:pPr>
            <w:r>
              <w:rPr>
                <w:rFonts w:ascii="Swis721 Lt BT"/>
                <w:color w:val="231F20"/>
                <w:sz w:val="18"/>
              </w:rPr>
              <w:t>12,026</w:t>
            </w:r>
            <w:r>
              <w:rPr>
                <w:rFonts w:ascii="Swis721 Lt BT"/>
                <w:sz w:val="18"/>
              </w:rPr>
            </w:r>
          </w:p>
        </w:tc>
        <w:tc>
          <w:tcPr>
            <w:tcW w:w="1983" w:type="dxa"/>
            <w:tcBorders>
              <w:top w:val="single" w:sz="2" w:space="0" w:color="848B91"/>
              <w:left w:val="nil" w:sz="6" w:space="0" w:color="auto"/>
              <w:bottom w:val="single" w:sz="2" w:space="0" w:color="848B91"/>
              <w:right w:val="nil" w:sz="6" w:space="0" w:color="auto"/>
            </w:tcBorders>
          </w:tcPr>
          <w:p>
            <w:pPr>
              <w:pStyle w:val="TableParagraph"/>
              <w:tabs>
                <w:tab w:pos="1830" w:val="left" w:leader="none"/>
              </w:tabs>
              <w:spacing w:line="240" w:lineRule="auto" w:before="65"/>
              <w:ind w:left="590" w:right="0"/>
              <w:jc w:val="left"/>
              <w:rPr>
                <w:rFonts w:ascii="Swis721 Lt BT" w:hAnsi="Swis721 Lt BT" w:cs="Swis721 Lt BT" w:eastAsia="Swis721 Lt BT"/>
                <w:sz w:val="18"/>
                <w:szCs w:val="18"/>
              </w:rPr>
            </w:pPr>
            <w:r>
              <w:rPr>
                <w:rFonts w:ascii="Swis721 Lt BT"/>
                <w:color w:val="231F20"/>
                <w:sz w:val="18"/>
              </w:rPr>
              <w:t>-</w:t>
              <w:tab/>
              <w:t>-</w:t>
            </w:r>
            <w:r>
              <w:rPr>
                <w:rFonts w:ascii="Swis721 Lt BT"/>
                <w:sz w:val="18"/>
              </w:rPr>
            </w:r>
          </w:p>
        </w:tc>
      </w:tr>
      <w:tr>
        <w:trPr>
          <w:trHeight w:val="329" w:hRule="exact"/>
        </w:trPr>
        <w:tc>
          <w:tcPr>
            <w:tcW w:w="2860"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z w:val="18"/>
              </w:rPr>
              <w:t>Present value adjustment</w:t>
            </w:r>
            <w:r>
              <w:rPr>
                <w:rFonts w:ascii="Swis721 Lt BT"/>
                <w:sz w:val="18"/>
              </w:rPr>
            </w:r>
          </w:p>
        </w:tc>
        <w:tc>
          <w:tcPr>
            <w:tcW w:w="166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828" w:right="0"/>
              <w:jc w:val="left"/>
              <w:rPr>
                <w:rFonts w:ascii="Swis721 Lt BT" w:hAnsi="Swis721 Lt BT" w:cs="Swis721 Lt BT" w:eastAsia="Swis721 Lt BT"/>
                <w:sz w:val="18"/>
                <w:szCs w:val="18"/>
              </w:rPr>
            </w:pPr>
            <w:r>
              <w:rPr>
                <w:rFonts w:ascii="Swis721 Lt BT"/>
                <w:color w:val="231F20"/>
                <w:sz w:val="18"/>
              </w:rPr>
              <w:t>10,936</w:t>
            </w:r>
            <w:r>
              <w:rPr>
                <w:rFonts w:ascii="Swis721 Lt BT"/>
                <w:sz w:val="18"/>
              </w:rPr>
            </w:r>
          </w:p>
        </w:tc>
        <w:tc>
          <w:tcPr>
            <w:tcW w:w="1536"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73"/>
              <w:jc w:val="center"/>
              <w:rPr>
                <w:rFonts w:ascii="Swis721 Lt BT" w:hAnsi="Swis721 Lt BT" w:cs="Swis721 Lt BT" w:eastAsia="Swis721 Lt BT"/>
                <w:sz w:val="18"/>
                <w:szCs w:val="18"/>
              </w:rPr>
            </w:pPr>
            <w:r>
              <w:rPr>
                <w:rFonts w:ascii="Swis721 Lt BT"/>
                <w:color w:val="231F20"/>
                <w:sz w:val="18"/>
              </w:rPr>
              <w:t>1,687</w:t>
            </w:r>
            <w:r>
              <w:rPr>
                <w:rFonts w:ascii="Swis721 Lt BT"/>
                <w:sz w:val="18"/>
              </w:rPr>
            </w:r>
          </w:p>
        </w:tc>
        <w:tc>
          <w:tcPr>
            <w:tcW w:w="1983" w:type="dxa"/>
            <w:tcBorders>
              <w:top w:val="single" w:sz="2" w:space="0" w:color="848B91"/>
              <w:left w:val="nil" w:sz="6" w:space="0" w:color="auto"/>
              <w:bottom w:val="single" w:sz="2" w:space="0" w:color="848B91"/>
              <w:right w:val="nil" w:sz="6" w:space="0" w:color="auto"/>
            </w:tcBorders>
          </w:tcPr>
          <w:p>
            <w:pPr>
              <w:pStyle w:val="TableParagraph"/>
              <w:tabs>
                <w:tab w:pos="1830" w:val="left" w:leader="none"/>
              </w:tabs>
              <w:spacing w:line="240" w:lineRule="auto" w:before="65"/>
              <w:ind w:left="590" w:right="0"/>
              <w:jc w:val="left"/>
              <w:rPr>
                <w:rFonts w:ascii="Swis721 Lt BT" w:hAnsi="Swis721 Lt BT" w:cs="Swis721 Lt BT" w:eastAsia="Swis721 Lt BT"/>
                <w:sz w:val="18"/>
                <w:szCs w:val="18"/>
              </w:rPr>
            </w:pPr>
            <w:r>
              <w:rPr>
                <w:rFonts w:ascii="Swis721 Lt BT"/>
                <w:color w:val="231F20"/>
                <w:sz w:val="18"/>
              </w:rPr>
              <w:t>-</w:t>
              <w:tab/>
              <w:t>-</w:t>
            </w:r>
            <w:r>
              <w:rPr>
                <w:rFonts w:ascii="Swis721 Lt BT"/>
                <w:sz w:val="18"/>
              </w:rPr>
            </w:r>
          </w:p>
        </w:tc>
      </w:tr>
      <w:tr>
        <w:trPr>
          <w:trHeight w:val="341" w:hRule="exact"/>
        </w:trPr>
        <w:tc>
          <w:tcPr>
            <w:tcW w:w="2860"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z w:val="18"/>
              </w:rPr>
              <w:t>Amortisation of provision</w:t>
            </w:r>
            <w:r>
              <w:rPr>
                <w:rFonts w:ascii="Swis721 Lt BT"/>
                <w:sz w:val="18"/>
              </w:rPr>
            </w:r>
          </w:p>
        </w:tc>
        <w:tc>
          <w:tcPr>
            <w:tcW w:w="1669"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right="312"/>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1536"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296" w:right="0"/>
              <w:jc w:val="center"/>
              <w:rPr>
                <w:rFonts w:ascii="Swis721 Lt BT" w:hAnsi="Swis721 Lt BT" w:cs="Swis721 Lt BT" w:eastAsia="Swis721 Lt BT"/>
                <w:sz w:val="18"/>
                <w:szCs w:val="18"/>
              </w:rPr>
            </w:pPr>
            <w:r>
              <w:rPr>
                <w:rFonts w:ascii="Swis721 Lt BT"/>
                <w:color w:val="231F20"/>
                <w:sz w:val="18"/>
              </w:rPr>
              <w:t>-</w:t>
            </w:r>
            <w:r>
              <w:rPr>
                <w:rFonts w:ascii="Swis721 Lt BT"/>
                <w:sz w:val="18"/>
              </w:rPr>
            </w:r>
          </w:p>
        </w:tc>
        <w:tc>
          <w:tcPr>
            <w:tcW w:w="1983" w:type="dxa"/>
            <w:tcBorders>
              <w:top w:val="single" w:sz="2" w:space="0" w:color="848B91"/>
              <w:left w:val="nil" w:sz="6" w:space="0" w:color="auto"/>
              <w:bottom w:val="single" w:sz="8" w:space="0" w:color="848B91"/>
              <w:right w:val="nil" w:sz="6" w:space="0" w:color="auto"/>
            </w:tcBorders>
          </w:tcPr>
          <w:p>
            <w:pPr>
              <w:pStyle w:val="TableParagraph"/>
              <w:tabs>
                <w:tab w:pos="1153" w:val="left" w:leader="none"/>
              </w:tabs>
              <w:spacing w:line="240" w:lineRule="auto" w:before="65"/>
              <w:ind w:left="590" w:right="0"/>
              <w:jc w:val="left"/>
              <w:rPr>
                <w:rFonts w:ascii="Swis721 Lt BT" w:hAnsi="Swis721 Lt BT" w:cs="Swis721 Lt BT" w:eastAsia="Swis721 Lt BT"/>
                <w:sz w:val="18"/>
                <w:szCs w:val="18"/>
              </w:rPr>
            </w:pPr>
            <w:r>
              <w:rPr>
                <w:rFonts w:ascii="Swis721 Lt BT"/>
                <w:color w:val="231F20"/>
                <w:sz w:val="18"/>
              </w:rPr>
              <w:t>-</w:t>
              <w:tab/>
              <w:t>(259,184)</w:t>
            </w:r>
            <w:r>
              <w:rPr>
                <w:rFonts w:ascii="Swis721 Lt BT"/>
                <w:sz w:val="18"/>
              </w:rPr>
            </w:r>
          </w:p>
        </w:tc>
      </w:tr>
      <w:tr>
        <w:trPr>
          <w:trHeight w:val="349" w:hRule="exact"/>
        </w:trPr>
        <w:tc>
          <w:tcPr>
            <w:tcW w:w="2860"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5" w:right="0"/>
              <w:jc w:val="left"/>
              <w:rPr>
                <w:rFonts w:ascii="Swis721 Md BT" w:hAnsi="Swis721 Md BT" w:cs="Swis721 Md BT" w:eastAsia="Swis721 Md BT"/>
                <w:sz w:val="18"/>
                <w:szCs w:val="18"/>
              </w:rPr>
            </w:pPr>
            <w:r>
              <w:rPr>
                <w:rFonts w:ascii="Swis721 Md BT"/>
                <w:color w:val="231F20"/>
                <w:sz w:val="18"/>
              </w:rPr>
              <w:t>Balance at 30 June</w:t>
            </w:r>
            <w:r>
              <w:rPr>
                <w:rFonts w:ascii="Swis721 Md BT"/>
                <w:sz w:val="18"/>
              </w:rPr>
            </w:r>
          </w:p>
        </w:tc>
        <w:tc>
          <w:tcPr>
            <w:tcW w:w="1669"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723" w:right="0"/>
              <w:jc w:val="left"/>
              <w:rPr>
                <w:rFonts w:ascii="Swis721 Md BT" w:hAnsi="Swis721 Md BT" w:cs="Swis721 Md BT" w:eastAsia="Swis721 Md BT"/>
                <w:sz w:val="18"/>
                <w:szCs w:val="18"/>
              </w:rPr>
            </w:pPr>
            <w:r>
              <w:rPr>
                <w:rFonts w:ascii="Swis721 Md BT"/>
                <w:color w:val="231F20"/>
                <w:sz w:val="18"/>
              </w:rPr>
              <w:t>367,760</w:t>
            </w:r>
            <w:r>
              <w:rPr>
                <w:rFonts w:ascii="Swis721 Md BT"/>
                <w:sz w:val="18"/>
              </w:rPr>
            </w:r>
          </w:p>
        </w:tc>
        <w:tc>
          <w:tcPr>
            <w:tcW w:w="1536"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94" w:right="0"/>
              <w:jc w:val="left"/>
              <w:rPr>
                <w:rFonts w:ascii="Swis721 Md BT" w:hAnsi="Swis721 Md BT" w:cs="Swis721 Md BT" w:eastAsia="Swis721 Md BT"/>
                <w:sz w:val="18"/>
                <w:szCs w:val="18"/>
              </w:rPr>
            </w:pPr>
            <w:r>
              <w:rPr>
                <w:rFonts w:ascii="Swis721 Md BT"/>
                <w:color w:val="231F20"/>
                <w:sz w:val="18"/>
              </w:rPr>
              <w:t>344,346</w:t>
            </w:r>
            <w:r>
              <w:rPr>
                <w:rFonts w:ascii="Swis721 Md BT"/>
                <w:sz w:val="18"/>
              </w:rPr>
            </w:r>
          </w:p>
        </w:tc>
        <w:tc>
          <w:tcPr>
            <w:tcW w:w="1983" w:type="dxa"/>
            <w:tcBorders>
              <w:top w:val="single" w:sz="8" w:space="0" w:color="848B91"/>
              <w:left w:val="nil" w:sz="6" w:space="0" w:color="auto"/>
              <w:bottom w:val="single" w:sz="8" w:space="0" w:color="848B91"/>
              <w:right w:val="nil" w:sz="6" w:space="0" w:color="auto"/>
            </w:tcBorders>
          </w:tcPr>
          <w:p>
            <w:pPr>
              <w:pStyle w:val="TableParagraph"/>
              <w:tabs>
                <w:tab w:pos="1831" w:val="left" w:leader="none"/>
              </w:tabs>
              <w:spacing w:line="240" w:lineRule="auto" w:before="53"/>
              <w:ind w:left="591" w:right="0"/>
              <w:jc w:val="left"/>
              <w:rPr>
                <w:rFonts w:ascii="Swis721 Md BT" w:hAnsi="Swis721 Md BT" w:cs="Swis721 Md BT" w:eastAsia="Swis721 Md BT"/>
                <w:sz w:val="18"/>
                <w:szCs w:val="18"/>
              </w:rPr>
            </w:pPr>
            <w:r>
              <w:rPr>
                <w:rFonts w:ascii="Swis721 Md BT"/>
                <w:color w:val="231F20"/>
                <w:sz w:val="18"/>
              </w:rPr>
              <w:t>-</w:t>
              <w:tab/>
              <w:t>-</w:t>
            </w:r>
            <w:r>
              <w:rPr>
                <w:rFonts w:ascii="Swis721 Md BT"/>
                <w:sz w:val="18"/>
              </w:rPr>
            </w:r>
          </w:p>
        </w:tc>
      </w:tr>
    </w:tbl>
    <w:p>
      <w:pPr>
        <w:spacing w:after="0" w:line="240" w:lineRule="auto"/>
        <w:jc w:val="left"/>
        <w:rPr>
          <w:rFonts w:ascii="Swis721 Md BT" w:hAnsi="Swis721 Md BT" w:cs="Swis721 Md BT" w:eastAsia="Swis721 Md BT"/>
          <w:sz w:val="18"/>
          <w:szCs w:val="18"/>
        </w:rPr>
        <w:sectPr>
          <w:pgSz w:w="9980" w:h="14180"/>
          <w:pgMar w:header="0" w:footer="452" w:top="940" w:bottom="640" w:left="680" w:right="1020"/>
        </w:sectPr>
      </w:pPr>
    </w:p>
    <w:p>
      <w:pPr>
        <w:spacing w:before="58"/>
        <w:ind w:left="0" w:right="10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16"/>
          <w:szCs w:val="16"/>
        </w:rPr>
      </w:pPr>
    </w:p>
    <w:p>
      <w:pPr>
        <w:spacing w:before="61"/>
        <w:ind w:left="113" w:right="0" w:firstLine="0"/>
        <w:jc w:val="left"/>
        <w:rPr>
          <w:rFonts w:ascii="Swis721 Lt BT" w:hAnsi="Swis721 Lt BT" w:cs="Swis721 Lt BT" w:eastAsia="Swis721 Lt BT"/>
          <w:sz w:val="24"/>
          <w:szCs w:val="24"/>
        </w:rPr>
      </w:pPr>
      <w:r>
        <w:rPr>
          <w:rFonts w:ascii="Swis721 Hv BT"/>
          <w:b/>
          <w:color w:val="005E63"/>
          <w:sz w:val="24"/>
        </w:rPr>
        <w:t>NOTE</w:t>
      </w:r>
      <w:r>
        <w:rPr>
          <w:rFonts w:ascii="Swis721 Hv BT"/>
          <w:b/>
          <w:color w:val="005E63"/>
          <w:spacing w:val="-3"/>
          <w:sz w:val="24"/>
        </w:rPr>
        <w:t> </w:t>
      </w:r>
      <w:r>
        <w:rPr>
          <w:rFonts w:ascii="Swis721 Hv BT"/>
          <w:b/>
          <w:color w:val="005E63"/>
          <w:sz w:val="24"/>
        </w:rPr>
        <w:t>6.</w:t>
      </w:r>
      <w:r>
        <w:rPr>
          <w:rFonts w:ascii="Swis721 Hv BT"/>
          <w:b/>
          <w:color w:val="005E63"/>
          <w:spacing w:val="-2"/>
          <w:sz w:val="24"/>
        </w:rPr>
        <w:t> </w:t>
      </w:r>
      <w:r>
        <w:rPr>
          <w:rFonts w:ascii="Swis721 BT"/>
          <w:color w:val="005E63"/>
          <w:spacing w:val="-1"/>
          <w:sz w:val="24"/>
        </w:rPr>
        <w:t>PROVISIONS</w:t>
      </w:r>
      <w:r>
        <w:rPr>
          <w:rFonts w:ascii="Swis721 BT"/>
          <w:color w:val="005E63"/>
          <w:spacing w:val="-2"/>
          <w:sz w:val="24"/>
        </w:rPr>
        <w:t> </w:t>
      </w:r>
      <w:r>
        <w:rPr>
          <w:rFonts w:ascii="Swis721 Lt BT"/>
          <w:color w:val="005E63"/>
          <w:sz w:val="24"/>
        </w:rPr>
        <w:t>CONTINUED</w:t>
      </w:r>
      <w:r>
        <w:rPr>
          <w:rFonts w:ascii="Swis721 Lt BT"/>
          <w:sz w:val="24"/>
        </w:rPr>
      </w:r>
    </w:p>
    <w:p>
      <w:pPr>
        <w:spacing w:line="240" w:lineRule="auto" w:before="3"/>
        <w:rPr>
          <w:rFonts w:ascii="Swis721 Lt BT" w:hAnsi="Swis721 Lt BT" w:cs="Swis721 Lt BT" w:eastAsia="Swis721 Lt BT"/>
          <w:sz w:val="22"/>
          <w:szCs w:val="22"/>
        </w:rPr>
      </w:pPr>
    </w:p>
    <w:p>
      <w:pPr>
        <w:pStyle w:val="Heading8"/>
        <w:spacing w:line="240" w:lineRule="auto" w:before="65"/>
        <w:ind w:left="230" w:right="0"/>
        <w:jc w:val="left"/>
      </w:pPr>
      <w:r>
        <w:rPr/>
        <w:pict>
          <v:group style="position:absolute;margin-left:56.5429pt;margin-top:-.816003pt;width:400.3pt;height:349.95pt;mso-position-horizontal-relative:page;mso-position-vertical-relative:paragraph;z-index:-181288" coordorigin="1131,-16" coordsize="8006,6999">
            <v:group style="position:absolute;left:1134;top:-13;width:8000;height:2" coordorigin="1134,-13" coordsize="8000,2">
              <v:shape style="position:absolute;left:1134;top:-13;width:8000;height:2" coordorigin="1134,-13" coordsize="8000,0" path="m1134,-13l9134,-13e" filled="false" stroked="true" strokeweight=".3pt" strokecolor="#71797f">
                <v:path arrowok="t"/>
              </v:shape>
            </v:group>
            <v:group style="position:absolute;left:1137;top:-10;width:2;height:6987" coordorigin="1137,-10" coordsize="2,6987">
              <v:shape style="position:absolute;left:1137;top:-10;width:2;height:6987" coordorigin="1137,-10" coordsize="0,6987" path="m1137,6976l1137,-10e" filled="false" stroked="true" strokeweight=".3pt" strokecolor="#71797f">
                <v:path arrowok="t"/>
              </v:shape>
            </v:group>
            <v:group style="position:absolute;left:9131;top:-10;width:2;height:6987" coordorigin="9131,-10" coordsize="2,6987">
              <v:shape style="position:absolute;left:9131;top:-10;width:2;height:6987" coordorigin="9131,-10" coordsize="0,6987" path="m9131,6976l9131,-10e" filled="false" stroked="true" strokeweight=".3pt" strokecolor="#71797f">
                <v:path arrowok="t"/>
              </v:shape>
            </v:group>
            <v:group style="position:absolute;left:1134;top:6979;width:8000;height:2" coordorigin="1134,6979" coordsize="8000,2">
              <v:shape style="position:absolute;left:1134;top:6979;width:8000;height:2" coordorigin="1134,6979" coordsize="8000,0" path="m1134,6979l9134,6979e" filled="false" stroked="true" strokeweight=".3pt" strokecolor="#71797f">
                <v:path arrowok="t"/>
              </v:shape>
            </v:group>
            <w10:wrap type="none"/>
          </v:group>
        </w:pict>
      </w:r>
      <w:r>
        <w:rPr>
          <w:color w:val="00757A"/>
        </w:rPr>
        <w:t>Accounting </w:t>
      </w:r>
      <w:r>
        <w:rPr>
          <w:color w:val="00757A"/>
          <w:spacing w:val="-1"/>
        </w:rPr>
        <w:t>Policy</w:t>
      </w:r>
      <w:r>
        <w:rPr/>
      </w:r>
    </w:p>
    <w:p>
      <w:pPr>
        <w:spacing w:line="240" w:lineRule="auto" w:before="6"/>
        <w:rPr>
          <w:rFonts w:ascii="Swis721 Md BT" w:hAnsi="Swis721 Md BT" w:cs="Swis721 Md BT" w:eastAsia="Swis721 Md BT"/>
          <w:sz w:val="11"/>
          <w:szCs w:val="11"/>
        </w:rPr>
      </w:pPr>
    </w:p>
    <w:p>
      <w:pPr>
        <w:spacing w:after="0" w:line="240" w:lineRule="auto"/>
        <w:rPr>
          <w:rFonts w:ascii="Swis721 Md BT" w:hAnsi="Swis721 Md BT" w:cs="Swis721 Md BT" w:eastAsia="Swis721 Md BT"/>
          <w:sz w:val="11"/>
          <w:szCs w:val="11"/>
        </w:rPr>
        <w:sectPr>
          <w:pgSz w:w="9980" w:h="14180"/>
          <w:pgMar w:header="0" w:footer="452" w:top="360" w:bottom="640" w:left="1020" w:right="740"/>
        </w:sectPr>
      </w:pPr>
    </w:p>
    <w:p>
      <w:pPr>
        <w:pStyle w:val="BodyText"/>
        <w:spacing w:line="240" w:lineRule="auto" w:before="69"/>
        <w:ind w:left="230" w:right="0"/>
        <w:jc w:val="left"/>
        <w:rPr>
          <w:rFonts w:ascii="Swis721 Md BT" w:hAnsi="Swis721 Md BT" w:cs="Swis721 Md BT" w:eastAsia="Swis721 Md BT"/>
        </w:rPr>
      </w:pPr>
      <w:r>
        <w:rPr>
          <w:rFonts w:ascii="Swis721 Md BT"/>
          <w:color w:val="303B41"/>
        </w:rPr>
        <w:t>Provisions</w:t>
      </w:r>
      <w:r>
        <w:rPr>
          <w:rFonts w:ascii="Swis721 Md BT"/>
        </w:rPr>
      </w:r>
    </w:p>
    <w:p>
      <w:pPr>
        <w:pStyle w:val="BodyText"/>
        <w:spacing w:line="240" w:lineRule="auto"/>
        <w:ind w:left="230" w:right="243"/>
        <w:jc w:val="left"/>
      </w:pPr>
      <w:r>
        <w:rPr>
          <w:color w:val="231F20"/>
        </w:rPr>
        <w:t>A provision is recognised </w:t>
      </w:r>
      <w:r>
        <w:rPr>
          <w:color w:val="231F20"/>
          <w:spacing w:val="-2"/>
        </w:rPr>
        <w:t>if,</w:t>
      </w:r>
      <w:r>
        <w:rPr>
          <w:color w:val="231F20"/>
        </w:rPr>
        <w:t> as a result of</w:t>
      </w:r>
      <w:r>
        <w:rPr>
          <w:color w:val="231F20"/>
          <w:spacing w:val="22"/>
        </w:rPr>
        <w:t> </w:t>
      </w:r>
      <w:r>
        <w:rPr>
          <w:color w:val="231F20"/>
        </w:rPr>
        <w:t>a past event, AITSL has a present legal or</w:t>
      </w:r>
      <w:r>
        <w:rPr/>
      </w:r>
    </w:p>
    <w:p>
      <w:pPr>
        <w:pStyle w:val="BodyText"/>
        <w:spacing w:line="240" w:lineRule="auto" w:before="0"/>
        <w:ind w:left="230" w:right="0"/>
        <w:jc w:val="left"/>
      </w:pPr>
      <w:r>
        <w:rPr>
          <w:color w:val="231F20"/>
        </w:rPr>
        <w:t>constructive obligation that can be estimated </w:t>
      </w:r>
      <w:r>
        <w:rPr>
          <w:color w:val="231F20"/>
          <w:spacing w:val="-2"/>
        </w:rPr>
        <w:t>reliably,</w:t>
      </w:r>
      <w:r>
        <w:rPr>
          <w:color w:val="231F20"/>
          <w:spacing w:val="-1"/>
        </w:rPr>
        <w:t> </w:t>
      </w:r>
      <w:r>
        <w:rPr>
          <w:color w:val="231F20"/>
        </w:rPr>
        <w:t>and</w:t>
      </w:r>
      <w:r>
        <w:rPr>
          <w:color w:val="231F20"/>
          <w:spacing w:val="-1"/>
        </w:rPr>
        <w:t> </w:t>
      </w:r>
      <w:r>
        <w:rPr>
          <w:color w:val="231F20"/>
        </w:rPr>
        <w:t>it</w:t>
      </w:r>
      <w:r>
        <w:rPr>
          <w:color w:val="231F20"/>
          <w:spacing w:val="-1"/>
        </w:rPr>
        <w:t> </w:t>
      </w:r>
      <w:r>
        <w:rPr>
          <w:color w:val="231F20"/>
        </w:rPr>
        <w:t>is probable</w:t>
      </w:r>
      <w:r>
        <w:rPr>
          <w:color w:val="231F20"/>
          <w:spacing w:val="-1"/>
        </w:rPr>
        <w:t> </w:t>
      </w:r>
      <w:r>
        <w:rPr>
          <w:color w:val="231F20"/>
        </w:rPr>
        <w:t>that</w:t>
      </w:r>
      <w:r>
        <w:rPr>
          <w:color w:val="231F20"/>
          <w:spacing w:val="-1"/>
        </w:rPr>
        <w:t> </w:t>
      </w:r>
      <w:r>
        <w:rPr>
          <w:color w:val="231F20"/>
        </w:rPr>
        <w:t>an</w:t>
      </w:r>
      <w:r>
        <w:rPr>
          <w:color w:val="231F20"/>
          <w:spacing w:val="-1"/>
        </w:rPr>
        <w:t> </w:t>
      </w:r>
      <w:r>
        <w:rPr>
          <w:color w:val="231F20"/>
        </w:rPr>
        <w:t>outflow of</w:t>
      </w:r>
      <w:r>
        <w:rPr>
          <w:color w:val="231F20"/>
          <w:spacing w:val="23"/>
        </w:rPr>
        <w:t> </w:t>
      </w:r>
      <w:r>
        <w:rPr>
          <w:color w:val="231F20"/>
        </w:rPr>
        <w:t>economic</w:t>
      </w:r>
      <w:r>
        <w:rPr>
          <w:color w:val="231F20"/>
          <w:spacing w:val="-2"/>
        </w:rPr>
        <w:t> </w:t>
      </w:r>
      <w:r>
        <w:rPr>
          <w:color w:val="231F20"/>
        </w:rPr>
        <w:t>benefits</w:t>
      </w:r>
      <w:r>
        <w:rPr>
          <w:color w:val="231F20"/>
          <w:spacing w:val="-1"/>
        </w:rPr>
        <w:t> </w:t>
      </w:r>
      <w:r>
        <w:rPr>
          <w:color w:val="231F20"/>
        </w:rPr>
        <w:t>will</w:t>
      </w:r>
      <w:r>
        <w:rPr>
          <w:color w:val="231F20"/>
          <w:spacing w:val="-1"/>
        </w:rPr>
        <w:t> </w:t>
      </w:r>
      <w:r>
        <w:rPr>
          <w:color w:val="231F20"/>
        </w:rPr>
        <w:t>be</w:t>
      </w:r>
      <w:r>
        <w:rPr>
          <w:color w:val="231F20"/>
          <w:spacing w:val="-1"/>
        </w:rPr>
        <w:t> </w:t>
      </w:r>
      <w:r>
        <w:rPr>
          <w:color w:val="231F20"/>
        </w:rPr>
        <w:t>required</w:t>
      </w:r>
      <w:r>
        <w:rPr>
          <w:color w:val="231F20"/>
          <w:spacing w:val="-1"/>
        </w:rPr>
        <w:t> </w:t>
      </w:r>
      <w:r>
        <w:rPr>
          <w:color w:val="231F20"/>
        </w:rPr>
        <w:t>to</w:t>
      </w:r>
      <w:r>
        <w:rPr>
          <w:color w:val="231F20"/>
          <w:spacing w:val="-1"/>
        </w:rPr>
        <w:t> </w:t>
      </w:r>
      <w:r>
        <w:rPr>
          <w:color w:val="231F20"/>
        </w:rPr>
        <w:t>settle</w:t>
      </w:r>
      <w:r>
        <w:rPr>
          <w:color w:val="231F20"/>
        </w:rPr>
        <w:t> the obligation. Provisions are determined</w:t>
      </w:r>
      <w:r>
        <w:rPr/>
      </w:r>
    </w:p>
    <w:p>
      <w:pPr>
        <w:pStyle w:val="BodyText"/>
        <w:spacing w:line="240" w:lineRule="auto" w:before="0"/>
        <w:ind w:left="230" w:right="118"/>
        <w:jc w:val="left"/>
      </w:pPr>
      <w:r>
        <w:rPr>
          <w:color w:val="231F20"/>
        </w:rPr>
        <w:t>by discounting the expected future cash flows</w:t>
      </w:r>
      <w:r>
        <w:rPr>
          <w:color w:val="231F20"/>
          <w:spacing w:val="-2"/>
        </w:rPr>
        <w:t> </w:t>
      </w:r>
      <w:r>
        <w:rPr>
          <w:color w:val="231F20"/>
        </w:rPr>
        <w:t>at</w:t>
      </w:r>
      <w:r>
        <w:rPr>
          <w:color w:val="231F20"/>
          <w:spacing w:val="-1"/>
        </w:rPr>
        <w:t> </w:t>
      </w:r>
      <w:r>
        <w:rPr>
          <w:color w:val="231F20"/>
        </w:rPr>
        <w:t>a</w:t>
      </w:r>
      <w:r>
        <w:rPr>
          <w:color w:val="231F20"/>
          <w:spacing w:val="-2"/>
        </w:rPr>
        <w:t> </w:t>
      </w:r>
      <w:r>
        <w:rPr>
          <w:color w:val="231F20"/>
        </w:rPr>
        <w:t>rate</w:t>
      </w:r>
      <w:r>
        <w:rPr>
          <w:color w:val="231F20"/>
          <w:spacing w:val="-1"/>
        </w:rPr>
        <w:t> </w:t>
      </w:r>
      <w:r>
        <w:rPr>
          <w:color w:val="231F20"/>
        </w:rPr>
        <w:t>that</w:t>
      </w:r>
      <w:r>
        <w:rPr>
          <w:color w:val="231F20"/>
          <w:spacing w:val="-2"/>
        </w:rPr>
        <w:t> </w:t>
      </w:r>
      <w:r>
        <w:rPr>
          <w:color w:val="231F20"/>
        </w:rPr>
        <w:t>reflects</w:t>
      </w:r>
      <w:r>
        <w:rPr>
          <w:color w:val="231F20"/>
          <w:spacing w:val="-1"/>
        </w:rPr>
        <w:t> </w:t>
      </w:r>
      <w:r>
        <w:rPr>
          <w:color w:val="231F20"/>
        </w:rPr>
        <w:t>current</w:t>
      </w:r>
      <w:r>
        <w:rPr>
          <w:color w:val="231F20"/>
          <w:spacing w:val="-2"/>
        </w:rPr>
        <w:t> </w:t>
      </w:r>
      <w:r>
        <w:rPr>
          <w:color w:val="231F20"/>
        </w:rPr>
        <w:t>market</w:t>
      </w:r>
      <w:r>
        <w:rPr>
          <w:color w:val="231F20"/>
        </w:rPr>
        <w:t> assessments of the time value of money and</w:t>
      </w:r>
      <w:r>
        <w:rPr>
          <w:color w:val="231F20"/>
          <w:spacing w:val="-1"/>
        </w:rPr>
        <w:t> </w:t>
      </w:r>
      <w:r>
        <w:rPr>
          <w:color w:val="231F20"/>
        </w:rPr>
        <w:t>the</w:t>
      </w:r>
      <w:r>
        <w:rPr>
          <w:color w:val="231F20"/>
          <w:spacing w:val="-1"/>
        </w:rPr>
        <w:t> </w:t>
      </w:r>
      <w:r>
        <w:rPr>
          <w:color w:val="231F20"/>
        </w:rPr>
        <w:t>risks</w:t>
      </w:r>
      <w:r>
        <w:rPr>
          <w:color w:val="231F20"/>
          <w:spacing w:val="-1"/>
        </w:rPr>
        <w:t> </w:t>
      </w:r>
      <w:r>
        <w:rPr>
          <w:color w:val="231F20"/>
        </w:rPr>
        <w:t>specific</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spacing w:val="-2"/>
        </w:rPr>
        <w:t>liability.</w:t>
      </w:r>
      <w:r>
        <w:rPr>
          <w:color w:val="231F20"/>
          <w:spacing w:val="-1"/>
        </w:rPr>
        <w:t> </w:t>
      </w:r>
      <w:r>
        <w:rPr>
          <w:color w:val="231F20"/>
        </w:rPr>
        <w:t>The</w:t>
      </w:r>
      <w:r>
        <w:rPr>
          <w:color w:val="231F20"/>
          <w:spacing w:val="25"/>
        </w:rPr>
        <w:t> </w:t>
      </w:r>
      <w:r>
        <w:rPr>
          <w:color w:val="231F20"/>
        </w:rPr>
        <w:t>unwinding of the discount is recognised as</w:t>
      </w:r>
      <w:r>
        <w:rPr>
          <w:color w:val="231F20"/>
        </w:rPr>
        <w:t> a</w:t>
      </w:r>
      <w:r>
        <w:rPr>
          <w:color w:val="231F20"/>
          <w:spacing w:val="-3"/>
        </w:rPr>
        <w:t> </w:t>
      </w:r>
      <w:r>
        <w:rPr>
          <w:color w:val="231F20"/>
        </w:rPr>
        <w:t>finance</w:t>
      </w:r>
      <w:r>
        <w:rPr>
          <w:color w:val="231F20"/>
          <w:spacing w:val="-3"/>
        </w:rPr>
        <w:t> </w:t>
      </w:r>
      <w:r>
        <w:rPr>
          <w:color w:val="231F20"/>
        </w:rPr>
        <w:t>cost.</w:t>
      </w:r>
      <w:r>
        <w:rPr/>
      </w:r>
    </w:p>
    <w:p>
      <w:pPr>
        <w:spacing w:line="240" w:lineRule="auto" w:before="11"/>
        <w:rPr>
          <w:rFonts w:ascii="Swis721 Lt BT" w:hAnsi="Swis721 Lt BT" w:cs="Swis721 Lt BT" w:eastAsia="Swis721 Lt BT"/>
          <w:sz w:val="17"/>
          <w:szCs w:val="17"/>
        </w:rPr>
      </w:pPr>
    </w:p>
    <w:p>
      <w:pPr>
        <w:pStyle w:val="BodyText"/>
        <w:spacing w:line="240" w:lineRule="auto" w:before="0"/>
        <w:ind w:left="230" w:right="0"/>
        <w:jc w:val="left"/>
        <w:rPr>
          <w:rFonts w:ascii="Swis721 Md BT" w:hAnsi="Swis721 Md BT" w:cs="Swis721 Md BT" w:eastAsia="Swis721 Md BT"/>
        </w:rPr>
      </w:pPr>
      <w:r>
        <w:rPr>
          <w:rFonts w:ascii="Swis721 Md BT"/>
          <w:color w:val="303B41"/>
        </w:rPr>
        <w:t>Employee</w:t>
      </w:r>
      <w:r>
        <w:rPr>
          <w:rFonts w:ascii="Swis721 Md BT"/>
          <w:color w:val="303B41"/>
          <w:spacing w:val="-3"/>
        </w:rPr>
        <w:t> </w:t>
      </w:r>
      <w:r>
        <w:rPr>
          <w:rFonts w:ascii="Swis721 Md BT"/>
          <w:color w:val="303B41"/>
        </w:rPr>
        <w:t>Provisions</w:t>
      </w:r>
      <w:r>
        <w:rPr>
          <w:rFonts w:ascii="Swis721 Md BT"/>
          <w:color w:val="303B41"/>
          <w:spacing w:val="-2"/>
        </w:rPr>
        <w:t> </w:t>
      </w:r>
      <w:r>
        <w:rPr>
          <w:rFonts w:ascii="Swis721 Md BT"/>
          <w:color w:val="303B41"/>
        </w:rPr>
        <w:t>and</w:t>
      </w:r>
      <w:r>
        <w:rPr>
          <w:rFonts w:ascii="Swis721 Md BT"/>
          <w:color w:val="303B41"/>
          <w:spacing w:val="-3"/>
        </w:rPr>
        <w:t> </w:t>
      </w:r>
      <w:r>
        <w:rPr>
          <w:rFonts w:ascii="Swis721 Md BT"/>
          <w:color w:val="303B41"/>
        </w:rPr>
        <w:t>Benefits</w:t>
      </w:r>
      <w:r>
        <w:rPr>
          <w:rFonts w:ascii="Swis721 Md BT"/>
        </w:rPr>
      </w:r>
    </w:p>
    <w:p>
      <w:pPr>
        <w:pStyle w:val="BodyText"/>
        <w:spacing w:line="240" w:lineRule="auto"/>
        <w:ind w:left="230" w:right="0"/>
        <w:jc w:val="left"/>
      </w:pPr>
      <w:r>
        <w:rPr>
          <w:color w:val="231F20"/>
        </w:rPr>
        <w:t>Provision</w:t>
      </w:r>
      <w:r>
        <w:rPr>
          <w:color w:val="231F20"/>
          <w:spacing w:val="-2"/>
        </w:rPr>
        <w:t> </w:t>
      </w:r>
      <w:r>
        <w:rPr>
          <w:color w:val="231F20"/>
        </w:rPr>
        <w:t>is</w:t>
      </w:r>
      <w:r>
        <w:rPr>
          <w:color w:val="231F20"/>
          <w:spacing w:val="-1"/>
        </w:rPr>
        <w:t> </w:t>
      </w:r>
      <w:r>
        <w:rPr>
          <w:color w:val="231F20"/>
        </w:rPr>
        <w:t>made</w:t>
      </w:r>
      <w:r>
        <w:rPr>
          <w:color w:val="231F20"/>
          <w:spacing w:val="-1"/>
        </w:rPr>
        <w:t> </w:t>
      </w:r>
      <w:r>
        <w:rPr>
          <w:color w:val="231F20"/>
        </w:rPr>
        <w:t>for</w:t>
      </w:r>
      <w:r>
        <w:rPr>
          <w:color w:val="231F20"/>
          <w:spacing w:val="-1"/>
        </w:rPr>
        <w:t> </w:t>
      </w:r>
      <w:r>
        <w:rPr>
          <w:color w:val="231F20"/>
        </w:rPr>
        <w:t>benefits</w:t>
      </w:r>
      <w:r>
        <w:rPr>
          <w:color w:val="231F20"/>
          <w:spacing w:val="-1"/>
        </w:rPr>
        <w:t> </w:t>
      </w:r>
      <w:r>
        <w:rPr>
          <w:color w:val="231F20"/>
        </w:rPr>
        <w:t>accruing</w:t>
      </w:r>
      <w:r>
        <w:rPr>
          <w:color w:val="231F20"/>
          <w:spacing w:val="-1"/>
        </w:rPr>
        <w:t> </w:t>
      </w:r>
      <w:r>
        <w:rPr>
          <w:color w:val="231F20"/>
        </w:rPr>
        <w:t>to</w:t>
      </w:r>
      <w:r>
        <w:rPr>
          <w:color w:val="231F20"/>
        </w:rPr>
        <w:t> employees in respect of wages and salaries, annual leave and long service leave for services rendered to the reporting date.</w:t>
      </w:r>
      <w:r>
        <w:rPr/>
      </w:r>
    </w:p>
    <w:p>
      <w:pPr>
        <w:pStyle w:val="BodyText"/>
        <w:spacing w:line="240" w:lineRule="auto" w:before="0"/>
        <w:ind w:left="230" w:right="0"/>
        <w:jc w:val="left"/>
      </w:pPr>
      <w:r>
        <w:rPr>
          <w:color w:val="231F20"/>
        </w:rPr>
        <w:t>Provision</w:t>
      </w:r>
      <w:r>
        <w:rPr>
          <w:color w:val="231F20"/>
          <w:spacing w:val="-2"/>
        </w:rPr>
        <w:t> </w:t>
      </w:r>
      <w:r>
        <w:rPr>
          <w:color w:val="231F20"/>
        </w:rPr>
        <w:t>for</w:t>
      </w:r>
      <w:r>
        <w:rPr>
          <w:color w:val="231F20"/>
          <w:spacing w:val="-2"/>
        </w:rPr>
        <w:t> </w:t>
      </w:r>
      <w:r>
        <w:rPr>
          <w:color w:val="231F20"/>
          <w:spacing w:val="-1"/>
        </w:rPr>
        <w:t>‘short-term</w:t>
      </w:r>
      <w:r>
        <w:rPr>
          <w:color w:val="231F20"/>
          <w:spacing w:val="-2"/>
        </w:rPr>
        <w:t> </w:t>
      </w:r>
      <w:r>
        <w:rPr>
          <w:color w:val="231F20"/>
        </w:rPr>
        <w:t>employee</w:t>
      </w:r>
      <w:r>
        <w:rPr>
          <w:color w:val="231F20"/>
          <w:spacing w:val="-1"/>
        </w:rPr>
        <w:t> </w:t>
      </w:r>
      <w:r>
        <w:rPr>
          <w:color w:val="231F20"/>
        </w:rPr>
        <w:t>benefits’</w:t>
      </w:r>
      <w:r>
        <w:rPr>
          <w:color w:val="231F20"/>
          <w:spacing w:val="27"/>
          <w:w w:val="99"/>
        </w:rPr>
        <w:t> </w:t>
      </w:r>
      <w:r>
        <w:rPr>
          <w:color w:val="231F20"/>
        </w:rPr>
        <w:t>(as</w:t>
      </w:r>
      <w:r>
        <w:rPr>
          <w:color w:val="231F20"/>
          <w:spacing w:val="-3"/>
        </w:rPr>
        <w:t> </w:t>
      </w:r>
      <w:r>
        <w:rPr>
          <w:color w:val="231F20"/>
        </w:rPr>
        <w:t>defined</w:t>
      </w:r>
      <w:r>
        <w:rPr>
          <w:color w:val="231F20"/>
          <w:spacing w:val="-2"/>
        </w:rPr>
        <w:t> </w:t>
      </w:r>
      <w:r>
        <w:rPr>
          <w:color w:val="231F20"/>
        </w:rPr>
        <w:t>in</w:t>
      </w:r>
      <w:r>
        <w:rPr>
          <w:color w:val="231F20"/>
          <w:spacing w:val="-2"/>
        </w:rPr>
        <w:t> </w:t>
      </w:r>
      <w:r>
        <w:rPr>
          <w:color w:val="231F20"/>
        </w:rPr>
        <w:t>AASB</w:t>
      </w:r>
      <w:r>
        <w:rPr>
          <w:color w:val="231F20"/>
          <w:spacing w:val="-2"/>
        </w:rPr>
        <w:t> </w:t>
      </w:r>
      <w:r>
        <w:rPr>
          <w:color w:val="231F20"/>
        </w:rPr>
        <w:t>119</w:t>
      </w:r>
      <w:r>
        <w:rPr>
          <w:color w:val="231F20"/>
          <w:spacing w:val="-3"/>
        </w:rPr>
        <w:t> </w:t>
      </w:r>
      <w:r>
        <w:rPr>
          <w:color w:val="231F20"/>
        </w:rPr>
        <w:t>Employee</w:t>
      </w:r>
      <w:r>
        <w:rPr>
          <w:color w:val="231F20"/>
          <w:spacing w:val="-2"/>
        </w:rPr>
        <w:t> </w:t>
      </w:r>
      <w:r>
        <w:rPr>
          <w:color w:val="231F20"/>
        </w:rPr>
        <w:t>Benefits)</w:t>
      </w:r>
      <w:r>
        <w:rPr>
          <w:color w:val="231F20"/>
          <w:w w:val="99"/>
        </w:rPr>
        <w:t> </w:t>
      </w:r>
      <w:r>
        <w:rPr>
          <w:color w:val="231F20"/>
        </w:rPr>
        <w:t>and</w:t>
      </w:r>
      <w:r>
        <w:rPr>
          <w:color w:val="231F20"/>
          <w:spacing w:val="-2"/>
        </w:rPr>
        <w:t> </w:t>
      </w:r>
      <w:r>
        <w:rPr>
          <w:color w:val="231F20"/>
        </w:rPr>
        <w:t>termination</w:t>
      </w:r>
      <w:r>
        <w:rPr>
          <w:color w:val="231F20"/>
          <w:spacing w:val="-2"/>
        </w:rPr>
        <w:t> </w:t>
      </w:r>
      <w:r>
        <w:rPr>
          <w:color w:val="231F20"/>
        </w:rPr>
        <w:t>benefits</w:t>
      </w:r>
      <w:r>
        <w:rPr>
          <w:color w:val="231F20"/>
          <w:spacing w:val="-1"/>
        </w:rPr>
        <w:t> </w:t>
      </w:r>
      <w:r>
        <w:rPr>
          <w:color w:val="231F20"/>
        </w:rPr>
        <w:t>due</w:t>
      </w:r>
      <w:r>
        <w:rPr>
          <w:color w:val="231F20"/>
          <w:spacing w:val="-2"/>
        </w:rPr>
        <w:t> </w:t>
      </w:r>
      <w:r>
        <w:rPr>
          <w:color w:val="231F20"/>
        </w:rPr>
        <w:t>within</w:t>
      </w:r>
      <w:r>
        <w:rPr/>
      </w:r>
    </w:p>
    <w:p>
      <w:pPr>
        <w:pStyle w:val="BodyText"/>
        <w:spacing w:line="240" w:lineRule="auto" w:before="0"/>
        <w:ind w:left="230" w:right="118"/>
        <w:jc w:val="left"/>
      </w:pPr>
      <w:r>
        <w:rPr>
          <w:color w:val="231F20"/>
        </w:rPr>
        <w:t>12 months of the end of reporting period are measured at their nominal amounts.</w:t>
      </w:r>
      <w:r>
        <w:rPr/>
      </w:r>
    </w:p>
    <w:p>
      <w:pPr>
        <w:pStyle w:val="BodyText"/>
        <w:spacing w:line="240" w:lineRule="auto" w:before="69"/>
        <w:ind w:left="230" w:right="0"/>
        <w:jc w:val="left"/>
      </w:pPr>
      <w:r>
        <w:rPr/>
        <w:br w:type="column"/>
      </w:r>
      <w:r>
        <w:rPr>
          <w:color w:val="00757A"/>
        </w:rPr>
        <w:t>Leave</w:t>
      </w:r>
      <w:r>
        <w:rPr/>
      </w:r>
    </w:p>
    <w:p>
      <w:pPr>
        <w:pStyle w:val="BodyText"/>
        <w:spacing w:line="240" w:lineRule="auto"/>
        <w:ind w:left="230" w:right="263"/>
        <w:jc w:val="left"/>
      </w:pPr>
      <w:r>
        <w:rPr>
          <w:color w:val="231F20"/>
        </w:rPr>
        <w:t>The</w:t>
      </w:r>
      <w:r>
        <w:rPr>
          <w:color w:val="231F20"/>
          <w:spacing w:val="-2"/>
        </w:rPr>
        <w:t> </w:t>
      </w:r>
      <w:r>
        <w:rPr>
          <w:color w:val="231F20"/>
        </w:rPr>
        <w:t>liability</w:t>
      </w:r>
      <w:r>
        <w:rPr>
          <w:color w:val="231F20"/>
          <w:spacing w:val="-1"/>
        </w:rPr>
        <w:t> </w:t>
      </w:r>
      <w:r>
        <w:rPr>
          <w:color w:val="231F20"/>
        </w:rPr>
        <w:t>for</w:t>
      </w:r>
      <w:r>
        <w:rPr>
          <w:color w:val="231F20"/>
          <w:spacing w:val="-1"/>
        </w:rPr>
        <w:t> </w:t>
      </w:r>
      <w:r>
        <w:rPr>
          <w:color w:val="231F20"/>
        </w:rPr>
        <w:t>employee</w:t>
      </w:r>
      <w:r>
        <w:rPr>
          <w:color w:val="231F20"/>
          <w:spacing w:val="-2"/>
        </w:rPr>
        <w:t> </w:t>
      </w:r>
      <w:r>
        <w:rPr>
          <w:color w:val="231F20"/>
        </w:rPr>
        <w:t>benefits</w:t>
      </w:r>
      <w:r>
        <w:rPr>
          <w:color w:val="231F20"/>
          <w:spacing w:val="-1"/>
        </w:rPr>
        <w:t> </w:t>
      </w:r>
      <w:r>
        <w:rPr>
          <w:color w:val="231F20"/>
        </w:rPr>
        <w:t>includes</w:t>
      </w:r>
      <w:r>
        <w:rPr>
          <w:color w:val="231F20"/>
        </w:rPr>
        <w:t> provision for annual leave and long service leave. No provision has been made for personal or carer leave as all personal and carer leave is non-vesting and the average personal and carer leave taken in future years by employees of the entity is estimated to be less than the annual entitlement.</w:t>
      </w:r>
      <w:r>
        <w:rPr/>
      </w:r>
    </w:p>
    <w:p>
      <w:pPr>
        <w:pStyle w:val="BodyText"/>
        <w:spacing w:line="240" w:lineRule="auto"/>
        <w:ind w:left="230" w:right="149"/>
        <w:jc w:val="left"/>
      </w:pPr>
      <w:r>
        <w:rPr>
          <w:color w:val="231F20"/>
        </w:rPr>
        <w:t>Long service leave liabilities that are not expected to be settled within 12 months are recognised in the provision for employee benefits</w:t>
      </w:r>
      <w:r>
        <w:rPr>
          <w:color w:val="231F20"/>
          <w:spacing w:val="-2"/>
        </w:rPr>
        <w:t> </w:t>
      </w:r>
      <w:r>
        <w:rPr>
          <w:color w:val="231F20"/>
        </w:rPr>
        <w:t>as</w:t>
      </w:r>
      <w:r>
        <w:rPr>
          <w:color w:val="231F20"/>
          <w:spacing w:val="-1"/>
        </w:rPr>
        <w:t> </w:t>
      </w:r>
      <w:r>
        <w:rPr>
          <w:color w:val="231F20"/>
        </w:rPr>
        <w:t>non-current</w:t>
      </w:r>
      <w:r>
        <w:rPr>
          <w:color w:val="231F20"/>
          <w:spacing w:val="-1"/>
        </w:rPr>
        <w:t> </w:t>
      </w:r>
      <w:r>
        <w:rPr>
          <w:color w:val="231F20"/>
        </w:rPr>
        <w:t>liabilities</w:t>
      </w:r>
      <w:r>
        <w:rPr>
          <w:color w:val="231F20"/>
          <w:spacing w:val="-2"/>
        </w:rPr>
        <w:t> </w:t>
      </w:r>
      <w:r>
        <w:rPr>
          <w:color w:val="231F20"/>
        </w:rPr>
        <w:t>and</w:t>
      </w:r>
      <w:r>
        <w:rPr>
          <w:color w:val="231F20"/>
          <w:spacing w:val="-1"/>
        </w:rPr>
        <w:t> </w:t>
      </w:r>
      <w:r>
        <w:rPr>
          <w:color w:val="231F20"/>
        </w:rPr>
        <w:t>are</w:t>
      </w:r>
      <w:r>
        <w:rPr>
          <w:color w:val="231F20"/>
        </w:rPr>
        <w:t> measured at present value of the amounts expected to be paid when the liabilities are settled using the remuneration rate expected to apply at the time of settlement.</w:t>
      </w:r>
      <w:r>
        <w:rPr/>
      </w:r>
    </w:p>
    <w:p>
      <w:pPr>
        <w:spacing w:line="240" w:lineRule="auto" w:before="11"/>
        <w:rPr>
          <w:rFonts w:ascii="Swis721 Lt BT" w:hAnsi="Swis721 Lt BT" w:cs="Swis721 Lt BT" w:eastAsia="Swis721 Lt BT"/>
          <w:sz w:val="17"/>
          <w:szCs w:val="17"/>
        </w:rPr>
      </w:pPr>
    </w:p>
    <w:p>
      <w:pPr>
        <w:pStyle w:val="BodyText"/>
        <w:spacing w:line="240" w:lineRule="auto" w:before="0"/>
        <w:ind w:left="230" w:right="0"/>
        <w:jc w:val="left"/>
      </w:pPr>
      <w:r>
        <w:rPr>
          <w:color w:val="00757A"/>
        </w:rPr>
        <w:t>Superannuation</w:t>
      </w:r>
      <w:r>
        <w:rPr/>
      </w:r>
    </w:p>
    <w:p>
      <w:pPr>
        <w:pStyle w:val="BodyText"/>
        <w:spacing w:line="240" w:lineRule="auto"/>
        <w:ind w:left="230" w:right="308"/>
        <w:jc w:val="left"/>
      </w:pPr>
      <w:r>
        <w:rPr>
          <w:color w:val="231F20"/>
        </w:rPr>
        <w:t>Contributions are made by AITSL to employee superannuation funds and are charged as expenses when incurred.</w:t>
      </w:r>
      <w:r>
        <w:rPr/>
      </w:r>
    </w:p>
    <w:p>
      <w:pPr>
        <w:pStyle w:val="BodyText"/>
        <w:spacing w:line="240" w:lineRule="auto" w:before="0"/>
        <w:ind w:left="230" w:right="732"/>
        <w:jc w:val="both"/>
      </w:pPr>
      <w:r>
        <w:rPr>
          <w:color w:val="231F20"/>
        </w:rPr>
        <w:t>AITSL makes contributions to the funds in accordance with the superannuation guarantee legislation.</w:t>
      </w:r>
      <w:r>
        <w:rPr/>
      </w:r>
    </w:p>
    <w:p>
      <w:pPr>
        <w:spacing w:after="0" w:line="240" w:lineRule="auto"/>
        <w:jc w:val="both"/>
        <w:sectPr>
          <w:type w:val="continuous"/>
          <w:pgSz w:w="9980" w:h="14180"/>
          <w:pgMar w:top="0" w:bottom="280" w:left="1020" w:right="740"/>
          <w:cols w:num="2" w:equalWidth="0">
            <w:col w:w="3906" w:space="139"/>
            <w:col w:w="4175"/>
          </w:cols>
        </w:sectPr>
      </w:pPr>
    </w:p>
    <w:p>
      <w:pPr>
        <w:spacing w:line="240" w:lineRule="auto" w:before="8"/>
        <w:rPr>
          <w:rFonts w:ascii="Swis721 Lt BT" w:hAnsi="Swis721 Lt BT" w:cs="Swis721 Lt BT" w:eastAsia="Swis721 Lt BT"/>
          <w:sz w:val="6"/>
          <w:szCs w:val="6"/>
        </w:rPr>
      </w:pPr>
      <w:r>
        <w:rPr/>
        <w:pict>
          <v:group style="position:absolute;margin-left:317.480499pt;margin-top:81.651009pt;width:.1pt;height:25.7pt;mso-position-horizontal-relative:page;mso-position-vertical-relative:page;z-index:-181264" coordorigin="6350,1633" coordsize="2,514">
            <v:shape style="position:absolute;left:6350;top:1633;width:2;height:514" coordorigin="6350,1633" coordsize="0,514" path="m6350,1633l6350,2147e" filled="false" stroked="true" strokeweight=".101pt" strokecolor="#bfd22b">
              <v:path arrowok="t"/>
            </v:shape>
            <w10:wrap type="none"/>
          </v:group>
        </w:pict>
      </w:r>
    </w:p>
    <w:tbl>
      <w:tblPr>
        <w:tblW w:w="0" w:type="auto"/>
        <w:jc w:val="left"/>
        <w:tblInd w:w="110" w:type="dxa"/>
        <w:tblLayout w:type="fixed"/>
        <w:tblCellMar>
          <w:top w:w="0" w:type="dxa"/>
          <w:left w:w="0" w:type="dxa"/>
          <w:bottom w:w="0" w:type="dxa"/>
          <w:right w:w="0" w:type="dxa"/>
        </w:tblCellMar>
        <w:tblLook w:val="01E0"/>
      </w:tblPr>
      <w:tblGrid>
        <w:gridCol w:w="5698"/>
        <w:gridCol w:w="1184"/>
        <w:gridCol w:w="1111"/>
      </w:tblGrid>
      <w:tr>
        <w:trPr>
          <w:trHeight w:val="600" w:hRule="exact"/>
        </w:trPr>
        <w:tc>
          <w:tcPr>
            <w:tcW w:w="5698" w:type="dxa"/>
            <w:tcBorders>
              <w:top w:val="nil" w:sz="6" w:space="0" w:color="auto"/>
              <w:left w:val="nil" w:sz="6" w:space="0" w:color="auto"/>
              <w:bottom w:val="nil" w:sz="6" w:space="0" w:color="auto"/>
              <w:right w:val="nil" w:sz="6" w:space="0" w:color="auto"/>
            </w:tcBorders>
          </w:tcPr>
          <w:p>
            <w:pPr>
              <w:pStyle w:val="TableParagraph"/>
              <w:spacing w:line="240" w:lineRule="auto" w:before="61"/>
              <w:ind w:left="-1" w:right="0"/>
              <w:jc w:val="left"/>
              <w:rPr>
                <w:rFonts w:ascii="Swis721 BT" w:hAnsi="Swis721 BT" w:cs="Swis721 BT" w:eastAsia="Swis721 BT"/>
                <w:sz w:val="24"/>
                <w:szCs w:val="24"/>
              </w:rPr>
            </w:pPr>
            <w:bookmarkStart w:name="NOTE 7. CASH FLOW RECONCILIATION" w:id="34"/>
            <w:bookmarkEnd w:id="34"/>
            <w:r>
              <w:rPr/>
            </w:r>
            <w:bookmarkStart w:name="NOTE 8. KEY MANAGEMENT PERSONNEL REMUNER" w:id="35"/>
            <w:bookmarkEnd w:id="35"/>
            <w:r>
              <w:rPr/>
            </w:r>
            <w:r>
              <w:rPr>
                <w:rFonts w:ascii="Swis721 Hv BT"/>
                <w:b/>
                <w:color w:val="005E63"/>
                <w:sz w:val="24"/>
              </w:rPr>
              <w:t>NOTE</w:t>
            </w:r>
            <w:r>
              <w:rPr>
                <w:rFonts w:ascii="Swis721 Hv BT"/>
                <w:b/>
                <w:color w:val="005E63"/>
                <w:spacing w:val="-2"/>
                <w:sz w:val="24"/>
              </w:rPr>
              <w:t> </w:t>
            </w:r>
            <w:r>
              <w:rPr>
                <w:rFonts w:ascii="Swis721 Hv BT"/>
                <w:b/>
                <w:color w:val="005E63"/>
                <w:sz w:val="24"/>
              </w:rPr>
              <w:t>7.</w:t>
            </w:r>
            <w:r>
              <w:rPr>
                <w:rFonts w:ascii="Swis721 Hv BT"/>
                <w:b/>
                <w:color w:val="005E63"/>
                <w:spacing w:val="-8"/>
                <w:sz w:val="24"/>
              </w:rPr>
              <w:t> </w:t>
            </w:r>
            <w:r>
              <w:rPr>
                <w:rFonts w:ascii="Swis721 BT"/>
                <w:color w:val="005E63"/>
                <w:sz w:val="24"/>
              </w:rPr>
              <w:t>CASH</w:t>
            </w:r>
            <w:r>
              <w:rPr>
                <w:rFonts w:ascii="Swis721 BT"/>
                <w:color w:val="005E63"/>
                <w:spacing w:val="-2"/>
                <w:sz w:val="24"/>
              </w:rPr>
              <w:t> </w:t>
            </w:r>
            <w:r>
              <w:rPr>
                <w:rFonts w:ascii="Swis721 BT"/>
                <w:color w:val="005E63"/>
                <w:spacing w:val="-3"/>
                <w:sz w:val="24"/>
              </w:rPr>
              <w:t>FLOW</w:t>
            </w:r>
            <w:r>
              <w:rPr>
                <w:rFonts w:ascii="Swis721 BT"/>
                <w:color w:val="005E63"/>
                <w:spacing w:val="-1"/>
                <w:sz w:val="24"/>
              </w:rPr>
              <w:t> RECONCILIATION</w:t>
            </w:r>
            <w:r>
              <w:rPr>
                <w:rFonts w:ascii="Swis721 BT"/>
                <w:sz w:val="24"/>
              </w:rPr>
            </w:r>
          </w:p>
        </w:tc>
        <w:tc>
          <w:tcPr>
            <w:tcW w:w="2295" w:type="dxa"/>
            <w:gridSpan w:val="2"/>
            <w:tcBorders>
              <w:top w:val="nil" w:sz="6" w:space="0" w:color="auto"/>
              <w:left w:val="nil" w:sz="6" w:space="0" w:color="auto"/>
              <w:bottom w:val="nil" w:sz="6" w:space="0" w:color="auto"/>
              <w:right w:val="nil" w:sz="6" w:space="0" w:color="auto"/>
            </w:tcBorders>
          </w:tcPr>
          <w:p>
            <w:pPr/>
          </w:p>
        </w:tc>
      </w:tr>
      <w:tr>
        <w:trPr>
          <w:trHeight w:val="514" w:hRule="exact"/>
        </w:trPr>
        <w:tc>
          <w:tcPr>
            <w:tcW w:w="5698" w:type="dxa"/>
            <w:tcBorders>
              <w:top w:val="nil" w:sz="6" w:space="0" w:color="auto"/>
              <w:left w:val="nil" w:sz="6" w:space="0" w:color="auto"/>
              <w:bottom w:val="nil" w:sz="6" w:space="0" w:color="auto"/>
              <w:right w:val="nil" w:sz="6" w:space="0" w:color="auto"/>
            </w:tcBorders>
            <w:shd w:val="clear" w:color="auto" w:fill="BFD22B"/>
          </w:tcPr>
          <w:p>
            <w:pPr/>
          </w:p>
        </w:tc>
        <w:tc>
          <w:tcPr>
            <w:tcW w:w="1184"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213"/>
              <w:jc w:val="right"/>
              <w:rPr>
                <w:rFonts w:ascii="Swis721 Cn BT" w:hAnsi="Swis721 Cn BT" w:cs="Swis721 Cn BT" w:eastAsia="Swis721 Cn BT"/>
                <w:sz w:val="18"/>
                <w:szCs w:val="18"/>
              </w:rPr>
            </w:pPr>
            <w:r>
              <w:rPr>
                <w:rFonts w:ascii="Swis721 Cn BT"/>
                <w:color w:val="303B41"/>
                <w:sz w:val="18"/>
              </w:rPr>
              <w:t>2019</w:t>
            </w:r>
            <w:r>
              <w:rPr>
                <w:rFonts w:ascii="Swis721 Cn BT"/>
                <w:sz w:val="18"/>
              </w:rPr>
            </w:r>
          </w:p>
          <w:p>
            <w:pPr>
              <w:pStyle w:val="TableParagraph"/>
              <w:spacing w:line="240" w:lineRule="auto"/>
              <w:ind w:right="213"/>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111"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8"/>
              <w:jc w:val="right"/>
              <w:rPr>
                <w:rFonts w:ascii="Swis721 Cn BT" w:hAnsi="Swis721 Cn BT" w:cs="Swis721 Cn BT" w:eastAsia="Swis721 Cn BT"/>
                <w:sz w:val="18"/>
                <w:szCs w:val="18"/>
              </w:rPr>
            </w:pPr>
            <w:r>
              <w:rPr>
                <w:rFonts w:ascii="Swis721 Cn BT"/>
                <w:color w:val="303B41"/>
                <w:w w:val="95"/>
                <w:sz w:val="18"/>
              </w:rPr>
              <w:t>2018</w:t>
            </w:r>
            <w:r>
              <w:rPr>
                <w:rFonts w:ascii="Swis721 Cn BT"/>
                <w:sz w:val="18"/>
              </w:rPr>
            </w:r>
          </w:p>
          <w:p>
            <w:pPr>
              <w:pStyle w:val="TableParagraph"/>
              <w:spacing w:line="240" w:lineRule="auto"/>
              <w:ind w:right="78"/>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r>
      <w:tr>
        <w:trPr>
          <w:trHeight w:val="739" w:hRule="exact"/>
        </w:trPr>
        <w:tc>
          <w:tcPr>
            <w:tcW w:w="5698" w:type="dxa"/>
            <w:tcBorders>
              <w:top w:val="nil" w:sz="6" w:space="0" w:color="auto"/>
              <w:left w:val="nil" w:sz="6" w:space="0" w:color="auto"/>
              <w:bottom w:val="nil" w:sz="6" w:space="0" w:color="auto"/>
              <w:right w:val="nil" w:sz="6" w:space="0" w:color="auto"/>
            </w:tcBorders>
          </w:tcPr>
          <w:p>
            <w:pPr>
              <w:pStyle w:val="TableParagraph"/>
              <w:spacing w:line="240" w:lineRule="auto" w:before="2"/>
              <w:ind w:right="0"/>
              <w:jc w:val="left"/>
              <w:rPr>
                <w:rFonts w:ascii="Swis721 Lt BT" w:hAnsi="Swis721 Lt BT" w:cs="Swis721 Lt BT" w:eastAsia="Swis721 Lt BT"/>
                <w:sz w:val="16"/>
                <w:szCs w:val="16"/>
              </w:rPr>
            </w:pPr>
          </w:p>
          <w:p>
            <w:pPr>
              <w:pStyle w:val="TableParagraph"/>
              <w:spacing w:line="240" w:lineRule="auto"/>
              <w:ind w:left="-1" w:right="411"/>
              <w:jc w:val="left"/>
              <w:rPr>
                <w:rFonts w:ascii="Swis721 BT" w:hAnsi="Swis721 BT" w:cs="Swis721 BT" w:eastAsia="Swis721 BT"/>
                <w:sz w:val="20"/>
                <w:szCs w:val="20"/>
              </w:rPr>
            </w:pPr>
            <w:r>
              <w:rPr>
                <w:rFonts w:ascii="Swis721 BT"/>
                <w:b/>
                <w:color w:val="00757A"/>
                <w:spacing w:val="-1"/>
                <w:sz w:val="20"/>
              </w:rPr>
              <w:t>RECONCILIATION</w:t>
            </w:r>
            <w:r>
              <w:rPr>
                <w:rFonts w:ascii="Swis721 BT"/>
                <w:b/>
                <w:color w:val="00757A"/>
                <w:sz w:val="20"/>
              </w:rPr>
              <w:t> OF CASH PER INCOME </w:t>
            </w:r>
            <w:r>
              <w:rPr>
                <w:rFonts w:ascii="Swis721 BT"/>
                <w:b/>
                <w:color w:val="00757A"/>
                <w:spacing w:val="-2"/>
                <w:sz w:val="20"/>
              </w:rPr>
              <w:t>STATEMENT</w:t>
            </w:r>
            <w:r>
              <w:rPr>
                <w:rFonts w:ascii="Swis721 BT"/>
                <w:b/>
                <w:color w:val="00757A"/>
                <w:spacing w:val="29"/>
                <w:sz w:val="20"/>
              </w:rPr>
              <w:t> </w:t>
            </w:r>
            <w:r>
              <w:rPr>
                <w:rFonts w:ascii="Swis721 BT"/>
                <w:b/>
                <w:color w:val="00757A"/>
                <w:sz w:val="20"/>
              </w:rPr>
              <w:t>TO </w:t>
            </w:r>
            <w:r>
              <w:rPr>
                <w:rFonts w:ascii="Swis721 BT"/>
                <w:b/>
                <w:color w:val="00757A"/>
                <w:spacing w:val="-2"/>
                <w:sz w:val="20"/>
              </w:rPr>
              <w:t>STATEMENT</w:t>
            </w:r>
            <w:r>
              <w:rPr>
                <w:rFonts w:ascii="Swis721 BT"/>
                <w:b/>
                <w:color w:val="00757A"/>
                <w:sz w:val="20"/>
              </w:rPr>
              <w:t> OF CASH </w:t>
            </w:r>
            <w:r>
              <w:rPr>
                <w:rFonts w:ascii="Swis721 BT"/>
                <w:b/>
                <w:color w:val="00757A"/>
                <w:spacing w:val="-2"/>
                <w:sz w:val="20"/>
              </w:rPr>
              <w:t>FLOWS</w:t>
            </w:r>
            <w:r>
              <w:rPr>
                <w:rFonts w:ascii="Swis721 BT"/>
                <w:sz w:val="20"/>
              </w:rPr>
            </w:r>
          </w:p>
        </w:tc>
        <w:tc>
          <w:tcPr>
            <w:tcW w:w="1184" w:type="dxa"/>
            <w:tcBorders>
              <w:top w:val="nil" w:sz="6" w:space="0" w:color="auto"/>
              <w:left w:val="nil" w:sz="6" w:space="0" w:color="auto"/>
              <w:bottom w:val="nil" w:sz="6" w:space="0" w:color="auto"/>
              <w:right w:val="nil" w:sz="6" w:space="0" w:color="auto"/>
            </w:tcBorders>
          </w:tcPr>
          <w:p>
            <w:pPr/>
          </w:p>
        </w:tc>
        <w:tc>
          <w:tcPr>
            <w:tcW w:w="1111" w:type="dxa"/>
            <w:tcBorders>
              <w:top w:val="nil" w:sz="6" w:space="0" w:color="auto"/>
              <w:left w:val="nil" w:sz="6" w:space="0" w:color="auto"/>
              <w:bottom w:val="nil" w:sz="6" w:space="0" w:color="auto"/>
              <w:right w:val="nil" w:sz="6" w:space="0" w:color="auto"/>
            </w:tcBorders>
          </w:tcPr>
          <w:p>
            <w:pPr/>
          </w:p>
        </w:tc>
      </w:tr>
      <w:tr>
        <w:trPr>
          <w:trHeight w:val="308" w:hRule="exact"/>
        </w:trPr>
        <w:tc>
          <w:tcPr>
            <w:tcW w:w="5698"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1" w:right="0"/>
              <w:jc w:val="left"/>
              <w:rPr>
                <w:rFonts w:ascii="Swis721 Lt BT" w:hAnsi="Swis721 Lt BT" w:cs="Swis721 Lt BT" w:eastAsia="Swis721 Lt BT"/>
                <w:sz w:val="18"/>
                <w:szCs w:val="18"/>
              </w:rPr>
            </w:pPr>
            <w:r>
              <w:rPr>
                <w:rFonts w:ascii="Swis721 Lt BT"/>
                <w:color w:val="231F20"/>
                <w:sz w:val="18"/>
              </w:rPr>
              <w:t>Cash</w:t>
            </w:r>
            <w:r>
              <w:rPr>
                <w:rFonts w:ascii="Swis721 Lt BT"/>
                <w:color w:val="231F20"/>
                <w:spacing w:val="-1"/>
                <w:sz w:val="18"/>
              </w:rPr>
              <w:t> </w:t>
            </w:r>
            <w:r>
              <w:rPr>
                <w:rFonts w:ascii="Swis721 Lt BT"/>
                <w:color w:val="231F20"/>
                <w:sz w:val="18"/>
              </w:rPr>
              <w:t>at year</w:t>
            </w:r>
            <w:r>
              <w:rPr>
                <w:rFonts w:ascii="Swis721 Lt BT"/>
                <w:color w:val="231F20"/>
                <w:spacing w:val="-1"/>
                <w:sz w:val="18"/>
              </w:rPr>
              <w:t> </w:t>
            </w:r>
            <w:r>
              <w:rPr>
                <w:rFonts w:ascii="Swis721 Lt BT"/>
                <w:color w:val="231F20"/>
                <w:sz w:val="18"/>
              </w:rPr>
              <w:t>end as</w:t>
            </w:r>
            <w:r>
              <w:rPr>
                <w:rFonts w:ascii="Swis721 Lt BT"/>
                <w:color w:val="231F20"/>
                <w:spacing w:val="-1"/>
                <w:sz w:val="18"/>
              </w:rPr>
              <w:t> </w:t>
            </w:r>
            <w:r>
              <w:rPr>
                <w:rFonts w:ascii="Swis721 Lt BT"/>
                <w:color w:val="231F20"/>
                <w:sz w:val="18"/>
              </w:rPr>
              <w:t>per statement</w:t>
            </w:r>
            <w:r>
              <w:rPr>
                <w:rFonts w:ascii="Swis721 Lt BT"/>
                <w:color w:val="231F20"/>
                <w:spacing w:val="-1"/>
                <w:sz w:val="18"/>
              </w:rPr>
              <w:t> </w:t>
            </w:r>
            <w:r>
              <w:rPr>
                <w:rFonts w:ascii="Swis721 Lt BT"/>
                <w:color w:val="231F20"/>
                <w:sz w:val="18"/>
              </w:rPr>
              <w:t>of cash flows</w:t>
            </w:r>
            <w:r>
              <w:rPr>
                <w:rFonts w:ascii="Swis721 Lt BT"/>
                <w:sz w:val="18"/>
              </w:rPr>
            </w:r>
          </w:p>
        </w:tc>
        <w:tc>
          <w:tcPr>
            <w:tcW w:w="1184"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195" w:right="0"/>
              <w:jc w:val="left"/>
              <w:rPr>
                <w:rFonts w:ascii="Swis721 Lt BT" w:hAnsi="Swis721 Lt BT" w:cs="Swis721 Lt BT" w:eastAsia="Swis721 Lt BT"/>
                <w:sz w:val="18"/>
                <w:szCs w:val="18"/>
              </w:rPr>
            </w:pPr>
            <w:r>
              <w:rPr>
                <w:rFonts w:ascii="Swis721 Lt BT"/>
                <w:color w:val="231F20"/>
                <w:sz w:val="18"/>
              </w:rPr>
              <w:t>6,377,094</w:t>
            </w:r>
            <w:r>
              <w:rPr>
                <w:rFonts w:ascii="Swis721 Lt BT"/>
                <w:sz w:val="18"/>
              </w:rPr>
            </w:r>
          </w:p>
        </w:tc>
        <w:tc>
          <w:tcPr>
            <w:tcW w:w="1111"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51" w:right="0"/>
              <w:jc w:val="left"/>
              <w:rPr>
                <w:rFonts w:ascii="Swis721 Lt BT" w:hAnsi="Swis721 Lt BT" w:cs="Swis721 Lt BT" w:eastAsia="Swis721 Lt BT"/>
                <w:sz w:val="18"/>
                <w:szCs w:val="18"/>
              </w:rPr>
            </w:pPr>
            <w:r>
              <w:rPr>
                <w:rFonts w:ascii="Swis721 Lt BT"/>
                <w:color w:val="231F20"/>
                <w:sz w:val="18"/>
              </w:rPr>
              <w:t>5,978,503</w:t>
            </w:r>
            <w:r>
              <w:rPr>
                <w:rFonts w:ascii="Swis721 Lt BT"/>
                <w:sz w:val="18"/>
              </w:rPr>
            </w:r>
          </w:p>
        </w:tc>
      </w:tr>
      <w:tr>
        <w:trPr>
          <w:trHeight w:val="341" w:hRule="exact"/>
        </w:trPr>
        <w:tc>
          <w:tcPr>
            <w:tcW w:w="5698"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Statement</w:t>
            </w:r>
            <w:r>
              <w:rPr>
                <w:rFonts w:ascii="Swis721 Lt BT"/>
                <w:color w:val="231F20"/>
                <w:spacing w:val="-2"/>
                <w:sz w:val="18"/>
              </w:rPr>
              <w:t> </w:t>
            </w:r>
            <w:r>
              <w:rPr>
                <w:rFonts w:ascii="Swis721 Lt BT"/>
                <w:color w:val="231F20"/>
                <w:sz w:val="18"/>
              </w:rPr>
              <w:t>of</w:t>
            </w:r>
            <w:r>
              <w:rPr>
                <w:rFonts w:ascii="Swis721 Lt BT"/>
                <w:color w:val="231F20"/>
                <w:spacing w:val="-1"/>
                <w:sz w:val="18"/>
              </w:rPr>
              <w:t> </w:t>
            </w:r>
            <w:r>
              <w:rPr>
                <w:rFonts w:ascii="Swis721 Lt BT"/>
                <w:color w:val="231F20"/>
                <w:sz w:val="18"/>
              </w:rPr>
              <w:t>financial</w:t>
            </w:r>
            <w:r>
              <w:rPr>
                <w:rFonts w:ascii="Swis721 Lt BT"/>
                <w:color w:val="231F20"/>
                <w:spacing w:val="-1"/>
                <w:sz w:val="18"/>
              </w:rPr>
              <w:t> </w:t>
            </w:r>
            <w:r>
              <w:rPr>
                <w:rFonts w:ascii="Swis721 Lt BT"/>
                <w:color w:val="231F20"/>
                <w:sz w:val="18"/>
              </w:rPr>
              <w:t>position</w:t>
            </w:r>
            <w:r>
              <w:rPr>
                <w:rFonts w:ascii="Swis721 Lt BT"/>
                <w:color w:val="231F20"/>
                <w:spacing w:val="-1"/>
                <w:sz w:val="18"/>
              </w:rPr>
              <w:t> </w:t>
            </w:r>
            <w:r>
              <w:rPr>
                <w:rFonts w:ascii="Swis721 Lt BT"/>
                <w:color w:val="231F20"/>
                <w:sz w:val="18"/>
              </w:rPr>
              <w:t>items</w:t>
            </w:r>
            <w:r>
              <w:rPr>
                <w:rFonts w:ascii="Swis721 Lt BT"/>
                <w:color w:val="231F20"/>
                <w:spacing w:val="-1"/>
                <w:sz w:val="18"/>
              </w:rPr>
              <w:t> </w:t>
            </w:r>
            <w:r>
              <w:rPr>
                <w:rFonts w:ascii="Swis721 Lt BT"/>
                <w:color w:val="231F20"/>
                <w:sz w:val="18"/>
              </w:rPr>
              <w:t>comprising</w:t>
            </w:r>
            <w:r>
              <w:rPr>
                <w:rFonts w:ascii="Swis721 Lt BT"/>
                <w:color w:val="231F20"/>
                <w:spacing w:val="-1"/>
                <w:sz w:val="18"/>
              </w:rPr>
              <w:t> </w:t>
            </w:r>
            <w:r>
              <w:rPr>
                <w:rFonts w:ascii="Swis721 Lt BT"/>
                <w:color w:val="231F20"/>
                <w:sz w:val="18"/>
              </w:rPr>
              <w:t>cash</w:t>
            </w:r>
            <w:r>
              <w:rPr>
                <w:rFonts w:ascii="Swis721 Lt BT"/>
                <w:sz w:val="18"/>
              </w:rPr>
            </w:r>
          </w:p>
        </w:tc>
        <w:tc>
          <w:tcPr>
            <w:tcW w:w="1184"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95" w:right="0"/>
              <w:jc w:val="left"/>
              <w:rPr>
                <w:rFonts w:ascii="Swis721 Lt BT" w:hAnsi="Swis721 Lt BT" w:cs="Swis721 Lt BT" w:eastAsia="Swis721 Lt BT"/>
                <w:sz w:val="18"/>
                <w:szCs w:val="18"/>
              </w:rPr>
            </w:pPr>
            <w:r>
              <w:rPr>
                <w:rFonts w:ascii="Swis721 Lt BT"/>
                <w:color w:val="231F20"/>
                <w:sz w:val="18"/>
              </w:rPr>
              <w:t>6,377,094</w:t>
            </w:r>
            <w:r>
              <w:rPr>
                <w:rFonts w:ascii="Swis721 Lt BT"/>
                <w:sz w:val="18"/>
              </w:rPr>
            </w:r>
          </w:p>
        </w:tc>
        <w:tc>
          <w:tcPr>
            <w:tcW w:w="1111"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251" w:right="0"/>
              <w:jc w:val="left"/>
              <w:rPr>
                <w:rFonts w:ascii="Swis721 Lt BT" w:hAnsi="Swis721 Lt BT" w:cs="Swis721 Lt BT" w:eastAsia="Swis721 Lt BT"/>
                <w:sz w:val="18"/>
                <w:szCs w:val="18"/>
              </w:rPr>
            </w:pPr>
            <w:r>
              <w:rPr>
                <w:rFonts w:ascii="Swis721 Lt BT"/>
                <w:color w:val="231F20"/>
                <w:sz w:val="18"/>
              </w:rPr>
              <w:t>5,978,503</w:t>
            </w:r>
            <w:r>
              <w:rPr>
                <w:rFonts w:ascii="Swis721 Lt BT"/>
                <w:sz w:val="18"/>
              </w:rPr>
            </w:r>
          </w:p>
        </w:tc>
      </w:tr>
      <w:tr>
        <w:trPr>
          <w:trHeight w:val="349" w:hRule="exact"/>
        </w:trPr>
        <w:tc>
          <w:tcPr>
            <w:tcW w:w="5698"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z w:val="18"/>
              </w:rPr>
              <w:t>Difference</w:t>
            </w:r>
            <w:r>
              <w:rPr>
                <w:rFonts w:ascii="Swis721 Md BT"/>
                <w:sz w:val="18"/>
              </w:rPr>
            </w:r>
          </w:p>
        </w:tc>
        <w:tc>
          <w:tcPr>
            <w:tcW w:w="1184"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right="220"/>
              <w:jc w:val="right"/>
              <w:rPr>
                <w:rFonts w:ascii="Swis721 Md BT" w:hAnsi="Swis721 Md BT" w:cs="Swis721 Md BT" w:eastAsia="Swis721 Md BT"/>
                <w:sz w:val="18"/>
                <w:szCs w:val="18"/>
              </w:rPr>
            </w:pPr>
            <w:r>
              <w:rPr>
                <w:rFonts w:ascii="Swis721 Md BT"/>
                <w:color w:val="231F20"/>
                <w:sz w:val="18"/>
              </w:rPr>
              <w:t>-</w:t>
            </w:r>
            <w:r>
              <w:rPr>
                <w:rFonts w:ascii="Swis721 Md BT"/>
                <w:sz w:val="18"/>
              </w:rPr>
            </w:r>
          </w:p>
        </w:tc>
        <w:tc>
          <w:tcPr>
            <w:tcW w:w="1111"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right="111"/>
              <w:jc w:val="right"/>
              <w:rPr>
                <w:rFonts w:ascii="Swis721 Md BT" w:hAnsi="Swis721 Md BT" w:cs="Swis721 Md BT" w:eastAsia="Swis721 Md BT"/>
                <w:sz w:val="18"/>
                <w:szCs w:val="18"/>
              </w:rPr>
            </w:pPr>
            <w:r>
              <w:rPr>
                <w:rFonts w:ascii="Swis721 Md BT"/>
                <w:color w:val="231F20"/>
                <w:sz w:val="18"/>
              </w:rPr>
              <w:t>-</w:t>
            </w:r>
            <w:r>
              <w:rPr>
                <w:rFonts w:ascii="Swis721 Md BT"/>
                <w:sz w:val="18"/>
              </w:rPr>
            </w:r>
          </w:p>
        </w:tc>
      </w:tr>
      <w:tr>
        <w:trPr>
          <w:trHeight w:val="717" w:hRule="exact"/>
        </w:trPr>
        <w:tc>
          <w:tcPr>
            <w:tcW w:w="5698" w:type="dxa"/>
            <w:tcBorders>
              <w:top w:val="single" w:sz="8" w:space="0" w:color="848B91"/>
              <w:left w:val="nil" w:sz="6" w:space="0" w:color="auto"/>
              <w:bottom w:val="nil" w:sz="6" w:space="0" w:color="auto"/>
              <w:right w:val="nil" w:sz="6" w:space="0" w:color="auto"/>
            </w:tcBorders>
          </w:tcPr>
          <w:p>
            <w:pPr>
              <w:pStyle w:val="TableParagraph"/>
              <w:spacing w:line="240" w:lineRule="auto" w:before="172"/>
              <w:ind w:left="-1" w:right="157"/>
              <w:jc w:val="left"/>
              <w:rPr>
                <w:rFonts w:ascii="Swis721 BT" w:hAnsi="Swis721 BT" w:cs="Swis721 BT" w:eastAsia="Swis721 BT"/>
                <w:sz w:val="20"/>
                <w:szCs w:val="20"/>
              </w:rPr>
            </w:pPr>
            <w:r>
              <w:rPr>
                <w:rFonts w:ascii="Swis721 BT"/>
                <w:b/>
                <w:color w:val="00757A"/>
                <w:spacing w:val="-1"/>
                <w:sz w:val="20"/>
              </w:rPr>
              <w:t>RECONCILIATION</w:t>
            </w:r>
            <w:r>
              <w:rPr>
                <w:rFonts w:ascii="Swis721 BT"/>
                <w:b/>
                <w:color w:val="00757A"/>
                <w:sz w:val="20"/>
              </w:rPr>
              <w:t> OF </w:t>
            </w:r>
            <w:r>
              <w:rPr>
                <w:rFonts w:ascii="Swis721 BT"/>
                <w:b/>
                <w:color w:val="00757A"/>
                <w:spacing w:val="-1"/>
                <w:sz w:val="20"/>
              </w:rPr>
              <w:t>OPERATING</w:t>
            </w:r>
            <w:r>
              <w:rPr>
                <w:rFonts w:ascii="Swis721 BT"/>
                <w:b/>
                <w:color w:val="00757A"/>
                <w:sz w:val="20"/>
              </w:rPr>
              <w:t> </w:t>
            </w:r>
            <w:r>
              <w:rPr>
                <w:rFonts w:ascii="Swis721 BT"/>
                <w:b/>
                <w:color w:val="00757A"/>
                <w:spacing w:val="-3"/>
                <w:sz w:val="20"/>
              </w:rPr>
              <w:t>RESULT</w:t>
            </w:r>
            <w:r>
              <w:rPr>
                <w:rFonts w:ascii="Swis721 BT"/>
                <w:b/>
                <w:color w:val="00757A"/>
                <w:sz w:val="20"/>
              </w:rPr>
              <w:t> TO NET CASH</w:t>
            </w:r>
            <w:r>
              <w:rPr>
                <w:rFonts w:ascii="Swis721 BT"/>
                <w:b/>
                <w:color w:val="00757A"/>
                <w:spacing w:val="29"/>
                <w:sz w:val="20"/>
              </w:rPr>
              <w:t> </w:t>
            </w:r>
            <w:r>
              <w:rPr>
                <w:rFonts w:ascii="Swis721 BT"/>
                <w:b/>
                <w:color w:val="00757A"/>
                <w:sz w:val="20"/>
              </w:rPr>
              <w:t>FROM </w:t>
            </w:r>
            <w:r>
              <w:rPr>
                <w:rFonts w:ascii="Swis721 BT"/>
                <w:b/>
                <w:color w:val="00757A"/>
                <w:spacing w:val="-1"/>
                <w:sz w:val="20"/>
              </w:rPr>
              <w:t>OPERATING</w:t>
            </w:r>
            <w:r>
              <w:rPr>
                <w:rFonts w:ascii="Swis721 BT"/>
                <w:b/>
                <w:color w:val="00757A"/>
                <w:sz w:val="20"/>
              </w:rPr>
              <w:t> ACTIVITIES</w:t>
            </w:r>
            <w:r>
              <w:rPr>
                <w:rFonts w:ascii="Swis721 BT"/>
                <w:sz w:val="20"/>
              </w:rPr>
            </w:r>
          </w:p>
        </w:tc>
        <w:tc>
          <w:tcPr>
            <w:tcW w:w="1184" w:type="dxa"/>
            <w:tcBorders>
              <w:top w:val="single" w:sz="8" w:space="0" w:color="848B91"/>
              <w:left w:val="nil" w:sz="6" w:space="0" w:color="auto"/>
              <w:bottom w:val="nil" w:sz="6" w:space="0" w:color="auto"/>
              <w:right w:val="nil" w:sz="6" w:space="0" w:color="auto"/>
            </w:tcBorders>
          </w:tcPr>
          <w:p>
            <w:pPr/>
          </w:p>
        </w:tc>
        <w:tc>
          <w:tcPr>
            <w:tcW w:w="1111" w:type="dxa"/>
            <w:tcBorders>
              <w:top w:val="single" w:sz="8" w:space="0" w:color="848B91"/>
              <w:left w:val="nil" w:sz="6" w:space="0" w:color="auto"/>
              <w:bottom w:val="nil" w:sz="6" w:space="0" w:color="auto"/>
              <w:right w:val="nil" w:sz="6" w:space="0" w:color="auto"/>
            </w:tcBorders>
          </w:tcPr>
          <w:p>
            <w:pPr/>
          </w:p>
        </w:tc>
      </w:tr>
      <w:tr>
        <w:trPr>
          <w:trHeight w:val="308" w:hRule="exact"/>
        </w:trPr>
        <w:tc>
          <w:tcPr>
            <w:tcW w:w="5698"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1" w:right="0"/>
              <w:jc w:val="left"/>
              <w:rPr>
                <w:rFonts w:ascii="Swis721 Lt BT" w:hAnsi="Swis721 Lt BT" w:cs="Swis721 Lt BT" w:eastAsia="Swis721 Lt BT"/>
                <w:sz w:val="18"/>
                <w:szCs w:val="18"/>
              </w:rPr>
            </w:pPr>
            <w:r>
              <w:rPr>
                <w:rFonts w:ascii="Swis721 Lt BT"/>
                <w:color w:val="231F20"/>
                <w:sz w:val="18"/>
              </w:rPr>
              <w:t>Surplus for the year</w:t>
            </w:r>
            <w:r>
              <w:rPr>
                <w:rFonts w:ascii="Swis721 Lt BT"/>
                <w:sz w:val="18"/>
              </w:rPr>
            </w:r>
          </w:p>
        </w:tc>
        <w:tc>
          <w:tcPr>
            <w:tcW w:w="1184"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195" w:right="0"/>
              <w:jc w:val="left"/>
              <w:rPr>
                <w:rFonts w:ascii="Swis721 Lt BT" w:hAnsi="Swis721 Lt BT" w:cs="Swis721 Lt BT" w:eastAsia="Swis721 Lt BT"/>
                <w:sz w:val="18"/>
                <w:szCs w:val="18"/>
              </w:rPr>
            </w:pPr>
            <w:r>
              <w:rPr>
                <w:rFonts w:ascii="Swis721 Lt BT"/>
                <w:color w:val="231F20"/>
                <w:sz w:val="18"/>
              </w:rPr>
              <w:t>4,000,593</w:t>
            </w:r>
            <w:r>
              <w:rPr>
                <w:rFonts w:ascii="Swis721 Lt BT"/>
                <w:sz w:val="18"/>
              </w:rPr>
            </w:r>
          </w:p>
        </w:tc>
        <w:tc>
          <w:tcPr>
            <w:tcW w:w="1111"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51" w:right="0"/>
              <w:jc w:val="left"/>
              <w:rPr>
                <w:rFonts w:ascii="Swis721 Lt BT" w:hAnsi="Swis721 Lt BT" w:cs="Swis721 Lt BT" w:eastAsia="Swis721 Lt BT"/>
                <w:sz w:val="18"/>
                <w:szCs w:val="18"/>
              </w:rPr>
            </w:pPr>
            <w:r>
              <w:rPr>
                <w:rFonts w:ascii="Swis721 Lt BT"/>
                <w:color w:val="231F20"/>
                <w:sz w:val="18"/>
              </w:rPr>
              <w:t>1,604,649</w:t>
            </w:r>
            <w:r>
              <w:rPr>
                <w:rFonts w:ascii="Swis721 Lt BT"/>
                <w:sz w:val="18"/>
              </w:rPr>
            </w:r>
          </w:p>
        </w:tc>
      </w:tr>
      <w:tr>
        <w:trPr>
          <w:trHeight w:val="329" w:hRule="exact"/>
        </w:trPr>
        <w:tc>
          <w:tcPr>
            <w:tcW w:w="5698"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Depreciation and amortisation</w:t>
            </w:r>
            <w:r>
              <w:rPr>
                <w:rFonts w:ascii="Swis721 Lt BT"/>
                <w:sz w:val="18"/>
              </w:rPr>
            </w:r>
          </w:p>
        </w:tc>
        <w:tc>
          <w:tcPr>
            <w:tcW w:w="118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39" w:right="0"/>
              <w:jc w:val="left"/>
              <w:rPr>
                <w:rFonts w:ascii="Swis721 Lt BT" w:hAnsi="Swis721 Lt BT" w:cs="Swis721 Lt BT" w:eastAsia="Swis721 Lt BT"/>
                <w:sz w:val="18"/>
                <w:szCs w:val="18"/>
              </w:rPr>
            </w:pPr>
            <w:r>
              <w:rPr>
                <w:rFonts w:ascii="Swis721 Lt BT"/>
                <w:color w:val="231F20"/>
                <w:sz w:val="18"/>
              </w:rPr>
              <w:t>220,777</w:t>
            </w:r>
            <w:r>
              <w:rPr>
                <w:rFonts w:ascii="Swis721 Lt BT"/>
                <w:sz w:val="18"/>
              </w:rPr>
            </w:r>
          </w:p>
        </w:tc>
        <w:tc>
          <w:tcPr>
            <w:tcW w:w="111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95" w:right="0"/>
              <w:jc w:val="left"/>
              <w:rPr>
                <w:rFonts w:ascii="Swis721 Lt BT" w:hAnsi="Swis721 Lt BT" w:cs="Swis721 Lt BT" w:eastAsia="Swis721 Lt BT"/>
                <w:sz w:val="18"/>
                <w:szCs w:val="18"/>
              </w:rPr>
            </w:pPr>
            <w:r>
              <w:rPr>
                <w:rFonts w:ascii="Swis721 Lt BT"/>
                <w:color w:val="231F20"/>
                <w:sz w:val="18"/>
              </w:rPr>
              <w:t>141,898</w:t>
            </w:r>
            <w:r>
              <w:rPr>
                <w:rFonts w:ascii="Swis721 Lt BT"/>
                <w:sz w:val="18"/>
              </w:rPr>
            </w:r>
          </w:p>
        </w:tc>
      </w:tr>
      <w:tr>
        <w:trPr>
          <w:trHeight w:val="329" w:hRule="exact"/>
        </w:trPr>
        <w:tc>
          <w:tcPr>
            <w:tcW w:w="5698"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Net</w:t>
            </w:r>
            <w:r>
              <w:rPr>
                <w:rFonts w:ascii="Swis721 Lt BT"/>
                <w:color w:val="231F20"/>
                <w:spacing w:val="-2"/>
                <w:sz w:val="18"/>
              </w:rPr>
              <w:t> </w:t>
            </w:r>
            <w:r>
              <w:rPr>
                <w:rFonts w:ascii="Swis721 Lt BT"/>
                <w:color w:val="231F20"/>
                <w:sz w:val="18"/>
              </w:rPr>
              <w:t>write-down</w:t>
            </w:r>
            <w:r>
              <w:rPr>
                <w:rFonts w:ascii="Swis721 Lt BT"/>
                <w:color w:val="231F20"/>
                <w:spacing w:val="-2"/>
                <w:sz w:val="18"/>
              </w:rPr>
              <w:t> </w:t>
            </w:r>
            <w:r>
              <w:rPr>
                <w:rFonts w:ascii="Swis721 Lt BT"/>
                <w:color w:val="231F20"/>
                <w:sz w:val="18"/>
              </w:rPr>
              <w:t>and</w:t>
            </w:r>
            <w:r>
              <w:rPr>
                <w:rFonts w:ascii="Swis721 Lt BT"/>
                <w:color w:val="231F20"/>
                <w:spacing w:val="-1"/>
                <w:sz w:val="18"/>
              </w:rPr>
              <w:t> </w:t>
            </w:r>
            <w:r>
              <w:rPr>
                <w:rFonts w:ascii="Swis721 Lt BT"/>
                <w:color w:val="231F20"/>
                <w:sz w:val="18"/>
              </w:rPr>
              <w:t>sale</w:t>
            </w:r>
            <w:r>
              <w:rPr>
                <w:rFonts w:ascii="Swis721 Lt BT"/>
                <w:color w:val="231F20"/>
                <w:spacing w:val="-2"/>
                <w:sz w:val="18"/>
              </w:rPr>
              <w:t> </w:t>
            </w:r>
            <w:r>
              <w:rPr>
                <w:rFonts w:ascii="Swis721 Lt BT"/>
                <w:color w:val="231F20"/>
                <w:sz w:val="18"/>
              </w:rPr>
              <w:t>of</w:t>
            </w:r>
            <w:r>
              <w:rPr>
                <w:rFonts w:ascii="Swis721 Lt BT"/>
                <w:color w:val="231F20"/>
                <w:spacing w:val="-2"/>
                <w:sz w:val="18"/>
              </w:rPr>
              <w:t> </w:t>
            </w:r>
            <w:r>
              <w:rPr>
                <w:rFonts w:ascii="Swis721 Lt BT"/>
                <w:color w:val="231F20"/>
                <w:sz w:val="18"/>
              </w:rPr>
              <w:t>non-financial</w:t>
            </w:r>
            <w:r>
              <w:rPr>
                <w:rFonts w:ascii="Swis721 Lt BT"/>
                <w:color w:val="231F20"/>
                <w:spacing w:val="-1"/>
                <w:sz w:val="18"/>
              </w:rPr>
              <w:t> </w:t>
            </w:r>
            <w:r>
              <w:rPr>
                <w:rFonts w:ascii="Swis721 Lt BT"/>
                <w:color w:val="231F20"/>
                <w:sz w:val="18"/>
              </w:rPr>
              <w:t>assets</w:t>
            </w:r>
            <w:r>
              <w:rPr>
                <w:rFonts w:ascii="Swis721 Lt BT"/>
                <w:sz w:val="18"/>
              </w:rPr>
            </w:r>
          </w:p>
        </w:tc>
        <w:tc>
          <w:tcPr>
            <w:tcW w:w="118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30" w:right="0"/>
              <w:jc w:val="left"/>
              <w:rPr>
                <w:rFonts w:ascii="Swis721 Lt BT" w:hAnsi="Swis721 Lt BT" w:cs="Swis721 Lt BT" w:eastAsia="Swis721 Lt BT"/>
                <w:sz w:val="18"/>
                <w:szCs w:val="18"/>
              </w:rPr>
            </w:pPr>
            <w:r>
              <w:rPr>
                <w:rFonts w:ascii="Swis721 Lt BT"/>
                <w:color w:val="231F20"/>
                <w:sz w:val="18"/>
              </w:rPr>
              <w:t>5,770</w:t>
            </w:r>
            <w:r>
              <w:rPr>
                <w:rFonts w:ascii="Swis721 Lt BT"/>
                <w:sz w:val="18"/>
              </w:rPr>
            </w:r>
          </w:p>
        </w:tc>
        <w:tc>
          <w:tcPr>
            <w:tcW w:w="111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86" w:right="0"/>
              <w:jc w:val="left"/>
              <w:rPr>
                <w:rFonts w:ascii="Swis721 Lt BT" w:hAnsi="Swis721 Lt BT" w:cs="Swis721 Lt BT" w:eastAsia="Swis721 Lt BT"/>
                <w:sz w:val="18"/>
                <w:szCs w:val="18"/>
              </w:rPr>
            </w:pPr>
            <w:r>
              <w:rPr>
                <w:rFonts w:ascii="Swis721 Lt BT"/>
                <w:color w:val="231F20"/>
                <w:sz w:val="18"/>
              </w:rPr>
              <w:t>1,303</w:t>
            </w:r>
            <w:r>
              <w:rPr>
                <w:rFonts w:ascii="Swis721 Lt BT"/>
                <w:sz w:val="18"/>
              </w:rPr>
            </w:r>
          </w:p>
        </w:tc>
      </w:tr>
      <w:tr>
        <w:trPr>
          <w:trHeight w:val="329" w:hRule="exact"/>
        </w:trPr>
        <w:tc>
          <w:tcPr>
            <w:tcW w:w="5698"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Present value adjustment</w:t>
            </w:r>
            <w:r>
              <w:rPr>
                <w:rFonts w:ascii="Swis721 Lt BT"/>
                <w:sz w:val="18"/>
              </w:rPr>
            </w:r>
          </w:p>
        </w:tc>
        <w:tc>
          <w:tcPr>
            <w:tcW w:w="118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21" w:right="0"/>
              <w:jc w:val="left"/>
              <w:rPr>
                <w:rFonts w:ascii="Swis721 Lt BT" w:hAnsi="Swis721 Lt BT" w:cs="Swis721 Lt BT" w:eastAsia="Swis721 Lt BT"/>
                <w:sz w:val="18"/>
                <w:szCs w:val="18"/>
              </w:rPr>
            </w:pPr>
            <w:r>
              <w:rPr>
                <w:rFonts w:ascii="Swis721 Lt BT"/>
                <w:color w:val="231F20"/>
                <w:sz w:val="18"/>
              </w:rPr>
              <w:t>(10,936)</w:t>
            </w:r>
            <w:r>
              <w:rPr>
                <w:rFonts w:ascii="Swis721 Lt BT"/>
                <w:sz w:val="18"/>
              </w:rPr>
            </w:r>
          </w:p>
        </w:tc>
        <w:tc>
          <w:tcPr>
            <w:tcW w:w="111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right="91"/>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r>
      <w:tr>
        <w:trPr>
          <w:trHeight w:val="488" w:hRule="exact"/>
        </w:trPr>
        <w:tc>
          <w:tcPr>
            <w:tcW w:w="5698" w:type="dxa"/>
            <w:tcBorders>
              <w:top w:val="single" w:sz="2" w:space="0" w:color="848B91"/>
              <w:left w:val="nil" w:sz="6" w:space="0" w:color="auto"/>
              <w:bottom w:val="nil" w:sz="6" w:space="0" w:color="auto"/>
              <w:right w:val="nil" w:sz="6" w:space="0" w:color="auto"/>
            </w:tcBorders>
          </w:tcPr>
          <w:p>
            <w:pPr>
              <w:pStyle w:val="TableParagraph"/>
              <w:spacing w:line="240" w:lineRule="auto" w:before="3"/>
              <w:ind w:right="0"/>
              <w:jc w:val="left"/>
              <w:rPr>
                <w:rFonts w:ascii="Swis721 Lt BT" w:hAnsi="Swis721 Lt BT" w:cs="Swis721 Lt BT" w:eastAsia="Swis721 Lt BT"/>
                <w:sz w:val="15"/>
                <w:szCs w:val="15"/>
              </w:rPr>
            </w:pPr>
          </w:p>
          <w:p>
            <w:pPr>
              <w:pStyle w:val="TableParagraph"/>
              <w:spacing w:line="240" w:lineRule="auto"/>
              <w:ind w:left="-1" w:right="0"/>
              <w:jc w:val="left"/>
              <w:rPr>
                <w:rFonts w:ascii="Swis721 BT" w:hAnsi="Swis721 BT" w:cs="Swis721 BT" w:eastAsia="Swis721 BT"/>
                <w:sz w:val="20"/>
                <w:szCs w:val="20"/>
              </w:rPr>
            </w:pPr>
            <w:r>
              <w:rPr>
                <w:rFonts w:ascii="Swis721 BT"/>
                <w:b/>
                <w:color w:val="00757A"/>
                <w:sz w:val="20"/>
              </w:rPr>
              <w:t>CHANGE IN ASSETS AND LIABILITIES</w:t>
            </w:r>
            <w:r>
              <w:rPr>
                <w:rFonts w:ascii="Swis721 BT"/>
                <w:sz w:val="20"/>
              </w:rPr>
            </w:r>
          </w:p>
        </w:tc>
        <w:tc>
          <w:tcPr>
            <w:tcW w:w="1184" w:type="dxa"/>
            <w:tcBorders>
              <w:top w:val="single" w:sz="2" w:space="0" w:color="848B91"/>
              <w:left w:val="nil" w:sz="6" w:space="0" w:color="auto"/>
              <w:bottom w:val="nil" w:sz="6" w:space="0" w:color="auto"/>
              <w:right w:val="nil" w:sz="6" w:space="0" w:color="auto"/>
            </w:tcBorders>
          </w:tcPr>
          <w:p>
            <w:pPr/>
          </w:p>
        </w:tc>
        <w:tc>
          <w:tcPr>
            <w:tcW w:w="1111" w:type="dxa"/>
            <w:tcBorders>
              <w:top w:val="single" w:sz="2" w:space="0" w:color="848B91"/>
              <w:left w:val="nil" w:sz="6" w:space="0" w:color="auto"/>
              <w:bottom w:val="nil" w:sz="6" w:space="0" w:color="auto"/>
              <w:right w:val="nil" w:sz="6" w:space="0" w:color="auto"/>
            </w:tcBorders>
          </w:tcPr>
          <w:p>
            <w:pPr/>
          </w:p>
        </w:tc>
      </w:tr>
      <w:tr>
        <w:trPr>
          <w:trHeight w:val="308" w:hRule="exact"/>
        </w:trPr>
        <w:tc>
          <w:tcPr>
            <w:tcW w:w="5698"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1" w:right="0"/>
              <w:jc w:val="left"/>
              <w:rPr>
                <w:rFonts w:ascii="Swis721 Lt BT" w:hAnsi="Swis721 Lt BT" w:cs="Swis721 Lt BT" w:eastAsia="Swis721 Lt BT"/>
                <w:sz w:val="18"/>
                <w:szCs w:val="18"/>
              </w:rPr>
            </w:pPr>
            <w:r>
              <w:rPr>
                <w:rFonts w:ascii="Swis721 Lt BT"/>
                <w:color w:val="231F20"/>
                <w:sz w:val="18"/>
              </w:rPr>
              <w:t>Decrease (increase) in receivables</w:t>
            </w:r>
            <w:r>
              <w:rPr>
                <w:rFonts w:ascii="Swis721 Lt BT"/>
                <w:sz w:val="18"/>
              </w:rPr>
            </w:r>
          </w:p>
        </w:tc>
        <w:tc>
          <w:tcPr>
            <w:tcW w:w="1184"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225" w:right="0"/>
              <w:jc w:val="left"/>
              <w:rPr>
                <w:rFonts w:ascii="Swis721 Lt BT" w:hAnsi="Swis721 Lt BT" w:cs="Swis721 Lt BT" w:eastAsia="Swis721 Lt BT"/>
                <w:sz w:val="18"/>
                <w:szCs w:val="18"/>
              </w:rPr>
            </w:pPr>
            <w:r>
              <w:rPr>
                <w:rFonts w:ascii="Swis721 Lt BT"/>
                <w:color w:val="231F20"/>
                <w:sz w:val="18"/>
              </w:rPr>
              <w:t>(103,622)</w:t>
            </w:r>
            <w:r>
              <w:rPr>
                <w:rFonts w:ascii="Swis721 Lt BT"/>
                <w:sz w:val="18"/>
              </w:rPr>
            </w:r>
          </w:p>
        </w:tc>
        <w:tc>
          <w:tcPr>
            <w:tcW w:w="1111" w:type="dxa"/>
            <w:tcBorders>
              <w:top w:val="nil" w:sz="6" w:space="0" w:color="auto"/>
              <w:left w:val="nil" w:sz="6" w:space="0" w:color="auto"/>
              <w:bottom w:val="single" w:sz="2" w:space="0" w:color="848B91"/>
              <w:right w:val="nil" w:sz="6" w:space="0" w:color="auto"/>
            </w:tcBorders>
          </w:tcPr>
          <w:p>
            <w:pPr>
              <w:pStyle w:val="TableParagraph"/>
              <w:spacing w:line="240" w:lineRule="auto" w:before="44"/>
              <w:ind w:left="491" w:right="0"/>
              <w:jc w:val="left"/>
              <w:rPr>
                <w:rFonts w:ascii="Swis721 Lt BT" w:hAnsi="Swis721 Lt BT" w:cs="Swis721 Lt BT" w:eastAsia="Swis721 Lt BT"/>
                <w:sz w:val="18"/>
                <w:szCs w:val="18"/>
              </w:rPr>
            </w:pPr>
            <w:r>
              <w:rPr>
                <w:rFonts w:ascii="Swis721 Lt BT"/>
                <w:color w:val="231F20"/>
                <w:sz w:val="18"/>
              </w:rPr>
              <w:t>64,577</w:t>
            </w:r>
            <w:r>
              <w:rPr>
                <w:rFonts w:ascii="Swis721 Lt BT"/>
                <w:sz w:val="18"/>
              </w:rPr>
            </w:r>
          </w:p>
        </w:tc>
      </w:tr>
      <w:tr>
        <w:trPr>
          <w:trHeight w:val="329" w:hRule="exact"/>
        </w:trPr>
        <w:tc>
          <w:tcPr>
            <w:tcW w:w="5698"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Decrease (increase) in other assets</w:t>
            </w:r>
            <w:r>
              <w:rPr>
                <w:rFonts w:ascii="Swis721 Lt BT"/>
                <w:sz w:val="18"/>
              </w:rPr>
            </w:r>
          </w:p>
        </w:tc>
        <w:tc>
          <w:tcPr>
            <w:tcW w:w="118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21" w:right="0"/>
              <w:jc w:val="left"/>
              <w:rPr>
                <w:rFonts w:ascii="Swis721 Lt BT" w:hAnsi="Swis721 Lt BT" w:cs="Swis721 Lt BT" w:eastAsia="Swis721 Lt BT"/>
                <w:sz w:val="18"/>
                <w:szCs w:val="18"/>
              </w:rPr>
            </w:pPr>
            <w:r>
              <w:rPr>
                <w:rFonts w:ascii="Swis721 Lt BT"/>
                <w:color w:val="231F20"/>
                <w:sz w:val="18"/>
              </w:rPr>
              <w:t>(47,493)</w:t>
            </w:r>
            <w:r>
              <w:rPr>
                <w:rFonts w:ascii="Swis721 Lt BT"/>
                <w:sz w:val="18"/>
              </w:rPr>
            </w:r>
          </w:p>
        </w:tc>
        <w:tc>
          <w:tcPr>
            <w:tcW w:w="111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473" w:right="0"/>
              <w:jc w:val="left"/>
              <w:rPr>
                <w:rFonts w:ascii="Swis721 Lt BT" w:hAnsi="Swis721 Lt BT" w:cs="Swis721 Lt BT" w:eastAsia="Swis721 Lt BT"/>
                <w:sz w:val="18"/>
                <w:szCs w:val="18"/>
              </w:rPr>
            </w:pPr>
            <w:r>
              <w:rPr>
                <w:rFonts w:ascii="Swis721 Lt BT"/>
                <w:color w:val="231F20"/>
                <w:sz w:val="18"/>
              </w:rPr>
              <w:t>(4,295)</w:t>
            </w:r>
            <w:r>
              <w:rPr>
                <w:rFonts w:ascii="Swis721 Lt BT"/>
                <w:sz w:val="18"/>
              </w:rPr>
            </w:r>
          </w:p>
        </w:tc>
      </w:tr>
      <w:tr>
        <w:trPr>
          <w:trHeight w:val="329" w:hRule="exact"/>
        </w:trPr>
        <w:tc>
          <w:tcPr>
            <w:tcW w:w="5698"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Increase (decrease) in supplier payables</w:t>
            </w:r>
            <w:r>
              <w:rPr>
                <w:rFonts w:ascii="Swis721 Lt BT"/>
                <w:sz w:val="18"/>
              </w:rPr>
            </w:r>
          </w:p>
        </w:tc>
        <w:tc>
          <w:tcPr>
            <w:tcW w:w="118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25" w:right="0"/>
              <w:jc w:val="left"/>
              <w:rPr>
                <w:rFonts w:ascii="Swis721 Lt BT" w:hAnsi="Swis721 Lt BT" w:cs="Swis721 Lt BT" w:eastAsia="Swis721 Lt BT"/>
                <w:sz w:val="18"/>
                <w:szCs w:val="18"/>
              </w:rPr>
            </w:pPr>
            <w:r>
              <w:rPr>
                <w:rFonts w:ascii="Swis721 Lt BT"/>
                <w:color w:val="231F20"/>
                <w:sz w:val="18"/>
              </w:rPr>
              <w:t>(225,348)</w:t>
            </w:r>
            <w:r>
              <w:rPr>
                <w:rFonts w:ascii="Swis721 Lt BT"/>
                <w:sz w:val="18"/>
              </w:rPr>
            </w:r>
          </w:p>
        </w:tc>
        <w:tc>
          <w:tcPr>
            <w:tcW w:w="111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395" w:right="0"/>
              <w:jc w:val="left"/>
              <w:rPr>
                <w:rFonts w:ascii="Swis721 Lt BT" w:hAnsi="Swis721 Lt BT" w:cs="Swis721 Lt BT" w:eastAsia="Swis721 Lt BT"/>
                <w:sz w:val="18"/>
                <w:szCs w:val="18"/>
              </w:rPr>
            </w:pPr>
            <w:r>
              <w:rPr>
                <w:rFonts w:ascii="Swis721 Lt BT"/>
                <w:color w:val="231F20"/>
                <w:sz w:val="18"/>
              </w:rPr>
              <w:t>264,816</w:t>
            </w:r>
            <w:r>
              <w:rPr>
                <w:rFonts w:ascii="Swis721 Lt BT"/>
                <w:sz w:val="18"/>
              </w:rPr>
            </w:r>
          </w:p>
        </w:tc>
      </w:tr>
      <w:tr>
        <w:trPr>
          <w:trHeight w:val="329" w:hRule="exact"/>
        </w:trPr>
        <w:tc>
          <w:tcPr>
            <w:tcW w:w="5698"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Increase (decrease) in other provisions</w:t>
            </w:r>
            <w:r>
              <w:rPr>
                <w:rFonts w:ascii="Swis721 Lt BT"/>
                <w:sz w:val="18"/>
              </w:rPr>
            </w:r>
          </w:p>
        </w:tc>
        <w:tc>
          <w:tcPr>
            <w:tcW w:w="118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434" w:right="0"/>
              <w:jc w:val="left"/>
              <w:rPr>
                <w:rFonts w:ascii="Swis721 Lt BT" w:hAnsi="Swis721 Lt BT" w:cs="Swis721 Lt BT" w:eastAsia="Swis721 Lt BT"/>
                <w:sz w:val="18"/>
                <w:szCs w:val="18"/>
              </w:rPr>
            </w:pPr>
            <w:r>
              <w:rPr>
                <w:rFonts w:ascii="Swis721 Lt BT"/>
                <w:color w:val="231F20"/>
                <w:sz w:val="18"/>
              </w:rPr>
              <w:t>23,414</w:t>
            </w:r>
            <w:r>
              <w:rPr>
                <w:rFonts w:ascii="Swis721 Lt BT"/>
                <w:sz w:val="18"/>
              </w:rPr>
            </w:r>
          </w:p>
        </w:tc>
        <w:tc>
          <w:tcPr>
            <w:tcW w:w="111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81" w:right="0"/>
              <w:jc w:val="left"/>
              <w:rPr>
                <w:rFonts w:ascii="Swis721 Lt BT" w:hAnsi="Swis721 Lt BT" w:cs="Swis721 Lt BT" w:eastAsia="Swis721 Lt BT"/>
                <w:sz w:val="18"/>
                <w:szCs w:val="18"/>
              </w:rPr>
            </w:pPr>
            <w:r>
              <w:rPr>
                <w:rFonts w:ascii="Swis721 Lt BT"/>
                <w:color w:val="231F20"/>
                <w:sz w:val="18"/>
              </w:rPr>
              <w:t>(245,471)</w:t>
            </w:r>
            <w:r>
              <w:rPr>
                <w:rFonts w:ascii="Swis721 Lt BT"/>
                <w:sz w:val="18"/>
              </w:rPr>
            </w:r>
          </w:p>
        </w:tc>
      </w:tr>
      <w:tr>
        <w:trPr>
          <w:trHeight w:val="341" w:hRule="exact"/>
        </w:trPr>
        <w:tc>
          <w:tcPr>
            <w:tcW w:w="5698"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Increase (decrease) in employee provisions</w:t>
            </w:r>
            <w:r>
              <w:rPr>
                <w:rFonts w:ascii="Swis721 Lt BT"/>
                <w:sz w:val="18"/>
              </w:rPr>
            </w:r>
          </w:p>
        </w:tc>
        <w:tc>
          <w:tcPr>
            <w:tcW w:w="1184"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434" w:right="0"/>
              <w:jc w:val="left"/>
              <w:rPr>
                <w:rFonts w:ascii="Swis721 Lt BT" w:hAnsi="Swis721 Lt BT" w:cs="Swis721 Lt BT" w:eastAsia="Swis721 Lt BT"/>
                <w:sz w:val="18"/>
                <w:szCs w:val="18"/>
              </w:rPr>
            </w:pPr>
            <w:r>
              <w:rPr>
                <w:rFonts w:ascii="Swis721 Lt BT"/>
                <w:color w:val="231F20"/>
                <w:sz w:val="18"/>
              </w:rPr>
              <w:t>66,324</w:t>
            </w:r>
            <w:r>
              <w:rPr>
                <w:rFonts w:ascii="Swis721 Lt BT"/>
                <w:sz w:val="18"/>
              </w:rPr>
            </w:r>
          </w:p>
        </w:tc>
        <w:tc>
          <w:tcPr>
            <w:tcW w:w="1111"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395" w:right="0"/>
              <w:jc w:val="left"/>
              <w:rPr>
                <w:rFonts w:ascii="Swis721 Lt BT" w:hAnsi="Swis721 Lt BT" w:cs="Swis721 Lt BT" w:eastAsia="Swis721 Lt BT"/>
                <w:sz w:val="18"/>
                <w:szCs w:val="18"/>
              </w:rPr>
            </w:pPr>
            <w:r>
              <w:rPr>
                <w:rFonts w:ascii="Swis721 Lt BT"/>
                <w:color w:val="231F20"/>
                <w:sz w:val="18"/>
              </w:rPr>
              <w:t>113,542</w:t>
            </w:r>
            <w:r>
              <w:rPr>
                <w:rFonts w:ascii="Swis721 Lt BT"/>
                <w:sz w:val="18"/>
              </w:rPr>
            </w:r>
          </w:p>
        </w:tc>
      </w:tr>
      <w:tr>
        <w:trPr>
          <w:trHeight w:val="349" w:hRule="exact"/>
        </w:trPr>
        <w:tc>
          <w:tcPr>
            <w:tcW w:w="5698"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z w:val="18"/>
              </w:rPr>
              <w:t>Net cash from operating</w:t>
            </w:r>
            <w:r>
              <w:rPr>
                <w:rFonts w:ascii="Swis721 Md BT"/>
                <w:sz w:val="18"/>
              </w:rPr>
            </w:r>
          </w:p>
        </w:tc>
        <w:tc>
          <w:tcPr>
            <w:tcW w:w="1184"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59" w:right="0"/>
              <w:jc w:val="left"/>
              <w:rPr>
                <w:rFonts w:ascii="Swis721 Md BT" w:hAnsi="Swis721 Md BT" w:cs="Swis721 Md BT" w:eastAsia="Swis721 Md BT"/>
                <w:sz w:val="18"/>
                <w:szCs w:val="18"/>
              </w:rPr>
            </w:pPr>
            <w:r>
              <w:rPr>
                <w:rFonts w:ascii="Swis721 Md BT"/>
                <w:color w:val="231F20"/>
                <w:sz w:val="18"/>
              </w:rPr>
              <w:t>3,929,476</w:t>
            </w:r>
            <w:r>
              <w:rPr>
                <w:rFonts w:ascii="Swis721 Md BT"/>
                <w:sz w:val="18"/>
              </w:rPr>
            </w:r>
          </w:p>
        </w:tc>
        <w:tc>
          <w:tcPr>
            <w:tcW w:w="1111"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15" w:right="0"/>
              <w:jc w:val="left"/>
              <w:rPr>
                <w:rFonts w:ascii="Swis721 Md BT" w:hAnsi="Swis721 Md BT" w:cs="Swis721 Md BT" w:eastAsia="Swis721 Md BT"/>
                <w:sz w:val="18"/>
                <w:szCs w:val="18"/>
              </w:rPr>
            </w:pPr>
            <w:r>
              <w:rPr>
                <w:rFonts w:ascii="Swis721 Md BT"/>
                <w:color w:val="231F20"/>
                <w:sz w:val="18"/>
              </w:rPr>
              <w:t>1,941,019</w:t>
            </w:r>
            <w:r>
              <w:rPr>
                <w:rFonts w:ascii="Swis721 Md BT"/>
                <w:sz w:val="18"/>
              </w:rPr>
            </w:r>
          </w:p>
        </w:tc>
      </w:tr>
    </w:tbl>
    <w:p>
      <w:pPr>
        <w:spacing w:line="240" w:lineRule="auto" w:before="0"/>
        <w:rPr>
          <w:rFonts w:ascii="Swis721 Lt BT" w:hAnsi="Swis721 Lt BT" w:cs="Swis721 Lt BT" w:eastAsia="Swis721 Lt BT"/>
          <w:sz w:val="20"/>
          <w:szCs w:val="20"/>
        </w:rPr>
      </w:pPr>
    </w:p>
    <w:p>
      <w:pPr>
        <w:pStyle w:val="Heading6"/>
        <w:spacing w:line="240" w:lineRule="auto" w:before="207"/>
        <w:ind w:left="110" w:right="0"/>
        <w:jc w:val="left"/>
        <w:rPr>
          <w:rFonts w:ascii="Swis721 BT" w:hAnsi="Swis721 BT" w:cs="Swis721 BT" w:eastAsia="Swis721 BT"/>
        </w:rPr>
      </w:pPr>
      <w:r>
        <w:rPr>
          <w:rFonts w:ascii="Swis721 Hv BT"/>
          <w:b/>
          <w:color w:val="005E63"/>
        </w:rPr>
        <w:t>NOTE</w:t>
      </w:r>
      <w:r>
        <w:rPr>
          <w:rFonts w:ascii="Swis721 Hv BT"/>
          <w:b/>
          <w:color w:val="005E63"/>
          <w:spacing w:val="-2"/>
        </w:rPr>
        <w:t> </w:t>
      </w:r>
      <w:r>
        <w:rPr>
          <w:rFonts w:ascii="Swis721 Hv BT"/>
          <w:b/>
          <w:color w:val="005E63"/>
        </w:rPr>
        <w:t>8.</w:t>
      </w:r>
      <w:r>
        <w:rPr>
          <w:rFonts w:ascii="Swis721 Hv BT"/>
          <w:b/>
          <w:color w:val="005E63"/>
          <w:spacing w:val="-7"/>
        </w:rPr>
        <w:t> </w:t>
      </w:r>
      <w:r>
        <w:rPr>
          <w:rFonts w:ascii="Swis721 BT"/>
          <w:color w:val="005E63"/>
        </w:rPr>
        <w:t>KEY</w:t>
      </w:r>
      <w:r>
        <w:rPr>
          <w:rFonts w:ascii="Swis721 BT"/>
          <w:color w:val="005E63"/>
          <w:spacing w:val="-2"/>
        </w:rPr>
        <w:t> </w:t>
      </w:r>
      <w:r>
        <w:rPr>
          <w:rFonts w:ascii="Swis721 BT"/>
          <w:color w:val="005E63"/>
        </w:rPr>
        <w:t>MANAGEMENT</w:t>
      </w:r>
      <w:r>
        <w:rPr>
          <w:rFonts w:ascii="Swis721 BT"/>
          <w:color w:val="005E63"/>
          <w:spacing w:val="-1"/>
        </w:rPr>
        <w:t> </w:t>
      </w:r>
      <w:r>
        <w:rPr>
          <w:rFonts w:ascii="Swis721 BT"/>
          <w:color w:val="005E63"/>
        </w:rPr>
        <w:t>PERSONNEL</w:t>
      </w:r>
      <w:r>
        <w:rPr>
          <w:rFonts w:ascii="Swis721 BT"/>
          <w:color w:val="005E63"/>
          <w:spacing w:val="-1"/>
        </w:rPr>
        <w:t> REMUNERATION</w:t>
      </w:r>
      <w:r>
        <w:rPr>
          <w:rFonts w:ascii="Swis721 BT"/>
        </w:rPr>
      </w:r>
    </w:p>
    <w:p>
      <w:pPr>
        <w:spacing w:line="240" w:lineRule="auto" w:before="1"/>
        <w:rPr>
          <w:rFonts w:ascii="Swis721 BT" w:hAnsi="Swis721 BT" w:cs="Swis721 BT" w:eastAsia="Swis721 BT"/>
          <w:sz w:val="12"/>
          <w:szCs w:val="12"/>
        </w:rPr>
      </w:pPr>
    </w:p>
    <w:p>
      <w:pPr>
        <w:pStyle w:val="BodyText"/>
        <w:spacing w:line="240" w:lineRule="auto" w:before="69"/>
        <w:ind w:right="466"/>
        <w:jc w:val="left"/>
      </w:pPr>
      <w:r>
        <w:rPr>
          <w:color w:val="231F20"/>
          <w:spacing w:val="-2"/>
        </w:rPr>
        <w:t>Key</w:t>
      </w:r>
      <w:r>
        <w:rPr>
          <w:color w:val="231F20"/>
        </w:rPr>
        <w:t> management personnel are those persons having authority and responsibility for</w:t>
      </w:r>
      <w:r>
        <w:rPr>
          <w:color w:val="231F20"/>
          <w:spacing w:val="22"/>
        </w:rPr>
        <w:t> </w:t>
      </w:r>
      <w:r>
        <w:rPr>
          <w:color w:val="231F20"/>
        </w:rPr>
        <w:t>planning, directing and controlling the activities of AITSL, directly or </w:t>
      </w:r>
      <w:r>
        <w:rPr>
          <w:color w:val="231F20"/>
          <w:spacing w:val="-2"/>
        </w:rPr>
        <w:t>indirectly,</w:t>
      </w:r>
      <w:r>
        <w:rPr>
          <w:color w:val="231F20"/>
        </w:rPr>
        <w:t> including any</w:t>
      </w:r>
      <w:r>
        <w:rPr>
          <w:color w:val="231F20"/>
          <w:spacing w:val="24"/>
        </w:rPr>
        <w:t> </w:t>
      </w:r>
      <w:r>
        <w:rPr>
          <w:color w:val="231F20"/>
        </w:rPr>
        <w:t>Directors of AITSL.</w:t>
      </w:r>
      <w:r>
        <w:rPr/>
      </w:r>
    </w:p>
    <w:p>
      <w:pPr>
        <w:spacing w:line="240" w:lineRule="auto" w:before="5"/>
        <w:rPr>
          <w:rFonts w:ascii="Swis721 Lt BT" w:hAnsi="Swis721 Lt BT" w:cs="Swis721 Lt BT" w:eastAsia="Swis721 Lt BT"/>
          <w:sz w:val="12"/>
          <w:szCs w:val="12"/>
        </w:rPr>
      </w:pPr>
    </w:p>
    <w:tbl>
      <w:tblPr>
        <w:tblW w:w="0" w:type="auto"/>
        <w:jc w:val="left"/>
        <w:tblInd w:w="110" w:type="dxa"/>
        <w:tblLayout w:type="fixed"/>
        <w:tblCellMar>
          <w:top w:w="0" w:type="dxa"/>
          <w:left w:w="0" w:type="dxa"/>
          <w:bottom w:w="0" w:type="dxa"/>
          <w:right w:w="0" w:type="dxa"/>
        </w:tblCellMar>
        <w:tblLook w:val="01E0"/>
      </w:tblPr>
      <w:tblGrid>
        <w:gridCol w:w="5499"/>
        <w:gridCol w:w="1383"/>
        <w:gridCol w:w="1111"/>
      </w:tblGrid>
      <w:tr>
        <w:trPr>
          <w:trHeight w:val="514" w:hRule="exact"/>
        </w:trPr>
        <w:tc>
          <w:tcPr>
            <w:tcW w:w="5499" w:type="dxa"/>
            <w:tcBorders>
              <w:top w:val="nil" w:sz="6" w:space="0" w:color="auto"/>
              <w:left w:val="nil" w:sz="6" w:space="0" w:color="auto"/>
              <w:bottom w:val="nil" w:sz="6" w:space="0" w:color="auto"/>
              <w:right w:val="single" w:sz="1" w:space="0" w:color="BFD22B"/>
            </w:tcBorders>
            <w:shd w:val="clear" w:color="auto" w:fill="BFD22B"/>
          </w:tcPr>
          <w:p>
            <w:pPr/>
          </w:p>
        </w:tc>
        <w:tc>
          <w:tcPr>
            <w:tcW w:w="1383" w:type="dxa"/>
            <w:tcBorders>
              <w:top w:val="nil" w:sz="6" w:space="0" w:color="auto"/>
              <w:left w:val="single" w:sz="1" w:space="0" w:color="BFD22B"/>
              <w:bottom w:val="nil" w:sz="6" w:space="0" w:color="auto"/>
              <w:right w:val="nil" w:sz="6" w:space="0" w:color="auto"/>
            </w:tcBorders>
            <w:shd w:val="clear" w:color="auto" w:fill="BFD22B"/>
          </w:tcPr>
          <w:p>
            <w:pPr>
              <w:pStyle w:val="TableParagraph"/>
              <w:spacing w:line="240" w:lineRule="auto" w:before="44"/>
              <w:ind w:right="213"/>
              <w:jc w:val="right"/>
              <w:rPr>
                <w:rFonts w:ascii="Swis721 Cn BT" w:hAnsi="Swis721 Cn BT" w:cs="Swis721 Cn BT" w:eastAsia="Swis721 Cn BT"/>
                <w:sz w:val="18"/>
                <w:szCs w:val="18"/>
              </w:rPr>
            </w:pPr>
            <w:r>
              <w:rPr>
                <w:rFonts w:ascii="Swis721 Cn BT"/>
                <w:color w:val="303B41"/>
                <w:w w:val="95"/>
                <w:sz w:val="18"/>
              </w:rPr>
              <w:t>2019</w:t>
            </w:r>
            <w:r>
              <w:rPr>
                <w:rFonts w:ascii="Swis721 Cn BT"/>
                <w:sz w:val="18"/>
              </w:rPr>
            </w:r>
          </w:p>
          <w:p>
            <w:pPr>
              <w:pStyle w:val="TableParagraph"/>
              <w:spacing w:line="240" w:lineRule="auto"/>
              <w:ind w:right="213"/>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111"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8"/>
              <w:jc w:val="right"/>
              <w:rPr>
                <w:rFonts w:ascii="Swis721 Cn BT" w:hAnsi="Swis721 Cn BT" w:cs="Swis721 Cn BT" w:eastAsia="Swis721 Cn BT"/>
                <w:sz w:val="18"/>
                <w:szCs w:val="18"/>
              </w:rPr>
            </w:pPr>
            <w:r>
              <w:rPr>
                <w:rFonts w:ascii="Swis721 Cn BT"/>
                <w:color w:val="303B41"/>
                <w:w w:val="95"/>
                <w:sz w:val="18"/>
              </w:rPr>
              <w:t>2018</w:t>
            </w:r>
            <w:r>
              <w:rPr>
                <w:rFonts w:ascii="Swis721 Cn BT"/>
                <w:sz w:val="18"/>
              </w:rPr>
            </w:r>
          </w:p>
          <w:p>
            <w:pPr>
              <w:pStyle w:val="TableParagraph"/>
              <w:spacing w:line="240" w:lineRule="auto"/>
              <w:ind w:right="78"/>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r>
      <w:tr>
        <w:trPr>
          <w:trHeight w:val="443" w:hRule="exact"/>
        </w:trPr>
        <w:tc>
          <w:tcPr>
            <w:tcW w:w="5499" w:type="dxa"/>
            <w:tcBorders>
              <w:top w:val="nil" w:sz="6" w:space="0" w:color="auto"/>
              <w:left w:val="nil" w:sz="6" w:space="0" w:color="auto"/>
              <w:bottom w:val="single" w:sz="2" w:space="0" w:color="848B91"/>
              <w:right w:val="nil" w:sz="6" w:space="0" w:color="auto"/>
            </w:tcBorders>
          </w:tcPr>
          <w:p>
            <w:pPr>
              <w:pStyle w:val="TableParagraph"/>
              <w:spacing w:line="240" w:lineRule="auto" w:before="11"/>
              <w:ind w:right="0"/>
              <w:jc w:val="left"/>
              <w:rPr>
                <w:rFonts w:ascii="Swis721 Lt BT" w:hAnsi="Swis721 Lt BT" w:cs="Swis721 Lt BT" w:eastAsia="Swis721 Lt BT"/>
                <w:sz w:val="14"/>
                <w:szCs w:val="14"/>
              </w:rPr>
            </w:pPr>
          </w:p>
          <w:p>
            <w:pPr>
              <w:pStyle w:val="TableParagraph"/>
              <w:spacing w:line="240" w:lineRule="auto"/>
              <w:ind w:left="-1" w:right="0"/>
              <w:jc w:val="left"/>
              <w:rPr>
                <w:rFonts w:ascii="Swis721 Lt BT" w:hAnsi="Swis721 Lt BT" w:cs="Swis721 Lt BT" w:eastAsia="Swis721 Lt BT"/>
                <w:sz w:val="18"/>
                <w:szCs w:val="18"/>
              </w:rPr>
            </w:pPr>
            <w:r>
              <w:rPr>
                <w:rFonts w:ascii="Swis721 Lt BT"/>
                <w:color w:val="231F20"/>
                <w:spacing w:val="-1"/>
                <w:sz w:val="18"/>
              </w:rPr>
              <w:t>Short-term</w:t>
            </w:r>
            <w:r>
              <w:rPr>
                <w:rFonts w:ascii="Swis721 Lt BT"/>
                <w:color w:val="231F20"/>
                <w:spacing w:val="-4"/>
                <w:sz w:val="18"/>
              </w:rPr>
              <w:t> </w:t>
            </w:r>
            <w:r>
              <w:rPr>
                <w:rFonts w:ascii="Swis721 Lt BT"/>
                <w:color w:val="231F20"/>
                <w:sz w:val="18"/>
              </w:rPr>
              <w:t>employment</w:t>
            </w:r>
            <w:r>
              <w:rPr>
                <w:rFonts w:ascii="Swis721 Lt BT"/>
                <w:color w:val="231F20"/>
                <w:spacing w:val="-3"/>
                <w:sz w:val="18"/>
              </w:rPr>
              <w:t> </w:t>
            </w:r>
            <w:r>
              <w:rPr>
                <w:rFonts w:ascii="Swis721 Lt BT"/>
                <w:color w:val="231F20"/>
                <w:sz w:val="18"/>
              </w:rPr>
              <w:t>benefits</w:t>
            </w:r>
            <w:r>
              <w:rPr>
                <w:rFonts w:ascii="Swis721 Lt BT"/>
                <w:sz w:val="18"/>
              </w:rPr>
            </w:r>
          </w:p>
        </w:tc>
        <w:tc>
          <w:tcPr>
            <w:tcW w:w="1383" w:type="dxa"/>
            <w:tcBorders>
              <w:top w:val="nil" w:sz="6" w:space="0" w:color="auto"/>
              <w:left w:val="nil" w:sz="6" w:space="0" w:color="auto"/>
              <w:bottom w:val="single" w:sz="2" w:space="0" w:color="848B91"/>
              <w:right w:val="nil" w:sz="6" w:space="0" w:color="auto"/>
            </w:tcBorders>
          </w:tcPr>
          <w:p>
            <w:pPr>
              <w:pStyle w:val="TableParagraph"/>
              <w:spacing w:line="240" w:lineRule="auto" w:before="11"/>
              <w:ind w:right="0"/>
              <w:jc w:val="left"/>
              <w:rPr>
                <w:rFonts w:ascii="Swis721 Lt BT" w:hAnsi="Swis721 Lt BT" w:cs="Swis721 Lt BT" w:eastAsia="Swis721 Lt BT"/>
                <w:sz w:val="14"/>
                <w:szCs w:val="14"/>
              </w:rPr>
            </w:pPr>
          </w:p>
          <w:p>
            <w:pPr>
              <w:pStyle w:val="TableParagraph"/>
              <w:spacing w:line="240" w:lineRule="auto"/>
              <w:ind w:left="394" w:right="0"/>
              <w:jc w:val="left"/>
              <w:rPr>
                <w:rFonts w:ascii="Swis721 Lt BT" w:hAnsi="Swis721 Lt BT" w:cs="Swis721 Lt BT" w:eastAsia="Swis721 Lt BT"/>
                <w:sz w:val="18"/>
                <w:szCs w:val="18"/>
              </w:rPr>
            </w:pPr>
            <w:r>
              <w:rPr>
                <w:rFonts w:ascii="Swis721 Lt BT"/>
                <w:color w:val="231F20"/>
                <w:sz w:val="18"/>
              </w:rPr>
              <w:t>1,193,548</w:t>
            </w:r>
            <w:r>
              <w:rPr>
                <w:rFonts w:ascii="Swis721 Lt BT"/>
                <w:sz w:val="18"/>
              </w:rPr>
            </w:r>
          </w:p>
        </w:tc>
        <w:tc>
          <w:tcPr>
            <w:tcW w:w="1111" w:type="dxa"/>
            <w:tcBorders>
              <w:top w:val="nil" w:sz="6" w:space="0" w:color="auto"/>
              <w:left w:val="nil" w:sz="6" w:space="0" w:color="auto"/>
              <w:bottom w:val="single" w:sz="2" w:space="0" w:color="848B91"/>
              <w:right w:val="nil" w:sz="6" w:space="0" w:color="auto"/>
            </w:tcBorders>
          </w:tcPr>
          <w:p>
            <w:pPr>
              <w:pStyle w:val="TableParagraph"/>
              <w:spacing w:line="240" w:lineRule="auto" w:before="11"/>
              <w:ind w:right="0"/>
              <w:jc w:val="left"/>
              <w:rPr>
                <w:rFonts w:ascii="Swis721 Lt BT" w:hAnsi="Swis721 Lt BT" w:cs="Swis721 Lt BT" w:eastAsia="Swis721 Lt BT"/>
                <w:sz w:val="14"/>
                <w:szCs w:val="14"/>
              </w:rPr>
            </w:pPr>
          </w:p>
          <w:p>
            <w:pPr>
              <w:pStyle w:val="TableParagraph"/>
              <w:spacing w:line="240" w:lineRule="auto"/>
              <w:ind w:left="251" w:right="0"/>
              <w:jc w:val="left"/>
              <w:rPr>
                <w:rFonts w:ascii="Swis721 Lt BT" w:hAnsi="Swis721 Lt BT" w:cs="Swis721 Lt BT" w:eastAsia="Swis721 Lt BT"/>
                <w:sz w:val="18"/>
                <w:szCs w:val="18"/>
              </w:rPr>
            </w:pPr>
            <w:r>
              <w:rPr>
                <w:rFonts w:ascii="Swis721 Lt BT"/>
                <w:color w:val="231F20"/>
                <w:sz w:val="18"/>
              </w:rPr>
              <w:t>1,223,644</w:t>
            </w:r>
            <w:r>
              <w:rPr>
                <w:rFonts w:ascii="Swis721 Lt BT"/>
                <w:sz w:val="18"/>
              </w:rPr>
            </w:r>
          </w:p>
        </w:tc>
      </w:tr>
      <w:tr>
        <w:trPr>
          <w:trHeight w:val="329" w:hRule="exact"/>
        </w:trPr>
        <w:tc>
          <w:tcPr>
            <w:tcW w:w="549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pacing w:val="-2"/>
                <w:sz w:val="18"/>
              </w:rPr>
              <w:t>Post</w:t>
            </w:r>
            <w:r>
              <w:rPr>
                <w:rFonts w:ascii="Swis721 Lt BT"/>
                <w:color w:val="231F20"/>
                <w:spacing w:val="-4"/>
                <w:sz w:val="18"/>
              </w:rPr>
              <w:t> </w:t>
            </w:r>
            <w:r>
              <w:rPr>
                <w:rFonts w:ascii="Swis721 Lt BT"/>
                <w:color w:val="231F20"/>
                <w:sz w:val="18"/>
              </w:rPr>
              <w:t>employment</w:t>
            </w:r>
            <w:r>
              <w:rPr>
                <w:rFonts w:ascii="Swis721 Lt BT"/>
                <w:color w:val="231F20"/>
                <w:spacing w:val="-3"/>
                <w:sz w:val="18"/>
              </w:rPr>
              <w:t> </w:t>
            </w:r>
            <w:r>
              <w:rPr>
                <w:rFonts w:ascii="Swis721 Lt BT"/>
                <w:color w:val="231F20"/>
                <w:sz w:val="18"/>
              </w:rPr>
              <w:t>benefits</w:t>
            </w:r>
            <w:r>
              <w:rPr>
                <w:rFonts w:ascii="Swis721 Lt BT"/>
                <w:sz w:val="18"/>
              </w:rPr>
            </w:r>
          </w:p>
        </w:tc>
        <w:tc>
          <w:tcPr>
            <w:tcW w:w="138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634" w:right="0"/>
              <w:jc w:val="left"/>
              <w:rPr>
                <w:rFonts w:ascii="Swis721 Lt BT" w:hAnsi="Swis721 Lt BT" w:cs="Swis721 Lt BT" w:eastAsia="Swis721 Lt BT"/>
                <w:sz w:val="18"/>
                <w:szCs w:val="18"/>
              </w:rPr>
            </w:pPr>
            <w:r>
              <w:rPr>
                <w:rFonts w:ascii="Swis721 Lt BT"/>
                <w:color w:val="231F20"/>
                <w:sz w:val="18"/>
              </w:rPr>
              <w:t>89,679</w:t>
            </w:r>
            <w:r>
              <w:rPr>
                <w:rFonts w:ascii="Swis721 Lt BT"/>
                <w:sz w:val="18"/>
              </w:rPr>
            </w:r>
          </w:p>
        </w:tc>
        <w:tc>
          <w:tcPr>
            <w:tcW w:w="111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491" w:right="0"/>
              <w:jc w:val="left"/>
              <w:rPr>
                <w:rFonts w:ascii="Swis721 Lt BT" w:hAnsi="Swis721 Lt BT" w:cs="Swis721 Lt BT" w:eastAsia="Swis721 Lt BT"/>
                <w:sz w:val="18"/>
                <w:szCs w:val="18"/>
              </w:rPr>
            </w:pPr>
            <w:r>
              <w:rPr>
                <w:rFonts w:ascii="Swis721 Lt BT"/>
                <w:color w:val="231F20"/>
                <w:sz w:val="18"/>
              </w:rPr>
              <w:t>68,793</w:t>
            </w:r>
            <w:r>
              <w:rPr>
                <w:rFonts w:ascii="Swis721 Lt BT"/>
                <w:sz w:val="18"/>
              </w:rPr>
            </w:r>
          </w:p>
        </w:tc>
      </w:tr>
      <w:tr>
        <w:trPr>
          <w:trHeight w:val="341" w:hRule="exact"/>
        </w:trPr>
        <w:tc>
          <w:tcPr>
            <w:tcW w:w="5499"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Other</w:t>
            </w:r>
            <w:r>
              <w:rPr>
                <w:rFonts w:ascii="Swis721 Lt BT"/>
                <w:color w:val="231F20"/>
                <w:spacing w:val="-3"/>
                <w:sz w:val="18"/>
              </w:rPr>
              <w:t> </w:t>
            </w:r>
            <w:r>
              <w:rPr>
                <w:rFonts w:ascii="Swis721 Lt BT"/>
                <w:color w:val="231F20"/>
                <w:sz w:val="18"/>
              </w:rPr>
              <w:t>long</w:t>
            </w:r>
            <w:r>
              <w:rPr>
                <w:rFonts w:ascii="Swis721 Lt BT"/>
                <w:color w:val="231F20"/>
                <w:spacing w:val="-2"/>
                <w:sz w:val="18"/>
              </w:rPr>
              <w:t> </w:t>
            </w:r>
            <w:r>
              <w:rPr>
                <w:rFonts w:ascii="Swis721 Lt BT"/>
                <w:color w:val="231F20"/>
                <w:sz w:val="18"/>
              </w:rPr>
              <w:t>term</w:t>
            </w:r>
            <w:r>
              <w:rPr>
                <w:rFonts w:ascii="Swis721 Lt BT"/>
                <w:color w:val="231F20"/>
                <w:spacing w:val="-2"/>
                <w:sz w:val="18"/>
              </w:rPr>
              <w:t> </w:t>
            </w:r>
            <w:r>
              <w:rPr>
                <w:rFonts w:ascii="Swis721 Lt BT"/>
                <w:color w:val="231F20"/>
                <w:sz w:val="18"/>
              </w:rPr>
              <w:t>benefits</w:t>
            </w:r>
            <w:r>
              <w:rPr>
                <w:rFonts w:ascii="Swis721 Lt BT"/>
                <w:sz w:val="18"/>
              </w:rPr>
            </w:r>
          </w:p>
        </w:tc>
        <w:tc>
          <w:tcPr>
            <w:tcW w:w="138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729" w:right="0"/>
              <w:jc w:val="left"/>
              <w:rPr>
                <w:rFonts w:ascii="Swis721 Lt BT" w:hAnsi="Swis721 Lt BT" w:cs="Swis721 Lt BT" w:eastAsia="Swis721 Lt BT"/>
                <w:sz w:val="18"/>
                <w:szCs w:val="18"/>
              </w:rPr>
            </w:pPr>
            <w:r>
              <w:rPr>
                <w:rFonts w:ascii="Swis721 Lt BT"/>
                <w:color w:val="231F20"/>
                <w:sz w:val="18"/>
              </w:rPr>
              <w:t>9,947</w:t>
            </w:r>
            <w:r>
              <w:rPr>
                <w:rFonts w:ascii="Swis721 Lt BT"/>
                <w:sz w:val="18"/>
              </w:rPr>
            </w:r>
          </w:p>
        </w:tc>
        <w:tc>
          <w:tcPr>
            <w:tcW w:w="1111"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491" w:right="0"/>
              <w:jc w:val="left"/>
              <w:rPr>
                <w:rFonts w:ascii="Swis721 Lt BT" w:hAnsi="Swis721 Lt BT" w:cs="Swis721 Lt BT" w:eastAsia="Swis721 Lt BT"/>
                <w:sz w:val="18"/>
                <w:szCs w:val="18"/>
              </w:rPr>
            </w:pPr>
            <w:r>
              <w:rPr>
                <w:rFonts w:ascii="Swis721 Lt BT"/>
                <w:color w:val="231F20"/>
                <w:sz w:val="18"/>
              </w:rPr>
              <w:t>21,158</w:t>
            </w:r>
            <w:r>
              <w:rPr>
                <w:rFonts w:ascii="Swis721 Lt BT"/>
                <w:sz w:val="18"/>
              </w:rPr>
            </w:r>
          </w:p>
        </w:tc>
      </w:tr>
      <w:tr>
        <w:trPr>
          <w:trHeight w:val="349" w:hRule="exact"/>
        </w:trPr>
        <w:tc>
          <w:tcPr>
            <w:tcW w:w="5499" w:type="dxa"/>
            <w:tcBorders>
              <w:top w:val="single" w:sz="8" w:space="0" w:color="848B91"/>
              <w:left w:val="nil" w:sz="6" w:space="0" w:color="auto"/>
              <w:bottom w:val="single" w:sz="8" w:space="0" w:color="848B91"/>
              <w:right w:val="nil" w:sz="6" w:space="0" w:color="auto"/>
            </w:tcBorders>
          </w:tcPr>
          <w:p>
            <w:pPr/>
          </w:p>
        </w:tc>
        <w:tc>
          <w:tcPr>
            <w:tcW w:w="138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58" w:right="0"/>
              <w:jc w:val="left"/>
              <w:rPr>
                <w:rFonts w:ascii="Swis721 Md BT" w:hAnsi="Swis721 Md BT" w:cs="Swis721 Md BT" w:eastAsia="Swis721 Md BT"/>
                <w:sz w:val="18"/>
                <w:szCs w:val="18"/>
              </w:rPr>
            </w:pPr>
            <w:r>
              <w:rPr>
                <w:rFonts w:ascii="Swis721 Md BT"/>
                <w:color w:val="231F20"/>
                <w:sz w:val="18"/>
              </w:rPr>
              <w:t>1,293,174</w:t>
            </w:r>
            <w:r>
              <w:rPr>
                <w:rFonts w:ascii="Swis721 Md BT"/>
                <w:sz w:val="18"/>
              </w:rPr>
            </w:r>
          </w:p>
        </w:tc>
        <w:tc>
          <w:tcPr>
            <w:tcW w:w="1111"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15" w:right="0"/>
              <w:jc w:val="left"/>
              <w:rPr>
                <w:rFonts w:ascii="Swis721 Md BT" w:hAnsi="Swis721 Md BT" w:cs="Swis721 Md BT" w:eastAsia="Swis721 Md BT"/>
                <w:sz w:val="18"/>
                <w:szCs w:val="18"/>
              </w:rPr>
            </w:pPr>
            <w:r>
              <w:rPr>
                <w:rFonts w:ascii="Swis721 Md BT"/>
                <w:color w:val="231F20"/>
                <w:sz w:val="18"/>
              </w:rPr>
              <w:t>1,313,595</w:t>
            </w:r>
            <w:r>
              <w:rPr>
                <w:rFonts w:ascii="Swis721 Md BT"/>
                <w:sz w:val="18"/>
              </w:rPr>
            </w:r>
          </w:p>
        </w:tc>
      </w:tr>
    </w:tbl>
    <w:p>
      <w:pPr>
        <w:pStyle w:val="BodyText"/>
        <w:spacing w:line="240" w:lineRule="auto" w:before="36"/>
        <w:ind w:right="665"/>
        <w:jc w:val="left"/>
      </w:pPr>
      <w:r>
        <w:rPr>
          <w:color w:val="231F20"/>
        </w:rPr>
        <w:t>The number of key management personnel that are included in the above are 5 Executive Managers and 9 </w:t>
      </w:r>
      <w:r>
        <w:rPr>
          <w:color w:val="231F20"/>
          <w:spacing w:val="-1"/>
        </w:rPr>
        <w:t>part-time</w:t>
      </w:r>
      <w:r>
        <w:rPr>
          <w:color w:val="231F20"/>
        </w:rPr>
        <w:t> Directors (2018: 3 Executive Managers and 12 </w:t>
      </w:r>
      <w:r>
        <w:rPr>
          <w:color w:val="231F20"/>
          <w:spacing w:val="-1"/>
        </w:rPr>
        <w:t>part-time</w:t>
      </w:r>
      <w:r>
        <w:rPr>
          <w:color w:val="231F20"/>
          <w:spacing w:val="21"/>
        </w:rPr>
        <w:t> </w:t>
      </w:r>
      <w:r>
        <w:rPr>
          <w:color w:val="231F20"/>
        </w:rPr>
        <w:t>Directors - Refer to Note 2.4).</w:t>
      </w:r>
      <w:r>
        <w:rPr/>
      </w:r>
    </w:p>
    <w:p>
      <w:pPr>
        <w:spacing w:after="0" w:line="240" w:lineRule="auto"/>
        <w:jc w:val="left"/>
        <w:sectPr>
          <w:pgSz w:w="9980" w:h="14180"/>
          <w:pgMar w:header="0" w:footer="452" w:top="940" w:bottom="640" w:left="740" w:right="1020"/>
        </w:sectPr>
      </w:pPr>
    </w:p>
    <w:p>
      <w:pPr>
        <w:spacing w:before="58"/>
        <w:ind w:left="0" w:right="108" w:firstLine="0"/>
        <w:jc w:val="right"/>
        <w:rPr>
          <w:rFonts w:ascii="Swis721 Lt BT" w:hAnsi="Swis721 Lt BT" w:cs="Swis721 Lt BT" w:eastAsia="Swis721 Lt BT"/>
          <w:sz w:val="14"/>
          <w:szCs w:val="14"/>
        </w:rPr>
      </w:pPr>
      <w:bookmarkStart w:name="NOTE 9. RELATED PARTY DISCLOSURE" w:id="36"/>
      <w:bookmarkEnd w:id="36"/>
      <w:r>
        <w:rPr/>
      </w: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16"/>
          <w:szCs w:val="16"/>
        </w:rPr>
      </w:pPr>
    </w:p>
    <w:p>
      <w:pPr>
        <w:spacing w:before="61"/>
        <w:ind w:left="113" w:right="0" w:firstLine="0"/>
        <w:jc w:val="left"/>
        <w:rPr>
          <w:rFonts w:ascii="Swis721 BT" w:hAnsi="Swis721 BT" w:cs="Swis721 BT" w:eastAsia="Swis721 BT"/>
          <w:sz w:val="24"/>
          <w:szCs w:val="24"/>
        </w:rPr>
      </w:pPr>
      <w:r>
        <w:rPr>
          <w:rFonts w:ascii="Swis721 Hv BT"/>
          <w:b/>
          <w:color w:val="005E63"/>
          <w:sz w:val="24"/>
        </w:rPr>
        <w:t>NOTE</w:t>
      </w:r>
      <w:r>
        <w:rPr>
          <w:rFonts w:ascii="Swis721 Hv BT"/>
          <w:b/>
          <w:color w:val="005E63"/>
          <w:spacing w:val="-2"/>
          <w:sz w:val="24"/>
        </w:rPr>
        <w:t> </w:t>
      </w:r>
      <w:r>
        <w:rPr>
          <w:rFonts w:ascii="Swis721 Hv BT"/>
          <w:b/>
          <w:color w:val="005E63"/>
          <w:sz w:val="24"/>
        </w:rPr>
        <w:t>9.</w:t>
      </w:r>
      <w:r>
        <w:rPr>
          <w:rFonts w:ascii="Swis721 Hv BT"/>
          <w:b/>
          <w:color w:val="005E63"/>
          <w:spacing w:val="-2"/>
          <w:sz w:val="24"/>
        </w:rPr>
        <w:t> </w:t>
      </w:r>
      <w:r>
        <w:rPr>
          <w:rFonts w:ascii="Swis721 BT"/>
          <w:color w:val="005E63"/>
          <w:spacing w:val="-2"/>
          <w:sz w:val="24"/>
        </w:rPr>
        <w:t>RELATED </w:t>
      </w:r>
      <w:r>
        <w:rPr>
          <w:rFonts w:ascii="Swis721 BT"/>
          <w:color w:val="005E63"/>
          <w:spacing w:val="-4"/>
          <w:sz w:val="24"/>
        </w:rPr>
        <w:t>PARTY</w:t>
      </w:r>
      <w:r>
        <w:rPr>
          <w:rFonts w:ascii="Swis721 BT"/>
          <w:color w:val="005E63"/>
          <w:spacing w:val="-1"/>
          <w:sz w:val="24"/>
        </w:rPr>
        <w:t> DISCLOSURE</w:t>
      </w:r>
      <w:r>
        <w:rPr>
          <w:rFonts w:ascii="Swis721 BT"/>
          <w:sz w:val="24"/>
        </w:rPr>
      </w:r>
    </w:p>
    <w:p>
      <w:pPr>
        <w:pStyle w:val="BodyText"/>
        <w:spacing w:line="240" w:lineRule="auto" w:before="101"/>
        <w:ind w:left="113" w:right="0"/>
        <w:jc w:val="left"/>
      </w:pPr>
      <w:r>
        <w:rPr>
          <w:color w:val="231F20"/>
        </w:rPr>
        <w:t>Related parties to AITSL are key management personnel including Directors.</w:t>
      </w:r>
      <w:r>
        <w:rPr/>
      </w:r>
    </w:p>
    <w:p>
      <w:pPr>
        <w:pStyle w:val="BodyText"/>
        <w:spacing w:line="240" w:lineRule="auto"/>
        <w:ind w:left="113" w:right="157"/>
        <w:jc w:val="left"/>
      </w:pPr>
      <w:r>
        <w:rPr>
          <w:color w:val="231F20"/>
        </w:rPr>
        <w:t>Certain Directors and key management personnel of AITSL hold positions in other entities that result</w:t>
      </w:r>
      <w:r>
        <w:rPr>
          <w:color w:val="231F20"/>
          <w:spacing w:val="-2"/>
        </w:rPr>
        <w:t> </w:t>
      </w:r>
      <w:r>
        <w:rPr>
          <w:color w:val="231F20"/>
        </w:rPr>
        <w:t>in</w:t>
      </w:r>
      <w:r>
        <w:rPr>
          <w:color w:val="231F20"/>
          <w:spacing w:val="-2"/>
        </w:rPr>
        <w:t> </w:t>
      </w:r>
      <w:r>
        <w:rPr>
          <w:color w:val="231F20"/>
        </w:rPr>
        <w:t>them</w:t>
      </w:r>
      <w:r>
        <w:rPr>
          <w:color w:val="231F20"/>
          <w:spacing w:val="-1"/>
        </w:rPr>
        <w:t> </w:t>
      </w:r>
      <w:r>
        <w:rPr>
          <w:color w:val="231F20"/>
        </w:rPr>
        <w:t>having</w:t>
      </w:r>
      <w:r>
        <w:rPr>
          <w:color w:val="231F20"/>
          <w:spacing w:val="-2"/>
        </w:rPr>
        <w:t> </w:t>
      </w:r>
      <w:r>
        <w:rPr>
          <w:color w:val="231F20"/>
        </w:rPr>
        <w:t>significant</w:t>
      </w:r>
      <w:r>
        <w:rPr>
          <w:color w:val="231F20"/>
          <w:spacing w:val="-1"/>
        </w:rPr>
        <w:t> </w:t>
      </w:r>
      <w:r>
        <w:rPr>
          <w:color w:val="231F20"/>
        </w:rPr>
        <w:t>influence</w:t>
      </w:r>
      <w:r>
        <w:rPr>
          <w:color w:val="231F20"/>
          <w:spacing w:val="-2"/>
        </w:rPr>
        <w:t> </w:t>
      </w:r>
      <w:r>
        <w:rPr>
          <w:color w:val="231F20"/>
        </w:rPr>
        <w:t>over</w:t>
      </w:r>
      <w:r>
        <w:rPr>
          <w:color w:val="231F20"/>
          <w:spacing w:val="-2"/>
        </w:rPr>
        <w:t> </w:t>
      </w:r>
      <w:r>
        <w:rPr>
          <w:color w:val="231F20"/>
        </w:rPr>
        <w:t>the</w:t>
      </w:r>
      <w:r>
        <w:rPr>
          <w:color w:val="231F20"/>
          <w:spacing w:val="-1"/>
        </w:rPr>
        <w:t> </w:t>
      </w:r>
      <w:r>
        <w:rPr>
          <w:color w:val="231F20"/>
        </w:rPr>
        <w:t>financial</w:t>
      </w:r>
      <w:r>
        <w:rPr>
          <w:color w:val="231F20"/>
          <w:spacing w:val="-2"/>
        </w:rPr>
        <w:t> </w:t>
      </w:r>
      <w:r>
        <w:rPr>
          <w:color w:val="231F20"/>
        </w:rPr>
        <w:t>or</w:t>
      </w:r>
      <w:r>
        <w:rPr>
          <w:color w:val="231F20"/>
          <w:spacing w:val="-1"/>
        </w:rPr>
        <w:t> </w:t>
      </w:r>
      <w:r>
        <w:rPr>
          <w:color w:val="231F20"/>
        </w:rPr>
        <w:t>operating</w:t>
      </w:r>
      <w:r>
        <w:rPr>
          <w:color w:val="231F20"/>
          <w:spacing w:val="-2"/>
        </w:rPr>
        <w:t> </w:t>
      </w:r>
      <w:r>
        <w:rPr>
          <w:color w:val="231F20"/>
        </w:rPr>
        <w:t>policies</w:t>
      </w:r>
      <w:r>
        <w:rPr>
          <w:color w:val="231F20"/>
          <w:spacing w:val="-2"/>
        </w:rPr>
        <w:t> </w:t>
      </w:r>
      <w:r>
        <w:rPr>
          <w:color w:val="231F20"/>
        </w:rPr>
        <w:t>of</w:t>
      </w:r>
      <w:r>
        <w:rPr>
          <w:color w:val="231F20"/>
          <w:spacing w:val="-1"/>
        </w:rPr>
        <w:t> </w:t>
      </w:r>
      <w:r>
        <w:rPr>
          <w:color w:val="231F20"/>
        </w:rPr>
        <w:t>those</w:t>
      </w:r>
      <w:r>
        <w:rPr>
          <w:color w:val="231F20"/>
          <w:spacing w:val="-2"/>
        </w:rPr>
        <w:t> </w:t>
      </w:r>
      <w:r>
        <w:rPr>
          <w:color w:val="231F20"/>
        </w:rPr>
        <w:t>entities.</w:t>
      </w:r>
      <w:r>
        <w:rPr/>
      </w:r>
    </w:p>
    <w:p>
      <w:pPr>
        <w:pStyle w:val="BodyText"/>
        <w:spacing w:line="240" w:lineRule="auto"/>
        <w:ind w:left="113" w:right="157"/>
        <w:jc w:val="left"/>
      </w:pPr>
      <w:r>
        <w:rPr>
          <w:color w:val="231F20"/>
        </w:rPr>
        <w:t>A</w:t>
      </w:r>
      <w:r>
        <w:rPr>
          <w:color w:val="231F20"/>
          <w:spacing w:val="-1"/>
        </w:rPr>
        <w:t> </w:t>
      </w:r>
      <w:r>
        <w:rPr>
          <w:color w:val="231F20"/>
        </w:rPr>
        <w:t>number</w:t>
      </w:r>
      <w:r>
        <w:rPr>
          <w:color w:val="231F20"/>
          <w:spacing w:val="-1"/>
        </w:rPr>
        <w:t> </w:t>
      </w:r>
      <w:r>
        <w:rPr>
          <w:color w:val="231F20"/>
        </w:rPr>
        <w:t>of those</w:t>
      </w:r>
      <w:r>
        <w:rPr>
          <w:color w:val="231F20"/>
          <w:spacing w:val="-1"/>
        </w:rPr>
        <w:t> </w:t>
      </w:r>
      <w:r>
        <w:rPr>
          <w:color w:val="231F20"/>
        </w:rPr>
        <w:t>entities transacted</w:t>
      </w:r>
      <w:r>
        <w:rPr>
          <w:color w:val="231F20"/>
          <w:spacing w:val="-1"/>
        </w:rPr>
        <w:t> </w:t>
      </w:r>
      <w:r>
        <w:rPr>
          <w:color w:val="231F20"/>
        </w:rPr>
        <w:t>with AITSL</w:t>
      </w:r>
      <w:r>
        <w:rPr>
          <w:color w:val="231F20"/>
          <w:spacing w:val="-1"/>
        </w:rPr>
        <w:t> </w:t>
      </w:r>
      <w:r>
        <w:rPr>
          <w:color w:val="231F20"/>
        </w:rPr>
        <w:t>through the</w:t>
      </w:r>
      <w:r>
        <w:rPr>
          <w:color w:val="231F20"/>
          <w:spacing w:val="-1"/>
        </w:rPr>
        <w:t> </w:t>
      </w:r>
      <w:r>
        <w:rPr>
          <w:color w:val="231F20"/>
        </w:rPr>
        <w:t>financial </w:t>
      </w:r>
      <w:r>
        <w:rPr>
          <w:color w:val="231F20"/>
          <w:spacing w:val="-4"/>
        </w:rPr>
        <w:t>year.</w:t>
      </w:r>
      <w:r>
        <w:rPr>
          <w:color w:val="231F20"/>
          <w:spacing w:val="-1"/>
        </w:rPr>
        <w:t> </w:t>
      </w:r>
      <w:r>
        <w:rPr>
          <w:color w:val="231F20"/>
        </w:rPr>
        <w:t>These transactions</w:t>
      </w:r>
      <w:r>
        <w:rPr>
          <w:color w:val="231F20"/>
          <w:spacing w:val="22"/>
        </w:rPr>
        <w:t> </w:t>
      </w:r>
      <w:r>
        <w:rPr>
          <w:color w:val="231F20"/>
        </w:rPr>
        <w:t>may</w:t>
      </w:r>
      <w:r>
        <w:rPr>
          <w:color w:val="231F20"/>
          <w:spacing w:val="-1"/>
        </w:rPr>
        <w:t> </w:t>
      </w:r>
      <w:r>
        <w:rPr>
          <w:color w:val="231F20"/>
        </w:rPr>
        <w:t>be</w:t>
      </w:r>
      <w:r>
        <w:rPr>
          <w:color w:val="231F20"/>
          <w:spacing w:val="-1"/>
        </w:rPr>
        <w:t> </w:t>
      </w:r>
      <w:r>
        <w:rPr>
          <w:color w:val="231F20"/>
        </w:rPr>
        <w:t>significant due</w:t>
      </w:r>
      <w:r>
        <w:rPr>
          <w:color w:val="231F20"/>
          <w:spacing w:val="-1"/>
        </w:rPr>
        <w:t> </w:t>
      </w:r>
      <w:r>
        <w:rPr>
          <w:color w:val="231F20"/>
        </w:rPr>
        <w:t>to the</w:t>
      </w:r>
      <w:r>
        <w:rPr>
          <w:color w:val="231F20"/>
          <w:spacing w:val="-1"/>
        </w:rPr>
        <w:t> </w:t>
      </w:r>
      <w:r>
        <w:rPr>
          <w:color w:val="231F20"/>
        </w:rPr>
        <w:t>nature of</w:t>
      </w:r>
      <w:r>
        <w:rPr>
          <w:color w:val="231F20"/>
          <w:spacing w:val="-1"/>
        </w:rPr>
        <w:t> </w:t>
      </w:r>
      <w:r>
        <w:rPr>
          <w:color w:val="231F20"/>
        </w:rPr>
        <w:t>the industry</w:t>
      </w:r>
      <w:r>
        <w:rPr>
          <w:color w:val="231F20"/>
          <w:spacing w:val="-1"/>
        </w:rPr>
        <w:t> </w:t>
      </w:r>
      <w:r>
        <w:rPr>
          <w:color w:val="231F20"/>
        </w:rPr>
        <w:t>in which</w:t>
      </w:r>
      <w:r>
        <w:rPr>
          <w:color w:val="231F20"/>
          <w:spacing w:val="-1"/>
        </w:rPr>
        <w:t> </w:t>
      </w:r>
      <w:r>
        <w:rPr>
          <w:color w:val="231F20"/>
        </w:rPr>
        <w:t>AITSL operates</w:t>
      </w:r>
      <w:r>
        <w:rPr>
          <w:color w:val="231F20"/>
          <w:spacing w:val="-1"/>
        </w:rPr>
        <w:t> </w:t>
      </w:r>
      <w:r>
        <w:rPr>
          <w:color w:val="231F20"/>
        </w:rPr>
        <w:t>and the</w:t>
      </w:r>
      <w:r>
        <w:rPr>
          <w:color w:val="231F20"/>
          <w:spacing w:val="-1"/>
        </w:rPr>
        <w:t> </w:t>
      </w:r>
      <w:r>
        <w:rPr>
          <w:color w:val="231F20"/>
        </w:rPr>
        <w:t>broad</w:t>
      </w:r>
      <w:r>
        <w:rPr>
          <w:color w:val="231F20"/>
        </w:rPr>
        <w:t> industry representation of the persons nominated to the Board of Directors and employed as key management personnel. All of these transactions are carried out in compliance with the terms</w:t>
      </w:r>
      <w:r>
        <w:rPr/>
      </w:r>
    </w:p>
    <w:p>
      <w:pPr>
        <w:pStyle w:val="BodyText"/>
        <w:spacing w:line="240" w:lineRule="auto" w:before="0"/>
        <w:ind w:left="113" w:right="321"/>
        <w:jc w:val="left"/>
      </w:pPr>
      <w:r>
        <w:rPr>
          <w:color w:val="231F20"/>
        </w:rPr>
        <w:t>of</w:t>
      </w:r>
      <w:r>
        <w:rPr>
          <w:color w:val="231F20"/>
          <w:spacing w:val="-1"/>
        </w:rPr>
        <w:t> </w:t>
      </w:r>
      <w:r>
        <w:rPr>
          <w:color w:val="231F20"/>
        </w:rPr>
        <w:t>the Procurement</w:t>
      </w:r>
      <w:r>
        <w:rPr>
          <w:color w:val="231F20"/>
          <w:spacing w:val="-1"/>
        </w:rPr>
        <w:t> Policy</w:t>
      </w:r>
      <w:r>
        <w:rPr>
          <w:color w:val="231F20"/>
        </w:rPr>
        <w:t> and</w:t>
      </w:r>
      <w:r>
        <w:rPr>
          <w:color w:val="231F20"/>
          <w:spacing w:val="-1"/>
        </w:rPr>
        <w:t> </w:t>
      </w:r>
      <w:r>
        <w:rPr>
          <w:color w:val="231F20"/>
        </w:rPr>
        <w:t>Conflict of</w:t>
      </w:r>
      <w:r>
        <w:rPr>
          <w:color w:val="231F20"/>
          <w:spacing w:val="-1"/>
        </w:rPr>
        <w:t> </w:t>
      </w:r>
      <w:r>
        <w:rPr>
          <w:color w:val="231F20"/>
        </w:rPr>
        <w:t>Interest </w:t>
      </w:r>
      <w:r>
        <w:rPr>
          <w:color w:val="231F20"/>
          <w:spacing w:val="-1"/>
        </w:rPr>
        <w:t>Policy</w:t>
      </w:r>
      <w:r>
        <w:rPr>
          <w:color w:val="231F20"/>
        </w:rPr>
        <w:t> approved</w:t>
      </w:r>
      <w:r>
        <w:rPr>
          <w:color w:val="231F20"/>
          <w:spacing w:val="-1"/>
        </w:rPr>
        <w:t> </w:t>
      </w:r>
      <w:r>
        <w:rPr>
          <w:color w:val="231F20"/>
        </w:rPr>
        <w:t>by the</w:t>
      </w:r>
      <w:r>
        <w:rPr>
          <w:color w:val="231F20"/>
          <w:spacing w:val="-1"/>
        </w:rPr>
        <w:t> </w:t>
      </w:r>
      <w:r>
        <w:rPr>
          <w:color w:val="231F20"/>
        </w:rPr>
        <w:t>Board of</w:t>
      </w:r>
      <w:r>
        <w:rPr>
          <w:color w:val="231F20"/>
          <w:spacing w:val="-1"/>
        </w:rPr>
        <w:t> </w:t>
      </w:r>
      <w:r>
        <w:rPr>
          <w:color w:val="231F20"/>
        </w:rPr>
        <w:t>Directors</w:t>
      </w:r>
      <w:r>
        <w:rPr>
          <w:color w:val="231F20"/>
          <w:spacing w:val="20"/>
        </w:rPr>
        <w:t> </w:t>
      </w:r>
      <w:r>
        <w:rPr>
          <w:color w:val="231F20"/>
        </w:rPr>
        <w:t>and on terms and conditions that were no more favourable than those available, or which might</w:t>
      </w:r>
      <w:r>
        <w:rPr>
          <w:color w:val="231F20"/>
        </w:rPr>
        <w:t> reasonably be expected to be available, on similar transactions to non-related entities.</w:t>
      </w:r>
      <w:r>
        <w:rPr/>
      </w:r>
    </w:p>
    <w:p>
      <w:pPr>
        <w:pStyle w:val="BodyText"/>
        <w:spacing w:line="240" w:lineRule="auto"/>
        <w:ind w:left="113" w:right="157"/>
        <w:jc w:val="left"/>
      </w:pPr>
      <w:r>
        <w:rPr>
          <w:color w:val="231F20"/>
        </w:rPr>
        <w:t>The aggregate value of transactions and outstanding balances, including commitments, relating to</w:t>
      </w:r>
      <w:r>
        <w:rPr>
          <w:color w:val="231F20"/>
          <w:spacing w:val="-2"/>
        </w:rPr>
        <w:t> </w:t>
      </w:r>
      <w:r>
        <w:rPr>
          <w:color w:val="231F20"/>
        </w:rPr>
        <w:t>entities</w:t>
      </w:r>
      <w:r>
        <w:rPr>
          <w:color w:val="231F20"/>
          <w:spacing w:val="-1"/>
        </w:rPr>
        <w:t> </w:t>
      </w:r>
      <w:r>
        <w:rPr>
          <w:color w:val="231F20"/>
        </w:rPr>
        <w:t>over</w:t>
      </w:r>
      <w:r>
        <w:rPr>
          <w:color w:val="231F20"/>
          <w:spacing w:val="-2"/>
        </w:rPr>
        <w:t> </w:t>
      </w:r>
      <w:r>
        <w:rPr>
          <w:color w:val="231F20"/>
        </w:rPr>
        <w:t>which</w:t>
      </w:r>
      <w:r>
        <w:rPr>
          <w:color w:val="231F20"/>
          <w:spacing w:val="-1"/>
        </w:rPr>
        <w:t> </w:t>
      </w:r>
      <w:r>
        <w:rPr>
          <w:color w:val="231F20"/>
        </w:rPr>
        <w:t>related</w:t>
      </w:r>
      <w:r>
        <w:rPr>
          <w:color w:val="231F20"/>
          <w:spacing w:val="-2"/>
        </w:rPr>
        <w:t> </w:t>
      </w:r>
      <w:r>
        <w:rPr>
          <w:color w:val="231F20"/>
        </w:rPr>
        <w:t>parties</w:t>
      </w:r>
      <w:r>
        <w:rPr>
          <w:color w:val="231F20"/>
          <w:spacing w:val="-1"/>
        </w:rPr>
        <w:t> </w:t>
      </w:r>
      <w:r>
        <w:rPr>
          <w:color w:val="231F20"/>
        </w:rPr>
        <w:t>have</w:t>
      </w:r>
      <w:r>
        <w:rPr>
          <w:color w:val="231F20"/>
          <w:spacing w:val="-1"/>
        </w:rPr>
        <w:t> </w:t>
      </w:r>
      <w:r>
        <w:rPr>
          <w:color w:val="231F20"/>
        </w:rPr>
        <w:t>significant</w:t>
      </w:r>
      <w:r>
        <w:rPr>
          <w:color w:val="231F20"/>
          <w:spacing w:val="-2"/>
        </w:rPr>
        <w:t> </w:t>
      </w:r>
      <w:r>
        <w:rPr>
          <w:color w:val="231F20"/>
        </w:rPr>
        <w:t>influence</w:t>
      </w:r>
      <w:r>
        <w:rPr>
          <w:color w:val="231F20"/>
          <w:spacing w:val="-1"/>
        </w:rPr>
        <w:t> </w:t>
      </w:r>
      <w:r>
        <w:rPr>
          <w:color w:val="231F20"/>
        </w:rPr>
        <w:t>were</w:t>
      </w:r>
      <w:r>
        <w:rPr>
          <w:color w:val="231F20"/>
          <w:spacing w:val="-2"/>
        </w:rPr>
        <w:t> </w:t>
      </w:r>
      <w:r>
        <w:rPr>
          <w:color w:val="231F20"/>
        </w:rPr>
        <w:t>as</w:t>
      </w:r>
      <w:r>
        <w:rPr>
          <w:color w:val="231F20"/>
          <w:spacing w:val="-1"/>
        </w:rPr>
        <w:t> </w:t>
      </w:r>
      <w:r>
        <w:rPr>
          <w:color w:val="231F20"/>
        </w:rPr>
        <w:t>follows:</w:t>
      </w:r>
      <w:r>
        <w:rPr/>
      </w:r>
    </w:p>
    <w:p>
      <w:pPr>
        <w:spacing w:line="240" w:lineRule="auto" w:before="5"/>
        <w:rPr>
          <w:rFonts w:ascii="Swis721 Lt BT" w:hAnsi="Swis721 Lt BT" w:cs="Swis721 Lt BT" w:eastAsia="Swis721 Lt BT"/>
          <w:sz w:val="12"/>
          <w:szCs w:val="12"/>
        </w:rPr>
      </w:pPr>
    </w:p>
    <w:p>
      <w:pPr>
        <w:spacing w:line="200" w:lineRule="atLeast"/>
        <w:ind w:left="113"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399.7pt;height:25.7pt;mso-position-horizontal-relative:char;mso-position-vertical-relative:line" coordorigin="0,0" coordsize="7994,514">
            <v:group style="position:absolute;left:0;top:0;width:3028;height:514" coordorigin="0,0" coordsize="3028,514">
              <v:shape style="position:absolute;left:0;top:0;width:3028;height:514" coordorigin="0,0" coordsize="3028,514" path="m3027,0l0,0,0,514,3027,514,3027,0xe" filled="true" fillcolor="#ebf0c9" stroked="false">
                <v:path arrowok="t"/>
                <v:fill type="solid"/>
              </v:shape>
            </v:group>
            <v:group style="position:absolute;left:3027;top:0;width:2472;height:514" coordorigin="3027,0" coordsize="2472,514">
              <v:shape style="position:absolute;left:3027;top:0;width:2472;height:514" coordorigin="3027,0" coordsize="2472,514" path="m5499,0l3027,0,3027,514,5499,514,5499,0xe" filled="true" fillcolor="#ebf0c9" stroked="false">
                <v:path arrowok="t"/>
                <v:fill type="solid"/>
              </v:shape>
            </v:group>
            <v:group style="position:absolute;left:5499;top:0;width:2495;height:514" coordorigin="5499,0" coordsize="2495,514">
              <v:shape style="position:absolute;left:5499;top:0;width:2495;height:514" coordorigin="5499,0" coordsize="2495,514" path="m7994,0l5499,0,5499,514,7994,514,7994,0xe" filled="true" fillcolor="#ebf0c9" stroked="false">
                <v:path arrowok="t"/>
                <v:fill type="solid"/>
              </v:shape>
              <v:shape style="position:absolute;left:4232;top:73;width:1187;height:396" type="#_x0000_t202" filled="false" stroked="false">
                <v:textbox inset="0,0,0,0">
                  <w:txbxContent>
                    <w:p>
                      <w:pPr>
                        <w:spacing w:line="187" w:lineRule="exact" w:before="0"/>
                        <w:ind w:left="264" w:right="0" w:hanging="265"/>
                        <w:jc w:val="left"/>
                        <w:rPr>
                          <w:rFonts w:ascii="Swis721 Cn BT" w:hAnsi="Swis721 Cn BT" w:cs="Swis721 Cn BT" w:eastAsia="Swis721 Cn BT"/>
                          <w:sz w:val="18"/>
                          <w:szCs w:val="18"/>
                        </w:rPr>
                      </w:pPr>
                      <w:r>
                        <w:rPr>
                          <w:rFonts w:ascii="Swis721 Cn BT"/>
                          <w:color w:val="303B41"/>
                          <w:spacing w:val="-2"/>
                          <w:sz w:val="18"/>
                        </w:rPr>
                        <w:t>Transaction</w:t>
                      </w:r>
                      <w:r>
                        <w:rPr>
                          <w:rFonts w:ascii="Swis721 Cn BT"/>
                          <w:color w:val="303B41"/>
                          <w:sz w:val="18"/>
                        </w:rPr>
                        <w:t> value</w:t>
                      </w:r>
                      <w:r>
                        <w:rPr>
                          <w:rFonts w:ascii="Swis721 Cn BT"/>
                          <w:sz w:val="18"/>
                        </w:rPr>
                      </w:r>
                    </w:p>
                    <w:p>
                      <w:pPr>
                        <w:spacing w:line="209" w:lineRule="exact" w:before="0"/>
                        <w:ind w:left="264" w:right="0" w:firstLine="0"/>
                        <w:jc w:val="left"/>
                        <w:rPr>
                          <w:rFonts w:ascii="Swis721 Cn BT" w:hAnsi="Swis721 Cn BT" w:cs="Swis721 Cn BT" w:eastAsia="Swis721 Cn BT"/>
                          <w:sz w:val="18"/>
                          <w:szCs w:val="18"/>
                        </w:rPr>
                      </w:pPr>
                      <w:r>
                        <w:rPr>
                          <w:rFonts w:ascii="Swis721 Cn BT"/>
                          <w:color w:val="303B41"/>
                          <w:sz w:val="18"/>
                        </w:rPr>
                        <w:t>as at 30 June</w:t>
                      </w:r>
                      <w:r>
                        <w:rPr>
                          <w:rFonts w:ascii="Swis721 Cn BT"/>
                          <w:sz w:val="18"/>
                        </w:rPr>
                      </w:r>
                    </w:p>
                  </w:txbxContent>
                </v:textbox>
                <w10:wrap type="none"/>
              </v:shape>
              <v:shape style="position:absolute;left:6514;top:73;width:1400;height:396" type="#_x0000_t202" filled="false" stroked="false">
                <v:textbox inset="0,0,0,0">
                  <w:txbxContent>
                    <w:p>
                      <w:pPr>
                        <w:spacing w:line="187" w:lineRule="exact" w:before="0"/>
                        <w:ind w:left="0" w:right="0" w:firstLine="0"/>
                        <w:jc w:val="left"/>
                        <w:rPr>
                          <w:rFonts w:ascii="Swis721 Cn BT" w:hAnsi="Swis721 Cn BT" w:cs="Swis721 Cn BT" w:eastAsia="Swis721 Cn BT"/>
                          <w:sz w:val="18"/>
                          <w:szCs w:val="18"/>
                        </w:rPr>
                      </w:pPr>
                      <w:r>
                        <w:rPr>
                          <w:rFonts w:ascii="Swis721 Cn BT"/>
                          <w:color w:val="303B41"/>
                          <w:sz w:val="18"/>
                        </w:rPr>
                        <w:t>Balance Outstanding</w:t>
                      </w:r>
                      <w:r>
                        <w:rPr>
                          <w:rFonts w:ascii="Swis721 Cn BT"/>
                          <w:sz w:val="18"/>
                        </w:rPr>
                      </w:r>
                    </w:p>
                    <w:p>
                      <w:pPr>
                        <w:spacing w:line="209" w:lineRule="exact" w:before="0"/>
                        <w:ind w:left="477" w:right="0" w:firstLine="0"/>
                        <w:jc w:val="left"/>
                        <w:rPr>
                          <w:rFonts w:ascii="Swis721 Cn BT" w:hAnsi="Swis721 Cn BT" w:cs="Swis721 Cn BT" w:eastAsia="Swis721 Cn BT"/>
                          <w:sz w:val="18"/>
                          <w:szCs w:val="18"/>
                        </w:rPr>
                      </w:pPr>
                      <w:r>
                        <w:rPr>
                          <w:rFonts w:ascii="Swis721 Cn BT"/>
                          <w:color w:val="303B41"/>
                          <w:sz w:val="18"/>
                        </w:rPr>
                        <w:t>as at 30 June</w:t>
                      </w:r>
                      <w:r>
                        <w:rPr>
                          <w:rFonts w:ascii="Swis721 Cn BT"/>
                          <w:sz w:val="18"/>
                        </w:rPr>
                      </w:r>
                    </w:p>
                  </w:txbxContent>
                </v:textbox>
                <w10:wrap type="none"/>
              </v:shape>
            </v:group>
          </v:group>
        </w:pict>
      </w:r>
      <w:r>
        <w:rPr>
          <w:rFonts w:ascii="Swis721 Lt BT" w:hAnsi="Swis721 Lt BT" w:cs="Swis721 Lt BT" w:eastAsia="Swis721 Lt BT"/>
          <w:sz w:val="20"/>
          <w:szCs w:val="20"/>
        </w:rPr>
      </w:r>
    </w:p>
    <w:tbl>
      <w:tblPr>
        <w:tblW w:w="0" w:type="auto"/>
        <w:jc w:val="left"/>
        <w:tblInd w:w="113" w:type="dxa"/>
        <w:tblLayout w:type="fixed"/>
        <w:tblCellMar>
          <w:top w:w="0" w:type="dxa"/>
          <w:left w:w="0" w:type="dxa"/>
          <w:bottom w:w="0" w:type="dxa"/>
          <w:right w:w="0" w:type="dxa"/>
        </w:tblCellMar>
        <w:tblLook w:val="01E0"/>
      </w:tblPr>
      <w:tblGrid>
        <w:gridCol w:w="3092"/>
        <w:gridCol w:w="1382"/>
        <w:gridCol w:w="1390"/>
        <w:gridCol w:w="1184"/>
        <w:gridCol w:w="946"/>
      </w:tblGrid>
      <w:tr>
        <w:trPr>
          <w:trHeight w:val="271" w:hRule="exact"/>
        </w:trPr>
        <w:tc>
          <w:tcPr>
            <w:tcW w:w="3092" w:type="dxa"/>
            <w:vMerge w:val="restart"/>
            <w:tcBorders>
              <w:top w:val="nil" w:sz="6" w:space="0" w:color="auto"/>
              <w:left w:val="nil" w:sz="6" w:space="0" w:color="auto"/>
              <w:right w:val="nil" w:sz="6" w:space="0" w:color="auto"/>
            </w:tcBorders>
            <w:shd w:val="clear" w:color="auto" w:fill="BFD22B"/>
          </w:tcPr>
          <w:p>
            <w:pPr/>
          </w:p>
        </w:tc>
        <w:tc>
          <w:tcPr>
            <w:tcW w:w="1382"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721" w:right="0"/>
              <w:jc w:val="left"/>
              <w:rPr>
                <w:rFonts w:ascii="Swis721 Cn BT" w:hAnsi="Swis721 Cn BT" w:cs="Swis721 Cn BT" w:eastAsia="Swis721 Cn BT"/>
                <w:sz w:val="18"/>
                <w:szCs w:val="18"/>
              </w:rPr>
            </w:pPr>
            <w:r>
              <w:rPr>
                <w:rFonts w:ascii="Swis721 Cn BT"/>
                <w:color w:val="303B41"/>
                <w:sz w:val="18"/>
              </w:rPr>
              <w:t>2019</w:t>
            </w:r>
            <w:r>
              <w:rPr>
                <w:rFonts w:ascii="Swis721 Cn BT"/>
                <w:sz w:val="18"/>
              </w:rPr>
            </w:r>
          </w:p>
        </w:tc>
        <w:tc>
          <w:tcPr>
            <w:tcW w:w="1390"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586" w:right="0"/>
              <w:jc w:val="left"/>
              <w:rPr>
                <w:rFonts w:ascii="Swis721 Cn BT" w:hAnsi="Swis721 Cn BT" w:cs="Swis721 Cn BT" w:eastAsia="Swis721 Cn BT"/>
                <w:sz w:val="18"/>
                <w:szCs w:val="18"/>
              </w:rPr>
            </w:pPr>
            <w:r>
              <w:rPr>
                <w:rFonts w:ascii="Swis721 Cn BT"/>
                <w:color w:val="303B41"/>
                <w:sz w:val="18"/>
              </w:rPr>
              <w:t>2018</w:t>
            </w:r>
            <w:r>
              <w:rPr>
                <w:rFonts w:ascii="Swis721 Cn BT"/>
                <w:sz w:val="18"/>
              </w:rPr>
            </w:r>
          </w:p>
        </w:tc>
        <w:tc>
          <w:tcPr>
            <w:tcW w:w="1184"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443" w:right="0"/>
              <w:jc w:val="left"/>
              <w:rPr>
                <w:rFonts w:ascii="Swis721 Cn BT" w:hAnsi="Swis721 Cn BT" w:cs="Swis721 Cn BT" w:eastAsia="Swis721 Cn BT"/>
                <w:sz w:val="18"/>
                <w:szCs w:val="18"/>
              </w:rPr>
            </w:pPr>
            <w:r>
              <w:rPr>
                <w:rFonts w:ascii="Swis721 Cn BT"/>
                <w:color w:val="303B41"/>
                <w:sz w:val="18"/>
              </w:rPr>
              <w:t>2019</w:t>
            </w:r>
            <w:r>
              <w:rPr>
                <w:rFonts w:ascii="Swis721 Cn BT"/>
                <w:sz w:val="18"/>
              </w:rPr>
            </w:r>
          </w:p>
        </w:tc>
        <w:tc>
          <w:tcPr>
            <w:tcW w:w="94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left="507" w:right="0"/>
              <w:jc w:val="left"/>
              <w:rPr>
                <w:rFonts w:ascii="Swis721 Cn BT" w:hAnsi="Swis721 Cn BT" w:cs="Swis721 Cn BT" w:eastAsia="Swis721 Cn BT"/>
                <w:sz w:val="18"/>
                <w:szCs w:val="18"/>
              </w:rPr>
            </w:pPr>
            <w:r>
              <w:rPr>
                <w:rFonts w:ascii="Swis721 Cn BT"/>
                <w:color w:val="303B41"/>
                <w:sz w:val="18"/>
              </w:rPr>
              <w:t>2018</w:t>
            </w:r>
            <w:r>
              <w:rPr>
                <w:rFonts w:ascii="Swis721 Cn BT"/>
                <w:sz w:val="18"/>
              </w:rPr>
            </w:r>
          </w:p>
        </w:tc>
      </w:tr>
      <w:tr>
        <w:trPr>
          <w:trHeight w:val="243" w:hRule="exact"/>
        </w:trPr>
        <w:tc>
          <w:tcPr>
            <w:tcW w:w="3092" w:type="dxa"/>
            <w:vMerge/>
            <w:tcBorders>
              <w:left w:val="nil" w:sz="6" w:space="0" w:color="auto"/>
              <w:bottom w:val="nil" w:sz="6" w:space="0" w:color="auto"/>
              <w:right w:val="nil" w:sz="6" w:space="0" w:color="auto"/>
            </w:tcBorders>
            <w:shd w:val="clear" w:color="auto" w:fill="BFD22B"/>
          </w:tcPr>
          <w:p>
            <w:pPr/>
          </w:p>
        </w:tc>
        <w:tc>
          <w:tcPr>
            <w:tcW w:w="1382"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right="300"/>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390"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855" w:right="0"/>
              <w:jc w:val="left"/>
              <w:rPr>
                <w:rFonts w:ascii="Swis721 Cn BT" w:hAnsi="Swis721 Cn BT" w:cs="Swis721 Cn BT" w:eastAsia="Swis721 Cn BT"/>
                <w:sz w:val="18"/>
                <w:szCs w:val="18"/>
              </w:rPr>
            </w:pPr>
            <w:r>
              <w:rPr>
                <w:rFonts w:ascii="Swis721 Cn BT"/>
                <w:color w:val="303B41"/>
                <w:sz w:val="18"/>
              </w:rPr>
              <w:t>$</w:t>
            </w:r>
            <w:r>
              <w:rPr>
                <w:rFonts w:ascii="Swis721 Cn BT"/>
                <w:sz w:val="18"/>
              </w:rPr>
            </w:r>
          </w:p>
        </w:tc>
        <w:tc>
          <w:tcPr>
            <w:tcW w:w="1184"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left="712" w:right="0"/>
              <w:jc w:val="left"/>
              <w:rPr>
                <w:rFonts w:ascii="Swis721 Cn BT" w:hAnsi="Swis721 Cn BT" w:cs="Swis721 Cn BT" w:eastAsia="Swis721 Cn BT"/>
                <w:sz w:val="18"/>
                <w:szCs w:val="18"/>
              </w:rPr>
            </w:pPr>
            <w:r>
              <w:rPr>
                <w:rFonts w:ascii="Swis721 Cn BT"/>
                <w:color w:val="303B41"/>
                <w:sz w:val="18"/>
              </w:rPr>
              <w:t>$</w:t>
            </w:r>
            <w:r>
              <w:rPr>
                <w:rFonts w:ascii="Swis721 Cn BT"/>
                <w:sz w:val="18"/>
              </w:rPr>
            </w:r>
          </w:p>
        </w:tc>
        <w:tc>
          <w:tcPr>
            <w:tcW w:w="946"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05" w:lineRule="exact"/>
              <w:ind w:right="79"/>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r>
      <w:tr>
        <w:trPr>
          <w:trHeight w:val="371" w:hRule="exact"/>
        </w:trPr>
        <w:tc>
          <w:tcPr>
            <w:tcW w:w="3092" w:type="dxa"/>
            <w:tcBorders>
              <w:top w:val="nil" w:sz="6" w:space="0" w:color="auto"/>
              <w:left w:val="nil" w:sz="6" w:space="0" w:color="auto"/>
              <w:bottom w:val="single" w:sz="8" w:space="0" w:color="848B91"/>
              <w:right w:val="nil" w:sz="6" w:space="0" w:color="auto"/>
            </w:tcBorders>
          </w:tcPr>
          <w:p>
            <w:pPr>
              <w:pStyle w:val="TableParagraph"/>
              <w:spacing w:line="240" w:lineRule="auto" w:before="76"/>
              <w:ind w:right="0"/>
              <w:jc w:val="left"/>
              <w:rPr>
                <w:rFonts w:ascii="Swis721 Md BT" w:hAnsi="Swis721 Md BT" w:cs="Swis721 Md BT" w:eastAsia="Swis721 Md BT"/>
                <w:sz w:val="18"/>
                <w:szCs w:val="18"/>
              </w:rPr>
            </w:pPr>
            <w:r>
              <w:rPr>
                <w:rFonts w:ascii="Swis721 Md BT"/>
                <w:color w:val="231F20"/>
                <w:sz w:val="18"/>
              </w:rPr>
              <w:t>Purchase of goods and services</w:t>
            </w:r>
            <w:r>
              <w:rPr>
                <w:rFonts w:ascii="Swis721 Md BT"/>
                <w:sz w:val="18"/>
              </w:rPr>
            </w:r>
          </w:p>
        </w:tc>
        <w:tc>
          <w:tcPr>
            <w:tcW w:w="1382" w:type="dxa"/>
            <w:tcBorders>
              <w:top w:val="nil" w:sz="6" w:space="0" w:color="auto"/>
              <w:left w:val="nil" w:sz="6" w:space="0" w:color="auto"/>
              <w:bottom w:val="single" w:sz="8" w:space="0" w:color="848B91"/>
              <w:right w:val="nil" w:sz="6" w:space="0" w:color="auto"/>
            </w:tcBorders>
          </w:tcPr>
          <w:p>
            <w:pPr>
              <w:pStyle w:val="TableParagraph"/>
              <w:spacing w:line="240" w:lineRule="auto" w:before="76"/>
              <w:ind w:left="436" w:right="0"/>
              <w:jc w:val="left"/>
              <w:rPr>
                <w:rFonts w:ascii="Swis721 Md BT" w:hAnsi="Swis721 Md BT" w:cs="Swis721 Md BT" w:eastAsia="Swis721 Md BT"/>
                <w:sz w:val="18"/>
                <w:szCs w:val="18"/>
              </w:rPr>
            </w:pPr>
            <w:r>
              <w:rPr>
                <w:rFonts w:ascii="Swis721 Md BT"/>
                <w:color w:val="231F20"/>
                <w:sz w:val="18"/>
              </w:rPr>
              <w:t>110,209</w:t>
            </w:r>
            <w:r>
              <w:rPr>
                <w:rFonts w:ascii="Swis721 Md BT"/>
                <w:sz w:val="18"/>
              </w:rPr>
            </w:r>
          </w:p>
        </w:tc>
        <w:tc>
          <w:tcPr>
            <w:tcW w:w="1390" w:type="dxa"/>
            <w:tcBorders>
              <w:top w:val="nil" w:sz="6" w:space="0" w:color="auto"/>
              <w:left w:val="nil" w:sz="6" w:space="0" w:color="auto"/>
              <w:bottom w:val="single" w:sz="8" w:space="0" w:color="848B91"/>
              <w:right w:val="nil" w:sz="6" w:space="0" w:color="auto"/>
            </w:tcBorders>
          </w:tcPr>
          <w:p>
            <w:pPr>
              <w:pStyle w:val="TableParagraph"/>
              <w:spacing w:line="240" w:lineRule="auto" w:before="76"/>
              <w:ind w:left="294" w:right="0"/>
              <w:jc w:val="left"/>
              <w:rPr>
                <w:rFonts w:ascii="Swis721 Md BT" w:hAnsi="Swis721 Md BT" w:cs="Swis721 Md BT" w:eastAsia="Swis721 Md BT"/>
                <w:sz w:val="18"/>
                <w:szCs w:val="18"/>
              </w:rPr>
            </w:pPr>
            <w:r>
              <w:rPr>
                <w:rFonts w:ascii="Swis721 Md BT"/>
                <w:color w:val="231F20"/>
                <w:sz w:val="18"/>
              </w:rPr>
              <w:t>392,400</w:t>
            </w:r>
            <w:r>
              <w:rPr>
                <w:rFonts w:ascii="Swis721 Md BT"/>
                <w:sz w:val="18"/>
              </w:rPr>
            </w:r>
          </w:p>
        </w:tc>
        <w:tc>
          <w:tcPr>
            <w:tcW w:w="1184" w:type="dxa"/>
            <w:tcBorders>
              <w:top w:val="nil" w:sz="6" w:space="0" w:color="auto"/>
              <w:left w:val="nil" w:sz="6" w:space="0" w:color="auto"/>
              <w:bottom w:val="single" w:sz="8" w:space="0" w:color="848B91"/>
              <w:right w:val="nil" w:sz="6" w:space="0" w:color="auto"/>
            </w:tcBorders>
          </w:tcPr>
          <w:p>
            <w:pPr>
              <w:pStyle w:val="TableParagraph"/>
              <w:spacing w:line="240" w:lineRule="auto" w:before="76"/>
              <w:ind w:left="738" w:right="0"/>
              <w:jc w:val="left"/>
              <w:rPr>
                <w:rFonts w:ascii="Swis721 Md BT" w:hAnsi="Swis721 Md BT" w:cs="Swis721 Md BT" w:eastAsia="Swis721 Md BT"/>
                <w:sz w:val="18"/>
                <w:szCs w:val="18"/>
              </w:rPr>
            </w:pPr>
            <w:r>
              <w:rPr>
                <w:rFonts w:ascii="Swis721 Md BT"/>
                <w:color w:val="231F20"/>
                <w:sz w:val="18"/>
              </w:rPr>
              <w:t>-</w:t>
            </w:r>
            <w:r>
              <w:rPr>
                <w:rFonts w:ascii="Swis721 Md BT"/>
                <w:sz w:val="18"/>
              </w:rPr>
            </w:r>
          </w:p>
        </w:tc>
        <w:tc>
          <w:tcPr>
            <w:tcW w:w="946" w:type="dxa"/>
            <w:tcBorders>
              <w:top w:val="nil" w:sz="6" w:space="0" w:color="auto"/>
              <w:left w:val="nil" w:sz="6" w:space="0" w:color="auto"/>
              <w:bottom w:val="single" w:sz="8" w:space="0" w:color="848B91"/>
              <w:right w:val="nil" w:sz="6" w:space="0" w:color="auto"/>
            </w:tcBorders>
          </w:tcPr>
          <w:p>
            <w:pPr>
              <w:pStyle w:val="TableParagraph"/>
              <w:spacing w:line="240" w:lineRule="auto" w:before="76"/>
              <w:ind w:left="381" w:right="0"/>
              <w:jc w:val="left"/>
              <w:rPr>
                <w:rFonts w:ascii="Swis721 Md BT" w:hAnsi="Swis721 Md BT" w:cs="Swis721 Md BT" w:eastAsia="Swis721 Md BT"/>
                <w:sz w:val="18"/>
                <w:szCs w:val="18"/>
              </w:rPr>
            </w:pPr>
            <w:r>
              <w:rPr>
                <w:rFonts w:ascii="Swis721 Md BT"/>
                <w:color w:val="231F20"/>
                <w:sz w:val="18"/>
              </w:rPr>
              <w:t>4,274</w:t>
            </w:r>
            <w:r>
              <w:rPr>
                <w:rFonts w:ascii="Swis721 Md BT"/>
                <w:sz w:val="18"/>
              </w:rPr>
            </w:r>
          </w:p>
        </w:tc>
      </w:tr>
    </w:tbl>
    <w:p>
      <w:pPr>
        <w:spacing w:after="0" w:line="240" w:lineRule="auto"/>
        <w:jc w:val="left"/>
        <w:rPr>
          <w:rFonts w:ascii="Swis721 Md BT" w:hAnsi="Swis721 Md BT" w:cs="Swis721 Md BT" w:eastAsia="Swis721 Md BT"/>
          <w:sz w:val="18"/>
          <w:szCs w:val="18"/>
        </w:rPr>
        <w:sectPr>
          <w:pgSz w:w="9980" w:h="14180"/>
          <w:pgMar w:header="0" w:footer="452" w:top="360" w:bottom="640" w:left="1020" w:right="740"/>
        </w:sectPr>
      </w:pPr>
    </w:p>
    <w:p>
      <w:pPr>
        <w:spacing w:line="240" w:lineRule="auto" w:before="8"/>
        <w:rPr>
          <w:rFonts w:ascii="Swis721 Lt BT" w:hAnsi="Swis721 Lt BT" w:cs="Swis721 Lt BT" w:eastAsia="Swis721 Lt BT"/>
          <w:sz w:val="6"/>
          <w:szCs w:val="6"/>
        </w:rPr>
      </w:pPr>
    </w:p>
    <w:tbl>
      <w:tblPr>
        <w:tblW w:w="0" w:type="auto"/>
        <w:jc w:val="left"/>
        <w:tblInd w:w="110" w:type="dxa"/>
        <w:tblLayout w:type="fixed"/>
        <w:tblCellMar>
          <w:top w:w="0" w:type="dxa"/>
          <w:left w:w="0" w:type="dxa"/>
          <w:bottom w:w="0" w:type="dxa"/>
          <w:right w:w="0" w:type="dxa"/>
        </w:tblCellMar>
        <w:tblLook w:val="01E0"/>
      </w:tblPr>
      <w:tblGrid>
        <w:gridCol w:w="5499"/>
        <w:gridCol w:w="1373"/>
        <w:gridCol w:w="1121"/>
      </w:tblGrid>
      <w:tr>
        <w:trPr>
          <w:trHeight w:val="600" w:hRule="exact"/>
        </w:trPr>
        <w:tc>
          <w:tcPr>
            <w:tcW w:w="5499" w:type="dxa"/>
            <w:tcBorders>
              <w:top w:val="nil" w:sz="6" w:space="0" w:color="auto"/>
              <w:left w:val="nil" w:sz="6" w:space="0" w:color="auto"/>
              <w:bottom w:val="nil" w:sz="6" w:space="0" w:color="auto"/>
              <w:right w:val="nil" w:sz="6" w:space="0" w:color="auto"/>
            </w:tcBorders>
          </w:tcPr>
          <w:p>
            <w:pPr>
              <w:pStyle w:val="TableParagraph"/>
              <w:spacing w:line="240" w:lineRule="auto" w:before="61"/>
              <w:ind w:left="-1" w:right="0"/>
              <w:jc w:val="left"/>
              <w:rPr>
                <w:rFonts w:ascii="Swis721 BT" w:hAnsi="Swis721 BT" w:cs="Swis721 BT" w:eastAsia="Swis721 BT"/>
                <w:sz w:val="24"/>
                <w:szCs w:val="24"/>
              </w:rPr>
            </w:pPr>
            <w:bookmarkStart w:name="NOTE 10. FINANCIAL INSTRUMENTS" w:id="37"/>
            <w:bookmarkEnd w:id="37"/>
            <w:r>
              <w:rPr/>
            </w:r>
            <w:r>
              <w:rPr>
                <w:rFonts w:ascii="Swis721 Hv BT"/>
                <w:b/>
                <w:color w:val="005E63"/>
                <w:sz w:val="24"/>
              </w:rPr>
              <w:t>NOTE</w:t>
            </w:r>
            <w:r>
              <w:rPr>
                <w:rFonts w:ascii="Swis721 Hv BT"/>
                <w:b/>
                <w:color w:val="005E63"/>
                <w:spacing w:val="-3"/>
                <w:sz w:val="24"/>
              </w:rPr>
              <w:t> </w:t>
            </w:r>
            <w:r>
              <w:rPr>
                <w:rFonts w:ascii="Swis721 Hv BT"/>
                <w:b/>
                <w:color w:val="005E63"/>
                <w:sz w:val="24"/>
              </w:rPr>
              <w:t>10.</w:t>
            </w:r>
            <w:r>
              <w:rPr>
                <w:rFonts w:ascii="Swis721 Hv BT"/>
                <w:b/>
                <w:color w:val="005E63"/>
                <w:spacing w:val="-8"/>
                <w:sz w:val="24"/>
              </w:rPr>
              <w:t> </w:t>
            </w:r>
            <w:r>
              <w:rPr>
                <w:rFonts w:ascii="Swis721 BT"/>
                <w:color w:val="005E63"/>
                <w:sz w:val="24"/>
              </w:rPr>
              <w:t>FINANCIAL</w:t>
            </w:r>
            <w:r>
              <w:rPr>
                <w:rFonts w:ascii="Swis721 BT"/>
                <w:color w:val="005E63"/>
                <w:spacing w:val="-2"/>
                <w:sz w:val="24"/>
              </w:rPr>
              <w:t> </w:t>
            </w:r>
            <w:r>
              <w:rPr>
                <w:rFonts w:ascii="Swis721 BT"/>
                <w:color w:val="005E63"/>
                <w:sz w:val="24"/>
              </w:rPr>
              <w:t>INSTRUMENTS</w:t>
            </w:r>
            <w:r>
              <w:rPr>
                <w:rFonts w:ascii="Swis721 BT"/>
                <w:sz w:val="24"/>
              </w:rPr>
            </w:r>
          </w:p>
        </w:tc>
        <w:tc>
          <w:tcPr>
            <w:tcW w:w="2494" w:type="dxa"/>
            <w:gridSpan w:val="2"/>
            <w:tcBorders>
              <w:top w:val="nil" w:sz="6" w:space="0" w:color="auto"/>
              <w:left w:val="nil" w:sz="6" w:space="0" w:color="auto"/>
              <w:bottom w:val="nil" w:sz="6" w:space="0" w:color="auto"/>
              <w:right w:val="nil" w:sz="6" w:space="0" w:color="auto"/>
            </w:tcBorders>
          </w:tcPr>
          <w:p>
            <w:pPr/>
          </w:p>
        </w:tc>
      </w:tr>
      <w:tr>
        <w:trPr>
          <w:trHeight w:val="514" w:hRule="exact"/>
        </w:trPr>
        <w:tc>
          <w:tcPr>
            <w:tcW w:w="5499" w:type="dxa"/>
            <w:tcBorders>
              <w:top w:val="nil" w:sz="6" w:space="0" w:color="auto"/>
              <w:left w:val="nil" w:sz="6" w:space="0" w:color="auto"/>
              <w:bottom w:val="nil" w:sz="6" w:space="0" w:color="auto"/>
              <w:right w:val="single" w:sz="1" w:space="0" w:color="BFD22B"/>
            </w:tcBorders>
            <w:shd w:val="clear" w:color="auto" w:fill="BFD22B"/>
          </w:tcPr>
          <w:p>
            <w:pPr/>
          </w:p>
        </w:tc>
        <w:tc>
          <w:tcPr>
            <w:tcW w:w="1373" w:type="dxa"/>
            <w:tcBorders>
              <w:top w:val="nil" w:sz="6" w:space="0" w:color="auto"/>
              <w:left w:val="single" w:sz="1" w:space="0" w:color="BFD22B"/>
              <w:bottom w:val="nil" w:sz="6" w:space="0" w:color="auto"/>
              <w:right w:val="nil" w:sz="6" w:space="0" w:color="auto"/>
            </w:tcBorders>
            <w:shd w:val="clear" w:color="auto" w:fill="BFD22B"/>
          </w:tcPr>
          <w:p>
            <w:pPr>
              <w:pStyle w:val="TableParagraph"/>
              <w:spacing w:line="240" w:lineRule="auto" w:before="44"/>
              <w:ind w:right="204"/>
              <w:jc w:val="right"/>
              <w:rPr>
                <w:rFonts w:ascii="Swis721 Cn BT" w:hAnsi="Swis721 Cn BT" w:cs="Swis721 Cn BT" w:eastAsia="Swis721 Cn BT"/>
                <w:sz w:val="18"/>
                <w:szCs w:val="18"/>
              </w:rPr>
            </w:pPr>
            <w:r>
              <w:rPr>
                <w:rFonts w:ascii="Swis721 Cn BT"/>
                <w:color w:val="303B41"/>
                <w:w w:val="95"/>
                <w:sz w:val="18"/>
              </w:rPr>
              <w:t>2019</w:t>
            </w:r>
            <w:r>
              <w:rPr>
                <w:rFonts w:ascii="Swis721 Cn BT"/>
                <w:sz w:val="18"/>
              </w:rPr>
            </w:r>
          </w:p>
          <w:p>
            <w:pPr>
              <w:pStyle w:val="TableParagraph"/>
              <w:spacing w:line="240" w:lineRule="auto"/>
              <w:ind w:right="204"/>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121"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8"/>
              <w:jc w:val="right"/>
              <w:rPr>
                <w:rFonts w:ascii="Swis721 Cn BT" w:hAnsi="Swis721 Cn BT" w:cs="Swis721 Cn BT" w:eastAsia="Swis721 Cn BT"/>
                <w:sz w:val="18"/>
                <w:szCs w:val="18"/>
              </w:rPr>
            </w:pPr>
            <w:r>
              <w:rPr>
                <w:rFonts w:ascii="Swis721 Cn BT"/>
                <w:color w:val="303B41"/>
                <w:w w:val="95"/>
                <w:sz w:val="18"/>
              </w:rPr>
              <w:t>2018</w:t>
            </w:r>
            <w:r>
              <w:rPr>
                <w:rFonts w:ascii="Swis721 Cn BT"/>
                <w:sz w:val="18"/>
              </w:rPr>
            </w:r>
          </w:p>
          <w:p>
            <w:pPr>
              <w:pStyle w:val="TableParagraph"/>
              <w:spacing w:line="240" w:lineRule="auto"/>
              <w:ind w:right="78"/>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r>
      <w:tr>
        <w:trPr>
          <w:trHeight w:val="552" w:hRule="exact"/>
        </w:trPr>
        <w:tc>
          <w:tcPr>
            <w:tcW w:w="5499" w:type="dxa"/>
            <w:tcBorders>
              <w:top w:val="nil" w:sz="6" w:space="0" w:color="auto"/>
              <w:left w:val="nil" w:sz="6" w:space="0" w:color="auto"/>
              <w:bottom w:val="nil" w:sz="6" w:space="0" w:color="auto"/>
              <w:right w:val="nil" w:sz="6" w:space="0" w:color="auto"/>
            </w:tcBorders>
          </w:tcPr>
          <w:p>
            <w:pPr>
              <w:pStyle w:val="TableParagraph"/>
              <w:spacing w:line="240" w:lineRule="auto" w:before="2"/>
              <w:ind w:right="0"/>
              <w:jc w:val="left"/>
              <w:rPr>
                <w:rFonts w:ascii="Swis721 Lt BT" w:hAnsi="Swis721 Lt BT" w:cs="Swis721 Lt BT" w:eastAsia="Swis721 Lt BT"/>
                <w:sz w:val="16"/>
                <w:szCs w:val="16"/>
              </w:rPr>
            </w:pPr>
          </w:p>
          <w:p>
            <w:pPr>
              <w:pStyle w:val="TableParagraph"/>
              <w:spacing w:line="240" w:lineRule="auto"/>
              <w:ind w:left="-1" w:right="0"/>
              <w:jc w:val="left"/>
              <w:rPr>
                <w:rFonts w:ascii="Swis721 BT" w:hAnsi="Swis721 BT" w:cs="Swis721 BT" w:eastAsia="Swis721 BT"/>
                <w:sz w:val="20"/>
                <w:szCs w:val="20"/>
              </w:rPr>
            </w:pPr>
            <w:r>
              <w:rPr>
                <w:rFonts w:ascii="Swis721 BT"/>
                <w:b/>
                <w:color w:val="00757A"/>
                <w:spacing w:val="-1"/>
                <w:sz w:val="20"/>
              </w:rPr>
              <w:t>CATEGORIES</w:t>
            </w:r>
            <w:r>
              <w:rPr>
                <w:rFonts w:ascii="Swis721 BT"/>
                <w:b/>
                <w:color w:val="00757A"/>
                <w:sz w:val="20"/>
              </w:rPr>
              <w:t> OF FINANCIAL INSTRUMENTS</w:t>
            </w:r>
            <w:r>
              <w:rPr>
                <w:rFonts w:ascii="Swis721 BT"/>
                <w:sz w:val="20"/>
              </w:rPr>
            </w:r>
          </w:p>
        </w:tc>
        <w:tc>
          <w:tcPr>
            <w:tcW w:w="1373"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r>
      <w:tr>
        <w:trPr>
          <w:trHeight w:val="413" w:hRule="exact"/>
        </w:trPr>
        <w:tc>
          <w:tcPr>
            <w:tcW w:w="5499" w:type="dxa"/>
            <w:tcBorders>
              <w:top w:val="nil" w:sz="6" w:space="0" w:color="auto"/>
              <w:left w:val="nil" w:sz="6" w:space="0" w:color="auto"/>
              <w:bottom w:val="nil" w:sz="6" w:space="0" w:color="auto"/>
              <w:right w:val="nil" w:sz="6" w:space="0" w:color="auto"/>
            </w:tcBorders>
          </w:tcPr>
          <w:p>
            <w:pPr>
              <w:pStyle w:val="TableParagraph"/>
              <w:spacing w:line="240" w:lineRule="auto" w:before="95"/>
              <w:ind w:left="-1" w:right="0"/>
              <w:jc w:val="left"/>
              <w:rPr>
                <w:rFonts w:ascii="Swis721 Md BT" w:hAnsi="Swis721 Md BT" w:cs="Swis721 Md BT" w:eastAsia="Swis721 Md BT"/>
                <w:sz w:val="19"/>
                <w:szCs w:val="19"/>
              </w:rPr>
            </w:pPr>
            <w:r>
              <w:rPr>
                <w:rFonts w:ascii="Swis721 Md BT"/>
                <w:color w:val="303B41"/>
                <w:sz w:val="19"/>
              </w:rPr>
              <w:t>Financial assets</w:t>
            </w:r>
            <w:r>
              <w:rPr>
                <w:rFonts w:ascii="Swis721 Md BT"/>
                <w:sz w:val="19"/>
              </w:rPr>
            </w:r>
          </w:p>
        </w:tc>
        <w:tc>
          <w:tcPr>
            <w:tcW w:w="1373"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r>
      <w:tr>
        <w:trPr>
          <w:trHeight w:val="333" w:hRule="exact"/>
        </w:trPr>
        <w:tc>
          <w:tcPr>
            <w:tcW w:w="5499" w:type="dxa"/>
            <w:tcBorders>
              <w:top w:val="nil" w:sz="6" w:space="0" w:color="auto"/>
              <w:left w:val="nil" w:sz="6" w:space="0" w:color="auto"/>
              <w:bottom w:val="nil" w:sz="6" w:space="0" w:color="auto"/>
              <w:right w:val="nil" w:sz="6" w:space="0" w:color="auto"/>
            </w:tcBorders>
          </w:tcPr>
          <w:p>
            <w:pPr>
              <w:pStyle w:val="TableParagraph"/>
              <w:spacing w:line="240" w:lineRule="auto" w:before="67"/>
              <w:ind w:left="-1" w:right="0"/>
              <w:jc w:val="left"/>
              <w:rPr>
                <w:rFonts w:ascii="Swis721 Lt BT" w:hAnsi="Swis721 Lt BT" w:cs="Swis721 Lt BT" w:eastAsia="Swis721 Lt BT"/>
                <w:sz w:val="19"/>
                <w:szCs w:val="19"/>
              </w:rPr>
            </w:pPr>
            <w:r>
              <w:rPr>
                <w:rFonts w:ascii="Swis721 Lt BT"/>
                <w:color w:val="00757A"/>
                <w:sz w:val="19"/>
              </w:rPr>
              <w:t>Loans and receivables</w:t>
            </w:r>
            <w:r>
              <w:rPr>
                <w:rFonts w:ascii="Swis721 Lt BT"/>
                <w:sz w:val="19"/>
              </w:rPr>
            </w:r>
          </w:p>
        </w:tc>
        <w:tc>
          <w:tcPr>
            <w:tcW w:w="1373"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r>
      <w:tr>
        <w:trPr>
          <w:trHeight w:val="281" w:hRule="exact"/>
        </w:trPr>
        <w:tc>
          <w:tcPr>
            <w:tcW w:w="5499" w:type="dxa"/>
            <w:tcBorders>
              <w:top w:val="nil" w:sz="6" w:space="0" w:color="auto"/>
              <w:left w:val="nil" w:sz="6" w:space="0" w:color="auto"/>
              <w:bottom w:val="single" w:sz="2" w:space="0" w:color="848B91"/>
              <w:right w:val="nil" w:sz="6" w:space="0" w:color="auto"/>
            </w:tcBorders>
          </w:tcPr>
          <w:p>
            <w:pPr>
              <w:pStyle w:val="TableParagraph"/>
              <w:spacing w:line="240" w:lineRule="auto" w:before="16"/>
              <w:ind w:left="-1" w:right="0"/>
              <w:jc w:val="left"/>
              <w:rPr>
                <w:rFonts w:ascii="Swis721 Lt BT" w:hAnsi="Swis721 Lt BT" w:cs="Swis721 Lt BT" w:eastAsia="Swis721 Lt BT"/>
                <w:sz w:val="18"/>
                <w:szCs w:val="18"/>
              </w:rPr>
            </w:pPr>
            <w:r>
              <w:rPr>
                <w:rFonts w:ascii="Swis721 Lt BT"/>
                <w:color w:val="231F20"/>
                <w:sz w:val="18"/>
              </w:rPr>
              <w:t>Cash at bank</w:t>
            </w:r>
            <w:r>
              <w:rPr>
                <w:rFonts w:ascii="Swis721 Lt BT"/>
                <w:sz w:val="18"/>
              </w:rPr>
            </w:r>
          </w:p>
        </w:tc>
        <w:tc>
          <w:tcPr>
            <w:tcW w:w="1373" w:type="dxa"/>
            <w:tcBorders>
              <w:top w:val="nil" w:sz="6" w:space="0" w:color="auto"/>
              <w:left w:val="nil" w:sz="6" w:space="0" w:color="auto"/>
              <w:bottom w:val="single" w:sz="2" w:space="0" w:color="848B91"/>
              <w:right w:val="nil" w:sz="6" w:space="0" w:color="auto"/>
            </w:tcBorders>
          </w:tcPr>
          <w:p>
            <w:pPr>
              <w:pStyle w:val="TableParagraph"/>
              <w:spacing w:line="240" w:lineRule="auto" w:before="16"/>
              <w:ind w:left="394" w:right="0"/>
              <w:jc w:val="left"/>
              <w:rPr>
                <w:rFonts w:ascii="Swis721 Lt BT" w:hAnsi="Swis721 Lt BT" w:cs="Swis721 Lt BT" w:eastAsia="Swis721 Lt BT"/>
                <w:sz w:val="18"/>
                <w:szCs w:val="18"/>
              </w:rPr>
            </w:pPr>
            <w:r>
              <w:rPr>
                <w:rFonts w:ascii="Swis721 Lt BT"/>
                <w:color w:val="231F20"/>
                <w:sz w:val="18"/>
              </w:rPr>
              <w:t>6,377,094</w:t>
            </w:r>
            <w:r>
              <w:rPr>
                <w:rFonts w:ascii="Swis721 Lt BT"/>
                <w:sz w:val="18"/>
              </w:rPr>
            </w:r>
          </w:p>
        </w:tc>
        <w:tc>
          <w:tcPr>
            <w:tcW w:w="1121" w:type="dxa"/>
            <w:tcBorders>
              <w:top w:val="nil" w:sz="6" w:space="0" w:color="auto"/>
              <w:left w:val="nil" w:sz="6" w:space="0" w:color="auto"/>
              <w:bottom w:val="single" w:sz="2" w:space="0" w:color="848B91"/>
              <w:right w:val="nil" w:sz="6" w:space="0" w:color="auto"/>
            </w:tcBorders>
          </w:tcPr>
          <w:p>
            <w:pPr>
              <w:pStyle w:val="TableParagraph"/>
              <w:spacing w:line="240" w:lineRule="auto" w:before="16"/>
              <w:ind w:left="261" w:right="0"/>
              <w:jc w:val="left"/>
              <w:rPr>
                <w:rFonts w:ascii="Swis721 Lt BT" w:hAnsi="Swis721 Lt BT" w:cs="Swis721 Lt BT" w:eastAsia="Swis721 Lt BT"/>
                <w:sz w:val="18"/>
                <w:szCs w:val="18"/>
              </w:rPr>
            </w:pPr>
            <w:r>
              <w:rPr>
                <w:rFonts w:ascii="Swis721 Lt BT"/>
                <w:color w:val="231F20"/>
                <w:sz w:val="18"/>
              </w:rPr>
              <w:t>5,978,503</w:t>
            </w:r>
            <w:r>
              <w:rPr>
                <w:rFonts w:ascii="Swis721 Lt BT"/>
                <w:sz w:val="18"/>
              </w:rPr>
            </w:r>
          </w:p>
        </w:tc>
      </w:tr>
      <w:tr>
        <w:trPr>
          <w:trHeight w:val="329" w:hRule="exact"/>
        </w:trPr>
        <w:tc>
          <w:tcPr>
            <w:tcW w:w="5499"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pacing w:val="-4"/>
                <w:sz w:val="18"/>
              </w:rPr>
              <w:t>Trade</w:t>
            </w:r>
            <w:r>
              <w:rPr>
                <w:rFonts w:ascii="Swis721 Lt BT"/>
                <w:color w:val="231F20"/>
                <w:sz w:val="18"/>
              </w:rPr>
              <w:t> and other receivables</w:t>
            </w:r>
            <w:r>
              <w:rPr>
                <w:rFonts w:ascii="Swis721 Lt BT"/>
                <w:sz w:val="18"/>
              </w:rPr>
            </w:r>
          </w:p>
        </w:tc>
        <w:tc>
          <w:tcPr>
            <w:tcW w:w="1373"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38" w:right="0"/>
              <w:jc w:val="left"/>
              <w:rPr>
                <w:rFonts w:ascii="Swis721 Lt BT" w:hAnsi="Swis721 Lt BT" w:cs="Swis721 Lt BT" w:eastAsia="Swis721 Lt BT"/>
                <w:sz w:val="18"/>
                <w:szCs w:val="18"/>
              </w:rPr>
            </w:pPr>
            <w:r>
              <w:rPr>
                <w:rFonts w:ascii="Swis721 Lt BT"/>
                <w:color w:val="231F20"/>
                <w:sz w:val="18"/>
              </w:rPr>
              <w:t>206,262</w:t>
            </w:r>
            <w:r>
              <w:rPr>
                <w:rFonts w:ascii="Swis721 Lt BT"/>
                <w:sz w:val="18"/>
              </w:rPr>
            </w:r>
          </w:p>
        </w:tc>
        <w:tc>
          <w:tcPr>
            <w:tcW w:w="1121"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405" w:right="0"/>
              <w:jc w:val="left"/>
              <w:rPr>
                <w:rFonts w:ascii="Swis721 Lt BT" w:hAnsi="Swis721 Lt BT" w:cs="Swis721 Lt BT" w:eastAsia="Swis721 Lt BT"/>
                <w:sz w:val="18"/>
                <w:szCs w:val="18"/>
              </w:rPr>
            </w:pPr>
            <w:r>
              <w:rPr>
                <w:rFonts w:ascii="Swis721 Lt BT"/>
                <w:color w:val="231F20"/>
                <w:sz w:val="18"/>
              </w:rPr>
              <w:t>102,635</w:t>
            </w:r>
            <w:r>
              <w:rPr>
                <w:rFonts w:ascii="Swis721 Lt BT"/>
                <w:sz w:val="18"/>
              </w:rPr>
            </w:r>
          </w:p>
        </w:tc>
      </w:tr>
      <w:tr>
        <w:trPr>
          <w:trHeight w:val="341" w:hRule="exact"/>
        </w:trPr>
        <w:tc>
          <w:tcPr>
            <w:tcW w:w="5499"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00757A"/>
                <w:sz w:val="18"/>
              </w:rPr>
              <w:t>Financial assets at amortised cost</w:t>
            </w:r>
            <w:r>
              <w:rPr>
                <w:rFonts w:ascii="Swis721 Lt BT"/>
                <w:sz w:val="18"/>
              </w:rPr>
            </w:r>
          </w:p>
        </w:tc>
        <w:tc>
          <w:tcPr>
            <w:tcW w:w="137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394" w:right="0"/>
              <w:jc w:val="left"/>
              <w:rPr>
                <w:rFonts w:ascii="Swis721 Lt BT" w:hAnsi="Swis721 Lt BT" w:cs="Swis721 Lt BT" w:eastAsia="Swis721 Lt BT"/>
                <w:sz w:val="18"/>
                <w:szCs w:val="18"/>
              </w:rPr>
            </w:pPr>
            <w:r>
              <w:rPr>
                <w:rFonts w:ascii="Swis721 Lt BT"/>
                <w:color w:val="231F20"/>
                <w:sz w:val="18"/>
              </w:rPr>
              <w:t>4,478,155</w:t>
            </w:r>
            <w:r>
              <w:rPr>
                <w:rFonts w:ascii="Swis721 Lt BT"/>
                <w:sz w:val="18"/>
              </w:rPr>
            </w:r>
          </w:p>
        </w:tc>
        <w:tc>
          <w:tcPr>
            <w:tcW w:w="1121"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261" w:right="0"/>
              <w:jc w:val="left"/>
              <w:rPr>
                <w:rFonts w:ascii="Swis721 Lt BT" w:hAnsi="Swis721 Lt BT" w:cs="Swis721 Lt BT" w:eastAsia="Swis721 Lt BT"/>
                <w:sz w:val="18"/>
                <w:szCs w:val="18"/>
              </w:rPr>
            </w:pPr>
            <w:r>
              <w:rPr>
                <w:rFonts w:ascii="Swis721 Lt BT"/>
                <w:color w:val="231F20"/>
                <w:sz w:val="18"/>
              </w:rPr>
              <w:t>1,336,381</w:t>
            </w:r>
            <w:r>
              <w:rPr>
                <w:rFonts w:ascii="Swis721 Lt BT"/>
                <w:sz w:val="18"/>
              </w:rPr>
            </w:r>
          </w:p>
        </w:tc>
      </w:tr>
      <w:tr>
        <w:trPr>
          <w:trHeight w:val="349" w:hRule="exact"/>
        </w:trPr>
        <w:tc>
          <w:tcPr>
            <w:tcW w:w="5499"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z w:val="18"/>
              </w:rPr>
              <w:t>Carrying</w:t>
            </w:r>
            <w:r>
              <w:rPr>
                <w:rFonts w:ascii="Swis721 Md BT"/>
                <w:color w:val="231F20"/>
                <w:spacing w:val="-2"/>
                <w:sz w:val="18"/>
              </w:rPr>
              <w:t> </w:t>
            </w:r>
            <w:r>
              <w:rPr>
                <w:rFonts w:ascii="Swis721 Md BT"/>
                <w:color w:val="231F20"/>
                <w:sz w:val="18"/>
              </w:rPr>
              <w:t>amount</w:t>
            </w:r>
            <w:r>
              <w:rPr>
                <w:rFonts w:ascii="Swis721 Md BT"/>
                <w:color w:val="231F20"/>
                <w:spacing w:val="-2"/>
                <w:sz w:val="18"/>
              </w:rPr>
              <w:t> </w:t>
            </w:r>
            <w:r>
              <w:rPr>
                <w:rFonts w:ascii="Swis721 Md BT"/>
                <w:color w:val="231F20"/>
                <w:sz w:val="18"/>
              </w:rPr>
              <w:t>of</w:t>
            </w:r>
            <w:r>
              <w:rPr>
                <w:rFonts w:ascii="Swis721 Md BT"/>
                <w:color w:val="231F20"/>
                <w:spacing w:val="-2"/>
                <w:sz w:val="18"/>
              </w:rPr>
              <w:t> </w:t>
            </w:r>
            <w:r>
              <w:rPr>
                <w:rFonts w:ascii="Swis721 Md BT"/>
                <w:color w:val="231F20"/>
                <w:sz w:val="18"/>
              </w:rPr>
              <w:t>financial</w:t>
            </w:r>
            <w:r>
              <w:rPr>
                <w:rFonts w:ascii="Swis721 Md BT"/>
                <w:color w:val="231F20"/>
                <w:spacing w:val="-1"/>
                <w:sz w:val="18"/>
              </w:rPr>
              <w:t> </w:t>
            </w:r>
            <w:r>
              <w:rPr>
                <w:rFonts w:ascii="Swis721 Md BT"/>
                <w:color w:val="231F20"/>
                <w:sz w:val="18"/>
              </w:rPr>
              <w:t>assets</w:t>
            </w:r>
            <w:r>
              <w:rPr>
                <w:rFonts w:ascii="Swis721 Md BT"/>
                <w:sz w:val="18"/>
              </w:rPr>
            </w:r>
          </w:p>
        </w:tc>
        <w:tc>
          <w:tcPr>
            <w:tcW w:w="137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58" w:right="0"/>
              <w:jc w:val="left"/>
              <w:rPr>
                <w:rFonts w:ascii="Swis721 Md BT" w:hAnsi="Swis721 Md BT" w:cs="Swis721 Md BT" w:eastAsia="Swis721 Md BT"/>
                <w:sz w:val="18"/>
                <w:szCs w:val="18"/>
              </w:rPr>
            </w:pPr>
            <w:r>
              <w:rPr>
                <w:rFonts w:ascii="Swis721 Md BT"/>
                <w:color w:val="231F20"/>
                <w:sz w:val="18"/>
              </w:rPr>
              <w:t>11,061,511</w:t>
            </w:r>
            <w:r>
              <w:rPr>
                <w:rFonts w:ascii="Swis721 Md BT"/>
                <w:sz w:val="18"/>
              </w:rPr>
            </w:r>
          </w:p>
        </w:tc>
        <w:tc>
          <w:tcPr>
            <w:tcW w:w="1121"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06" w:right="0"/>
              <w:jc w:val="left"/>
              <w:rPr>
                <w:rFonts w:ascii="Swis721 Md BT" w:hAnsi="Swis721 Md BT" w:cs="Swis721 Md BT" w:eastAsia="Swis721 Md BT"/>
                <w:sz w:val="18"/>
                <w:szCs w:val="18"/>
              </w:rPr>
            </w:pPr>
            <w:r>
              <w:rPr>
                <w:rFonts w:ascii="Swis721 Md BT"/>
                <w:color w:val="231F20"/>
                <w:sz w:val="18"/>
              </w:rPr>
              <w:t>7,417,519</w:t>
            </w:r>
            <w:r>
              <w:rPr>
                <w:rFonts w:ascii="Swis721 Md BT"/>
                <w:sz w:val="18"/>
              </w:rPr>
            </w:r>
          </w:p>
        </w:tc>
      </w:tr>
      <w:tr>
        <w:trPr>
          <w:trHeight w:val="533" w:hRule="exact"/>
        </w:trPr>
        <w:tc>
          <w:tcPr>
            <w:tcW w:w="5499" w:type="dxa"/>
            <w:tcBorders>
              <w:top w:val="single" w:sz="8" w:space="0" w:color="848B91"/>
              <w:left w:val="nil" w:sz="6" w:space="0" w:color="auto"/>
              <w:bottom w:val="nil" w:sz="6" w:space="0" w:color="auto"/>
              <w:right w:val="nil" w:sz="6" w:space="0" w:color="auto"/>
            </w:tcBorders>
          </w:tcPr>
          <w:p>
            <w:pPr>
              <w:pStyle w:val="TableParagraph"/>
              <w:spacing w:line="240" w:lineRule="auto" w:before="11"/>
              <w:ind w:right="0"/>
              <w:jc w:val="left"/>
              <w:rPr>
                <w:rFonts w:ascii="Swis721 Lt BT" w:hAnsi="Swis721 Lt BT" w:cs="Swis721 Lt BT" w:eastAsia="Swis721 Lt BT"/>
                <w:sz w:val="17"/>
                <w:szCs w:val="17"/>
              </w:rPr>
            </w:pPr>
          </w:p>
          <w:p>
            <w:pPr>
              <w:pStyle w:val="TableParagraph"/>
              <w:spacing w:line="240" w:lineRule="auto"/>
              <w:ind w:left="-1" w:right="0"/>
              <w:jc w:val="left"/>
              <w:rPr>
                <w:rFonts w:ascii="Swis721 Md BT" w:hAnsi="Swis721 Md BT" w:cs="Swis721 Md BT" w:eastAsia="Swis721 Md BT"/>
                <w:sz w:val="19"/>
                <w:szCs w:val="19"/>
              </w:rPr>
            </w:pPr>
            <w:r>
              <w:rPr>
                <w:rFonts w:ascii="Swis721 Md BT"/>
                <w:color w:val="303B41"/>
                <w:sz w:val="19"/>
              </w:rPr>
              <w:t>Financial liabilities</w:t>
            </w:r>
            <w:r>
              <w:rPr>
                <w:rFonts w:ascii="Swis721 Md BT"/>
                <w:sz w:val="19"/>
              </w:rPr>
            </w:r>
          </w:p>
        </w:tc>
        <w:tc>
          <w:tcPr>
            <w:tcW w:w="1373" w:type="dxa"/>
            <w:tcBorders>
              <w:top w:val="single" w:sz="8" w:space="0" w:color="848B91"/>
              <w:left w:val="nil" w:sz="6" w:space="0" w:color="auto"/>
              <w:bottom w:val="nil" w:sz="6" w:space="0" w:color="auto"/>
              <w:right w:val="nil" w:sz="6" w:space="0" w:color="auto"/>
            </w:tcBorders>
          </w:tcPr>
          <w:p>
            <w:pPr/>
          </w:p>
        </w:tc>
        <w:tc>
          <w:tcPr>
            <w:tcW w:w="1121" w:type="dxa"/>
            <w:tcBorders>
              <w:top w:val="single" w:sz="8" w:space="0" w:color="848B91"/>
              <w:left w:val="nil" w:sz="6" w:space="0" w:color="auto"/>
              <w:bottom w:val="nil" w:sz="6" w:space="0" w:color="auto"/>
              <w:right w:val="nil" w:sz="6" w:space="0" w:color="auto"/>
            </w:tcBorders>
          </w:tcPr>
          <w:p>
            <w:pPr/>
          </w:p>
        </w:tc>
      </w:tr>
      <w:tr>
        <w:trPr>
          <w:trHeight w:val="333" w:hRule="exact"/>
        </w:trPr>
        <w:tc>
          <w:tcPr>
            <w:tcW w:w="5499" w:type="dxa"/>
            <w:tcBorders>
              <w:top w:val="nil" w:sz="6" w:space="0" w:color="auto"/>
              <w:left w:val="nil" w:sz="6" w:space="0" w:color="auto"/>
              <w:bottom w:val="nil" w:sz="6" w:space="0" w:color="auto"/>
              <w:right w:val="nil" w:sz="6" w:space="0" w:color="auto"/>
            </w:tcBorders>
          </w:tcPr>
          <w:p>
            <w:pPr>
              <w:pStyle w:val="TableParagraph"/>
              <w:spacing w:line="240" w:lineRule="auto" w:before="67"/>
              <w:ind w:left="-1" w:right="0"/>
              <w:jc w:val="left"/>
              <w:rPr>
                <w:rFonts w:ascii="Swis721 Lt BT" w:hAnsi="Swis721 Lt BT" w:cs="Swis721 Lt BT" w:eastAsia="Swis721 Lt BT"/>
                <w:sz w:val="19"/>
                <w:szCs w:val="19"/>
              </w:rPr>
            </w:pPr>
            <w:r>
              <w:rPr>
                <w:rFonts w:ascii="Swis721 Lt BT"/>
                <w:color w:val="00757A"/>
                <w:sz w:val="19"/>
              </w:rPr>
              <w:t>Financial liabilities at amortised cost</w:t>
            </w:r>
            <w:r>
              <w:rPr>
                <w:rFonts w:ascii="Swis721 Lt BT"/>
                <w:sz w:val="19"/>
              </w:rPr>
            </w:r>
          </w:p>
        </w:tc>
        <w:tc>
          <w:tcPr>
            <w:tcW w:w="1373"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r>
      <w:tr>
        <w:trPr>
          <w:trHeight w:val="293" w:hRule="exact"/>
        </w:trPr>
        <w:tc>
          <w:tcPr>
            <w:tcW w:w="5499" w:type="dxa"/>
            <w:tcBorders>
              <w:top w:val="nil" w:sz="6" w:space="0" w:color="auto"/>
              <w:left w:val="nil" w:sz="6" w:space="0" w:color="auto"/>
              <w:bottom w:val="single" w:sz="8" w:space="0" w:color="848B91"/>
              <w:right w:val="nil" w:sz="6" w:space="0" w:color="auto"/>
            </w:tcBorders>
          </w:tcPr>
          <w:p>
            <w:pPr>
              <w:pStyle w:val="TableParagraph"/>
              <w:spacing w:line="240" w:lineRule="auto" w:before="16"/>
              <w:ind w:left="-1" w:right="0"/>
              <w:jc w:val="left"/>
              <w:rPr>
                <w:rFonts w:ascii="Swis721 Lt BT" w:hAnsi="Swis721 Lt BT" w:cs="Swis721 Lt BT" w:eastAsia="Swis721 Lt BT"/>
                <w:sz w:val="18"/>
                <w:szCs w:val="18"/>
              </w:rPr>
            </w:pPr>
            <w:r>
              <w:rPr>
                <w:rFonts w:ascii="Swis721 Lt BT"/>
                <w:color w:val="231F20"/>
                <w:spacing w:val="-4"/>
                <w:sz w:val="18"/>
              </w:rPr>
              <w:t>Trade</w:t>
            </w:r>
            <w:r>
              <w:rPr>
                <w:rFonts w:ascii="Swis721 Lt BT"/>
                <w:color w:val="231F20"/>
                <w:sz w:val="18"/>
              </w:rPr>
              <w:t> creditors</w:t>
            </w:r>
            <w:r>
              <w:rPr>
                <w:rFonts w:ascii="Swis721 Lt BT"/>
                <w:sz w:val="18"/>
              </w:rPr>
            </w:r>
          </w:p>
        </w:tc>
        <w:tc>
          <w:tcPr>
            <w:tcW w:w="1373" w:type="dxa"/>
            <w:tcBorders>
              <w:top w:val="nil" w:sz="6" w:space="0" w:color="auto"/>
              <w:left w:val="nil" w:sz="6" w:space="0" w:color="auto"/>
              <w:bottom w:val="single" w:sz="8" w:space="0" w:color="848B91"/>
              <w:right w:val="nil" w:sz="6" w:space="0" w:color="auto"/>
            </w:tcBorders>
          </w:tcPr>
          <w:p>
            <w:pPr>
              <w:pStyle w:val="TableParagraph"/>
              <w:spacing w:line="240" w:lineRule="auto" w:before="16"/>
              <w:ind w:left="538" w:right="0"/>
              <w:jc w:val="left"/>
              <w:rPr>
                <w:rFonts w:ascii="Swis721 Lt BT" w:hAnsi="Swis721 Lt BT" w:cs="Swis721 Lt BT" w:eastAsia="Swis721 Lt BT"/>
                <w:sz w:val="18"/>
                <w:szCs w:val="18"/>
              </w:rPr>
            </w:pPr>
            <w:r>
              <w:rPr>
                <w:rFonts w:ascii="Swis721 Lt BT"/>
                <w:color w:val="231F20"/>
                <w:sz w:val="18"/>
              </w:rPr>
              <w:t>648,837</w:t>
            </w:r>
            <w:r>
              <w:rPr>
                <w:rFonts w:ascii="Swis721 Lt BT"/>
                <w:sz w:val="18"/>
              </w:rPr>
            </w:r>
          </w:p>
        </w:tc>
        <w:tc>
          <w:tcPr>
            <w:tcW w:w="1121" w:type="dxa"/>
            <w:tcBorders>
              <w:top w:val="nil" w:sz="6" w:space="0" w:color="auto"/>
              <w:left w:val="nil" w:sz="6" w:space="0" w:color="auto"/>
              <w:bottom w:val="single" w:sz="8" w:space="0" w:color="848B91"/>
              <w:right w:val="nil" w:sz="6" w:space="0" w:color="auto"/>
            </w:tcBorders>
          </w:tcPr>
          <w:p>
            <w:pPr>
              <w:pStyle w:val="TableParagraph"/>
              <w:spacing w:line="240" w:lineRule="auto" w:before="16"/>
              <w:ind w:left="405" w:right="0"/>
              <w:jc w:val="left"/>
              <w:rPr>
                <w:rFonts w:ascii="Swis721 Lt BT" w:hAnsi="Swis721 Lt BT" w:cs="Swis721 Lt BT" w:eastAsia="Swis721 Lt BT"/>
                <w:sz w:val="18"/>
                <w:szCs w:val="18"/>
              </w:rPr>
            </w:pPr>
            <w:r>
              <w:rPr>
                <w:rFonts w:ascii="Swis721 Lt BT"/>
                <w:color w:val="231F20"/>
                <w:sz w:val="18"/>
              </w:rPr>
              <w:t>874,221</w:t>
            </w:r>
            <w:r>
              <w:rPr>
                <w:rFonts w:ascii="Swis721 Lt BT"/>
                <w:sz w:val="18"/>
              </w:rPr>
            </w:r>
          </w:p>
        </w:tc>
      </w:tr>
      <w:tr>
        <w:trPr>
          <w:trHeight w:val="349" w:hRule="exact"/>
        </w:trPr>
        <w:tc>
          <w:tcPr>
            <w:tcW w:w="5499"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z w:val="18"/>
              </w:rPr>
              <w:t>Carrying</w:t>
            </w:r>
            <w:r>
              <w:rPr>
                <w:rFonts w:ascii="Swis721 Md BT"/>
                <w:color w:val="231F20"/>
                <w:spacing w:val="-2"/>
                <w:sz w:val="18"/>
              </w:rPr>
              <w:t> </w:t>
            </w:r>
            <w:r>
              <w:rPr>
                <w:rFonts w:ascii="Swis721 Md BT"/>
                <w:color w:val="231F20"/>
                <w:sz w:val="18"/>
              </w:rPr>
              <w:t>amount</w:t>
            </w:r>
            <w:r>
              <w:rPr>
                <w:rFonts w:ascii="Swis721 Md BT"/>
                <w:color w:val="231F20"/>
                <w:spacing w:val="-2"/>
                <w:sz w:val="18"/>
              </w:rPr>
              <w:t> </w:t>
            </w:r>
            <w:r>
              <w:rPr>
                <w:rFonts w:ascii="Swis721 Md BT"/>
                <w:color w:val="231F20"/>
                <w:sz w:val="18"/>
              </w:rPr>
              <w:t>of</w:t>
            </w:r>
            <w:r>
              <w:rPr>
                <w:rFonts w:ascii="Swis721 Md BT"/>
                <w:color w:val="231F20"/>
                <w:spacing w:val="-2"/>
                <w:sz w:val="18"/>
              </w:rPr>
              <w:t> </w:t>
            </w:r>
            <w:r>
              <w:rPr>
                <w:rFonts w:ascii="Swis721 Md BT"/>
                <w:color w:val="231F20"/>
                <w:sz w:val="18"/>
              </w:rPr>
              <w:t>financial</w:t>
            </w:r>
            <w:r>
              <w:rPr>
                <w:rFonts w:ascii="Swis721 Md BT"/>
                <w:color w:val="231F20"/>
                <w:spacing w:val="-1"/>
                <w:sz w:val="18"/>
              </w:rPr>
              <w:t> </w:t>
            </w:r>
            <w:r>
              <w:rPr>
                <w:rFonts w:ascii="Swis721 Md BT"/>
                <w:color w:val="231F20"/>
                <w:sz w:val="18"/>
              </w:rPr>
              <w:t>liabilities</w:t>
            </w:r>
            <w:r>
              <w:rPr>
                <w:rFonts w:ascii="Swis721 Md BT"/>
                <w:sz w:val="18"/>
              </w:rPr>
            </w:r>
          </w:p>
        </w:tc>
        <w:tc>
          <w:tcPr>
            <w:tcW w:w="137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09" w:right="0"/>
              <w:jc w:val="left"/>
              <w:rPr>
                <w:rFonts w:ascii="Swis721 Md BT" w:hAnsi="Swis721 Md BT" w:cs="Swis721 Md BT" w:eastAsia="Swis721 Md BT"/>
                <w:sz w:val="18"/>
                <w:szCs w:val="18"/>
              </w:rPr>
            </w:pPr>
            <w:r>
              <w:rPr>
                <w:rFonts w:ascii="Swis721 Md BT"/>
                <w:color w:val="231F20"/>
                <w:sz w:val="18"/>
              </w:rPr>
              <w:t>648,837</w:t>
            </w:r>
            <w:r>
              <w:rPr>
                <w:rFonts w:ascii="Swis721 Md BT"/>
                <w:sz w:val="18"/>
              </w:rPr>
            </w:r>
          </w:p>
        </w:tc>
        <w:tc>
          <w:tcPr>
            <w:tcW w:w="1121"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56" w:right="0"/>
              <w:jc w:val="left"/>
              <w:rPr>
                <w:rFonts w:ascii="Swis721 Md BT" w:hAnsi="Swis721 Md BT" w:cs="Swis721 Md BT" w:eastAsia="Swis721 Md BT"/>
                <w:sz w:val="18"/>
                <w:szCs w:val="18"/>
              </w:rPr>
            </w:pPr>
            <w:r>
              <w:rPr>
                <w:rFonts w:ascii="Swis721 Md BT"/>
                <w:color w:val="231F20"/>
                <w:sz w:val="18"/>
              </w:rPr>
              <w:t>874,221</w:t>
            </w:r>
            <w:r>
              <w:rPr>
                <w:rFonts w:ascii="Swis721 Md BT"/>
                <w:sz w:val="18"/>
              </w:rPr>
            </w:r>
          </w:p>
        </w:tc>
      </w:tr>
      <w:tr>
        <w:trPr>
          <w:trHeight w:val="533" w:hRule="exact"/>
        </w:trPr>
        <w:tc>
          <w:tcPr>
            <w:tcW w:w="5499" w:type="dxa"/>
            <w:tcBorders>
              <w:top w:val="single" w:sz="8" w:space="0" w:color="848B91"/>
              <w:left w:val="nil" w:sz="6" w:space="0" w:color="auto"/>
              <w:bottom w:val="nil" w:sz="6" w:space="0" w:color="auto"/>
              <w:right w:val="nil" w:sz="6" w:space="0" w:color="auto"/>
            </w:tcBorders>
          </w:tcPr>
          <w:p>
            <w:pPr>
              <w:pStyle w:val="TableParagraph"/>
              <w:spacing w:line="240" w:lineRule="auto" w:before="11"/>
              <w:ind w:right="0"/>
              <w:jc w:val="left"/>
              <w:rPr>
                <w:rFonts w:ascii="Swis721 Lt BT" w:hAnsi="Swis721 Lt BT" w:cs="Swis721 Lt BT" w:eastAsia="Swis721 Lt BT"/>
                <w:sz w:val="17"/>
                <w:szCs w:val="17"/>
              </w:rPr>
            </w:pPr>
          </w:p>
          <w:p>
            <w:pPr>
              <w:pStyle w:val="TableParagraph"/>
              <w:spacing w:line="240" w:lineRule="auto"/>
              <w:ind w:left="-1" w:right="0"/>
              <w:jc w:val="left"/>
              <w:rPr>
                <w:rFonts w:ascii="Swis721 Md BT" w:hAnsi="Swis721 Md BT" w:cs="Swis721 Md BT" w:eastAsia="Swis721 Md BT"/>
                <w:sz w:val="19"/>
                <w:szCs w:val="19"/>
              </w:rPr>
            </w:pPr>
            <w:r>
              <w:rPr>
                <w:rFonts w:ascii="Swis721 Md BT"/>
                <w:color w:val="303B41"/>
                <w:sz w:val="19"/>
              </w:rPr>
              <w:t>Net</w:t>
            </w:r>
            <w:r>
              <w:rPr>
                <w:rFonts w:ascii="Swis721 Md BT"/>
                <w:color w:val="303B41"/>
                <w:spacing w:val="-2"/>
                <w:sz w:val="19"/>
              </w:rPr>
              <w:t> </w:t>
            </w:r>
            <w:r>
              <w:rPr>
                <w:rFonts w:ascii="Swis721 Md BT"/>
                <w:color w:val="303B41"/>
                <w:sz w:val="19"/>
              </w:rPr>
              <w:t>income</w:t>
            </w:r>
            <w:r>
              <w:rPr>
                <w:rFonts w:ascii="Swis721 Md BT"/>
                <w:color w:val="303B41"/>
                <w:spacing w:val="-1"/>
                <w:sz w:val="19"/>
              </w:rPr>
              <w:t> </w:t>
            </w:r>
            <w:r>
              <w:rPr>
                <w:rFonts w:ascii="Swis721 Md BT"/>
                <w:color w:val="303B41"/>
                <w:sz w:val="19"/>
              </w:rPr>
              <w:t>and</w:t>
            </w:r>
            <w:r>
              <w:rPr>
                <w:rFonts w:ascii="Swis721 Md BT"/>
                <w:color w:val="303B41"/>
                <w:spacing w:val="-1"/>
                <w:sz w:val="19"/>
              </w:rPr>
              <w:t> </w:t>
            </w:r>
            <w:r>
              <w:rPr>
                <w:rFonts w:ascii="Swis721 Md BT"/>
                <w:color w:val="303B41"/>
                <w:sz w:val="19"/>
              </w:rPr>
              <w:t>expense</w:t>
            </w:r>
            <w:r>
              <w:rPr>
                <w:rFonts w:ascii="Swis721 Md BT"/>
                <w:color w:val="303B41"/>
                <w:spacing w:val="-1"/>
                <w:sz w:val="19"/>
              </w:rPr>
              <w:t> </w:t>
            </w:r>
            <w:r>
              <w:rPr>
                <w:rFonts w:ascii="Swis721 Md BT"/>
                <w:color w:val="303B41"/>
                <w:sz w:val="19"/>
              </w:rPr>
              <w:t>from</w:t>
            </w:r>
            <w:r>
              <w:rPr>
                <w:rFonts w:ascii="Swis721 Md BT"/>
                <w:color w:val="303B41"/>
                <w:spacing w:val="-2"/>
                <w:sz w:val="19"/>
              </w:rPr>
              <w:t> </w:t>
            </w:r>
            <w:r>
              <w:rPr>
                <w:rFonts w:ascii="Swis721 Md BT"/>
                <w:color w:val="303B41"/>
                <w:sz w:val="19"/>
              </w:rPr>
              <w:t>financial</w:t>
            </w:r>
            <w:r>
              <w:rPr>
                <w:rFonts w:ascii="Swis721 Md BT"/>
                <w:color w:val="303B41"/>
                <w:spacing w:val="-1"/>
                <w:sz w:val="19"/>
              </w:rPr>
              <w:t> </w:t>
            </w:r>
            <w:r>
              <w:rPr>
                <w:rFonts w:ascii="Swis721 Md BT"/>
                <w:color w:val="303B41"/>
                <w:sz w:val="19"/>
              </w:rPr>
              <w:t>assets</w:t>
            </w:r>
            <w:r>
              <w:rPr>
                <w:rFonts w:ascii="Swis721 Md BT"/>
                <w:sz w:val="19"/>
              </w:rPr>
            </w:r>
          </w:p>
        </w:tc>
        <w:tc>
          <w:tcPr>
            <w:tcW w:w="1373" w:type="dxa"/>
            <w:tcBorders>
              <w:top w:val="single" w:sz="8" w:space="0" w:color="848B91"/>
              <w:left w:val="nil" w:sz="6" w:space="0" w:color="auto"/>
              <w:bottom w:val="nil" w:sz="6" w:space="0" w:color="auto"/>
              <w:right w:val="nil" w:sz="6" w:space="0" w:color="auto"/>
            </w:tcBorders>
          </w:tcPr>
          <w:p>
            <w:pPr/>
          </w:p>
        </w:tc>
        <w:tc>
          <w:tcPr>
            <w:tcW w:w="1121" w:type="dxa"/>
            <w:tcBorders>
              <w:top w:val="single" w:sz="8" w:space="0" w:color="848B91"/>
              <w:left w:val="nil" w:sz="6" w:space="0" w:color="auto"/>
              <w:bottom w:val="nil" w:sz="6" w:space="0" w:color="auto"/>
              <w:right w:val="nil" w:sz="6" w:space="0" w:color="auto"/>
            </w:tcBorders>
          </w:tcPr>
          <w:p>
            <w:pPr/>
          </w:p>
        </w:tc>
      </w:tr>
      <w:tr>
        <w:trPr>
          <w:trHeight w:val="333" w:hRule="exact"/>
        </w:trPr>
        <w:tc>
          <w:tcPr>
            <w:tcW w:w="5499" w:type="dxa"/>
            <w:tcBorders>
              <w:top w:val="nil" w:sz="6" w:space="0" w:color="auto"/>
              <w:left w:val="nil" w:sz="6" w:space="0" w:color="auto"/>
              <w:bottom w:val="nil" w:sz="6" w:space="0" w:color="auto"/>
              <w:right w:val="nil" w:sz="6" w:space="0" w:color="auto"/>
            </w:tcBorders>
          </w:tcPr>
          <w:p>
            <w:pPr>
              <w:pStyle w:val="TableParagraph"/>
              <w:spacing w:line="240" w:lineRule="auto" w:before="67"/>
              <w:ind w:left="-1" w:right="0"/>
              <w:jc w:val="left"/>
              <w:rPr>
                <w:rFonts w:ascii="Swis721 Lt BT" w:hAnsi="Swis721 Lt BT" w:cs="Swis721 Lt BT" w:eastAsia="Swis721 Lt BT"/>
                <w:sz w:val="19"/>
                <w:szCs w:val="19"/>
              </w:rPr>
            </w:pPr>
            <w:r>
              <w:rPr>
                <w:rFonts w:ascii="Swis721 Lt BT"/>
                <w:color w:val="00757A"/>
                <w:sz w:val="19"/>
              </w:rPr>
              <w:t>Loans and receivables</w:t>
            </w:r>
            <w:r>
              <w:rPr>
                <w:rFonts w:ascii="Swis721 Lt BT"/>
                <w:sz w:val="19"/>
              </w:rPr>
            </w:r>
          </w:p>
        </w:tc>
        <w:tc>
          <w:tcPr>
            <w:tcW w:w="1373"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r>
      <w:tr>
        <w:trPr>
          <w:trHeight w:val="293" w:hRule="exact"/>
        </w:trPr>
        <w:tc>
          <w:tcPr>
            <w:tcW w:w="5499" w:type="dxa"/>
            <w:tcBorders>
              <w:top w:val="nil" w:sz="6" w:space="0" w:color="auto"/>
              <w:left w:val="nil" w:sz="6" w:space="0" w:color="auto"/>
              <w:bottom w:val="single" w:sz="8" w:space="0" w:color="848B91"/>
              <w:right w:val="nil" w:sz="6" w:space="0" w:color="auto"/>
            </w:tcBorders>
          </w:tcPr>
          <w:p>
            <w:pPr>
              <w:pStyle w:val="TableParagraph"/>
              <w:spacing w:line="240" w:lineRule="auto" w:before="16"/>
              <w:ind w:left="-1" w:right="0"/>
              <w:jc w:val="left"/>
              <w:rPr>
                <w:rFonts w:ascii="Swis721 Lt BT" w:hAnsi="Swis721 Lt BT" w:cs="Swis721 Lt BT" w:eastAsia="Swis721 Lt BT"/>
                <w:sz w:val="18"/>
                <w:szCs w:val="18"/>
              </w:rPr>
            </w:pPr>
            <w:r>
              <w:rPr>
                <w:rFonts w:ascii="Swis721 Lt BT"/>
                <w:color w:val="231F20"/>
                <w:sz w:val="18"/>
              </w:rPr>
              <w:t>Interest revenue</w:t>
            </w:r>
            <w:r>
              <w:rPr>
                <w:rFonts w:ascii="Swis721 Lt BT"/>
                <w:sz w:val="18"/>
              </w:rPr>
            </w:r>
          </w:p>
        </w:tc>
        <w:tc>
          <w:tcPr>
            <w:tcW w:w="1373" w:type="dxa"/>
            <w:tcBorders>
              <w:top w:val="nil" w:sz="6" w:space="0" w:color="auto"/>
              <w:left w:val="nil" w:sz="6" w:space="0" w:color="auto"/>
              <w:bottom w:val="single" w:sz="8" w:space="0" w:color="848B91"/>
              <w:right w:val="nil" w:sz="6" w:space="0" w:color="auto"/>
            </w:tcBorders>
          </w:tcPr>
          <w:p>
            <w:pPr>
              <w:pStyle w:val="TableParagraph"/>
              <w:spacing w:line="240" w:lineRule="auto" w:before="16"/>
              <w:ind w:left="538" w:right="0"/>
              <w:jc w:val="left"/>
              <w:rPr>
                <w:rFonts w:ascii="Swis721 Lt BT" w:hAnsi="Swis721 Lt BT" w:cs="Swis721 Lt BT" w:eastAsia="Swis721 Lt BT"/>
                <w:sz w:val="18"/>
                <w:szCs w:val="18"/>
              </w:rPr>
            </w:pPr>
            <w:r>
              <w:rPr>
                <w:rFonts w:ascii="Swis721 Lt BT"/>
                <w:color w:val="231F20"/>
                <w:sz w:val="18"/>
              </w:rPr>
              <w:t>102,662</w:t>
            </w:r>
            <w:r>
              <w:rPr>
                <w:rFonts w:ascii="Swis721 Lt BT"/>
                <w:sz w:val="18"/>
              </w:rPr>
            </w:r>
          </w:p>
        </w:tc>
        <w:tc>
          <w:tcPr>
            <w:tcW w:w="1121" w:type="dxa"/>
            <w:tcBorders>
              <w:top w:val="nil" w:sz="6" w:space="0" w:color="auto"/>
              <w:left w:val="nil" w:sz="6" w:space="0" w:color="auto"/>
              <w:bottom w:val="single" w:sz="8" w:space="0" w:color="848B91"/>
              <w:right w:val="nil" w:sz="6" w:space="0" w:color="auto"/>
            </w:tcBorders>
          </w:tcPr>
          <w:p>
            <w:pPr>
              <w:pStyle w:val="TableParagraph"/>
              <w:spacing w:line="240" w:lineRule="auto" w:before="16"/>
              <w:ind w:left="500" w:right="0"/>
              <w:jc w:val="left"/>
              <w:rPr>
                <w:rFonts w:ascii="Swis721 Lt BT" w:hAnsi="Swis721 Lt BT" w:cs="Swis721 Lt BT" w:eastAsia="Swis721 Lt BT"/>
                <w:sz w:val="18"/>
                <w:szCs w:val="18"/>
              </w:rPr>
            </w:pPr>
            <w:r>
              <w:rPr>
                <w:rFonts w:ascii="Swis721 Lt BT"/>
                <w:color w:val="231F20"/>
                <w:sz w:val="18"/>
              </w:rPr>
              <w:t>50,701</w:t>
            </w:r>
            <w:r>
              <w:rPr>
                <w:rFonts w:ascii="Swis721 Lt BT"/>
                <w:sz w:val="18"/>
              </w:rPr>
            </w:r>
          </w:p>
        </w:tc>
      </w:tr>
      <w:tr>
        <w:trPr>
          <w:trHeight w:val="349" w:hRule="exact"/>
        </w:trPr>
        <w:tc>
          <w:tcPr>
            <w:tcW w:w="5499"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z w:val="18"/>
              </w:rPr>
              <w:t>Net income from loans and receivables</w:t>
            </w:r>
            <w:r>
              <w:rPr>
                <w:rFonts w:ascii="Swis721 Md BT"/>
                <w:sz w:val="18"/>
              </w:rPr>
            </w:r>
          </w:p>
        </w:tc>
        <w:tc>
          <w:tcPr>
            <w:tcW w:w="137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09" w:right="0"/>
              <w:jc w:val="left"/>
              <w:rPr>
                <w:rFonts w:ascii="Swis721 Md BT" w:hAnsi="Swis721 Md BT" w:cs="Swis721 Md BT" w:eastAsia="Swis721 Md BT"/>
                <w:sz w:val="18"/>
                <w:szCs w:val="18"/>
              </w:rPr>
            </w:pPr>
            <w:r>
              <w:rPr>
                <w:rFonts w:ascii="Swis721 Md BT"/>
                <w:color w:val="231F20"/>
                <w:sz w:val="18"/>
              </w:rPr>
              <w:t>102,662</w:t>
            </w:r>
            <w:r>
              <w:rPr>
                <w:rFonts w:ascii="Swis721 Md BT"/>
                <w:sz w:val="18"/>
              </w:rPr>
            </w:r>
          </w:p>
        </w:tc>
        <w:tc>
          <w:tcPr>
            <w:tcW w:w="1121"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456" w:right="0"/>
              <w:jc w:val="left"/>
              <w:rPr>
                <w:rFonts w:ascii="Swis721 Md BT" w:hAnsi="Swis721 Md BT" w:cs="Swis721 Md BT" w:eastAsia="Swis721 Md BT"/>
                <w:sz w:val="18"/>
                <w:szCs w:val="18"/>
              </w:rPr>
            </w:pPr>
            <w:r>
              <w:rPr>
                <w:rFonts w:ascii="Swis721 Md BT"/>
                <w:color w:val="231F20"/>
                <w:sz w:val="18"/>
              </w:rPr>
              <w:t>50,701</w:t>
            </w:r>
            <w:r>
              <w:rPr>
                <w:rFonts w:ascii="Swis721 Md BT"/>
                <w:sz w:val="18"/>
              </w:rPr>
            </w:r>
          </w:p>
        </w:tc>
      </w:tr>
      <w:tr>
        <w:trPr>
          <w:trHeight w:val="349" w:hRule="exact"/>
        </w:trPr>
        <w:tc>
          <w:tcPr>
            <w:tcW w:w="5499"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z w:val="18"/>
              </w:rPr>
              <w:t>Net</w:t>
            </w:r>
            <w:r>
              <w:rPr>
                <w:rFonts w:ascii="Swis721 Md BT"/>
                <w:color w:val="231F20"/>
                <w:spacing w:val="-2"/>
                <w:sz w:val="18"/>
              </w:rPr>
              <w:t> </w:t>
            </w:r>
            <w:r>
              <w:rPr>
                <w:rFonts w:ascii="Swis721 Md BT"/>
                <w:color w:val="231F20"/>
                <w:sz w:val="18"/>
              </w:rPr>
              <w:t>income</w:t>
            </w:r>
            <w:r>
              <w:rPr>
                <w:rFonts w:ascii="Swis721 Md BT"/>
                <w:color w:val="231F20"/>
                <w:spacing w:val="-2"/>
                <w:sz w:val="18"/>
              </w:rPr>
              <w:t> </w:t>
            </w:r>
            <w:r>
              <w:rPr>
                <w:rFonts w:ascii="Swis721 Md BT"/>
                <w:color w:val="231F20"/>
                <w:sz w:val="18"/>
              </w:rPr>
              <w:t>from</w:t>
            </w:r>
            <w:r>
              <w:rPr>
                <w:rFonts w:ascii="Swis721 Md BT"/>
                <w:color w:val="231F20"/>
                <w:spacing w:val="-2"/>
                <w:sz w:val="18"/>
              </w:rPr>
              <w:t> </w:t>
            </w:r>
            <w:r>
              <w:rPr>
                <w:rFonts w:ascii="Swis721 Md BT"/>
                <w:color w:val="231F20"/>
                <w:sz w:val="18"/>
              </w:rPr>
              <w:t>financial</w:t>
            </w:r>
            <w:r>
              <w:rPr>
                <w:rFonts w:ascii="Swis721 Md BT"/>
                <w:color w:val="231F20"/>
                <w:spacing w:val="-1"/>
                <w:sz w:val="18"/>
              </w:rPr>
              <w:t> </w:t>
            </w:r>
            <w:r>
              <w:rPr>
                <w:rFonts w:ascii="Swis721 Md BT"/>
                <w:color w:val="231F20"/>
                <w:sz w:val="18"/>
              </w:rPr>
              <w:t>assets</w:t>
            </w:r>
            <w:r>
              <w:rPr>
                <w:rFonts w:ascii="Swis721 Md BT"/>
                <w:sz w:val="18"/>
              </w:rPr>
            </w:r>
          </w:p>
        </w:tc>
        <w:tc>
          <w:tcPr>
            <w:tcW w:w="137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09" w:right="0"/>
              <w:jc w:val="left"/>
              <w:rPr>
                <w:rFonts w:ascii="Swis721 Md BT" w:hAnsi="Swis721 Md BT" w:cs="Swis721 Md BT" w:eastAsia="Swis721 Md BT"/>
                <w:sz w:val="18"/>
                <w:szCs w:val="18"/>
              </w:rPr>
            </w:pPr>
            <w:r>
              <w:rPr>
                <w:rFonts w:ascii="Swis721 Md BT"/>
                <w:color w:val="231F20"/>
                <w:sz w:val="18"/>
              </w:rPr>
              <w:t>102,662</w:t>
            </w:r>
            <w:r>
              <w:rPr>
                <w:rFonts w:ascii="Swis721 Md BT"/>
                <w:sz w:val="18"/>
              </w:rPr>
            </w:r>
          </w:p>
        </w:tc>
        <w:tc>
          <w:tcPr>
            <w:tcW w:w="1121"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456" w:right="0"/>
              <w:jc w:val="left"/>
              <w:rPr>
                <w:rFonts w:ascii="Swis721 Md BT" w:hAnsi="Swis721 Md BT" w:cs="Swis721 Md BT" w:eastAsia="Swis721 Md BT"/>
                <w:sz w:val="18"/>
                <w:szCs w:val="18"/>
              </w:rPr>
            </w:pPr>
            <w:r>
              <w:rPr>
                <w:rFonts w:ascii="Swis721 Md BT"/>
                <w:color w:val="231F20"/>
                <w:sz w:val="18"/>
              </w:rPr>
              <w:t>50,701</w:t>
            </w:r>
            <w:r>
              <w:rPr>
                <w:rFonts w:ascii="Swis721 Md BT"/>
                <w:sz w:val="18"/>
              </w:rPr>
            </w:r>
          </w:p>
        </w:tc>
      </w:tr>
      <w:tr>
        <w:trPr>
          <w:trHeight w:val="761" w:hRule="exact"/>
        </w:trPr>
        <w:tc>
          <w:tcPr>
            <w:tcW w:w="5499" w:type="dxa"/>
            <w:tcBorders>
              <w:top w:val="single" w:sz="8" w:space="0" w:color="848B91"/>
              <w:left w:val="nil" w:sz="6" w:space="0" w:color="auto"/>
              <w:bottom w:val="nil" w:sz="6" w:space="0" w:color="auto"/>
              <w:right w:val="nil" w:sz="6" w:space="0" w:color="auto"/>
            </w:tcBorders>
          </w:tcPr>
          <w:p>
            <w:pPr>
              <w:pStyle w:val="TableParagraph"/>
              <w:spacing w:line="240" w:lineRule="auto"/>
              <w:ind w:right="0"/>
              <w:jc w:val="left"/>
              <w:rPr>
                <w:rFonts w:ascii="Swis721 Lt BT" w:hAnsi="Swis721 Lt BT" w:cs="Swis721 Lt BT" w:eastAsia="Swis721 Lt BT"/>
                <w:sz w:val="22"/>
                <w:szCs w:val="22"/>
              </w:rPr>
            </w:pPr>
          </w:p>
          <w:p>
            <w:pPr>
              <w:pStyle w:val="TableParagraph"/>
              <w:spacing w:line="240" w:lineRule="auto" w:before="169"/>
              <w:ind w:left="-1" w:right="0"/>
              <w:jc w:val="left"/>
              <w:rPr>
                <w:rFonts w:ascii="Swis721 Md BT" w:hAnsi="Swis721 Md BT" w:cs="Swis721 Md BT" w:eastAsia="Swis721 Md BT"/>
                <w:sz w:val="22"/>
                <w:szCs w:val="22"/>
              </w:rPr>
            </w:pPr>
            <w:r>
              <w:rPr>
                <w:rFonts w:ascii="Swis721 Md BT"/>
                <w:color w:val="00757A"/>
                <w:sz w:val="22"/>
              </w:rPr>
              <w:t>Net</w:t>
            </w:r>
            <w:r>
              <w:rPr>
                <w:rFonts w:ascii="Swis721 Md BT"/>
                <w:color w:val="00757A"/>
                <w:spacing w:val="-2"/>
                <w:sz w:val="22"/>
              </w:rPr>
              <w:t> </w:t>
            </w:r>
            <w:r>
              <w:rPr>
                <w:rFonts w:ascii="Swis721 Md BT"/>
                <w:color w:val="00757A"/>
                <w:sz w:val="22"/>
              </w:rPr>
              <w:t>income</w:t>
            </w:r>
            <w:r>
              <w:rPr>
                <w:rFonts w:ascii="Swis721 Md BT"/>
                <w:color w:val="00757A"/>
                <w:spacing w:val="-1"/>
                <w:sz w:val="22"/>
              </w:rPr>
              <w:t> </w:t>
            </w:r>
            <w:r>
              <w:rPr>
                <w:rFonts w:ascii="Swis721 Md BT"/>
                <w:color w:val="00757A"/>
                <w:sz w:val="22"/>
              </w:rPr>
              <w:t>and</w:t>
            </w:r>
            <w:r>
              <w:rPr>
                <w:rFonts w:ascii="Swis721 Md BT"/>
                <w:color w:val="00757A"/>
                <w:spacing w:val="-2"/>
                <w:sz w:val="22"/>
              </w:rPr>
              <w:t> </w:t>
            </w:r>
            <w:r>
              <w:rPr>
                <w:rFonts w:ascii="Swis721 Md BT"/>
                <w:color w:val="00757A"/>
                <w:sz w:val="22"/>
              </w:rPr>
              <w:t>expense</w:t>
            </w:r>
            <w:r>
              <w:rPr>
                <w:rFonts w:ascii="Swis721 Md BT"/>
                <w:color w:val="00757A"/>
                <w:spacing w:val="-1"/>
                <w:sz w:val="22"/>
              </w:rPr>
              <w:t> </w:t>
            </w:r>
            <w:r>
              <w:rPr>
                <w:rFonts w:ascii="Swis721 Md BT"/>
                <w:color w:val="00757A"/>
                <w:sz w:val="22"/>
              </w:rPr>
              <w:t>from</w:t>
            </w:r>
            <w:r>
              <w:rPr>
                <w:rFonts w:ascii="Swis721 Md BT"/>
                <w:color w:val="00757A"/>
                <w:spacing w:val="-1"/>
                <w:sz w:val="22"/>
              </w:rPr>
              <w:t> </w:t>
            </w:r>
            <w:r>
              <w:rPr>
                <w:rFonts w:ascii="Swis721 Md BT"/>
                <w:color w:val="00757A"/>
                <w:sz w:val="22"/>
              </w:rPr>
              <w:t>financial</w:t>
            </w:r>
            <w:r>
              <w:rPr>
                <w:rFonts w:ascii="Swis721 Md BT"/>
                <w:color w:val="00757A"/>
                <w:spacing w:val="-2"/>
                <w:sz w:val="22"/>
              </w:rPr>
              <w:t> </w:t>
            </w:r>
            <w:r>
              <w:rPr>
                <w:rFonts w:ascii="Swis721 Md BT"/>
                <w:color w:val="00757A"/>
                <w:sz w:val="22"/>
              </w:rPr>
              <w:t>liabilities</w:t>
            </w:r>
            <w:r>
              <w:rPr>
                <w:rFonts w:ascii="Swis721 Md BT"/>
                <w:sz w:val="22"/>
              </w:rPr>
            </w:r>
          </w:p>
        </w:tc>
        <w:tc>
          <w:tcPr>
            <w:tcW w:w="1373" w:type="dxa"/>
            <w:tcBorders>
              <w:top w:val="single" w:sz="8" w:space="0" w:color="848B91"/>
              <w:left w:val="nil" w:sz="6" w:space="0" w:color="auto"/>
              <w:bottom w:val="nil" w:sz="6" w:space="0" w:color="auto"/>
              <w:right w:val="nil" w:sz="6" w:space="0" w:color="auto"/>
            </w:tcBorders>
          </w:tcPr>
          <w:p>
            <w:pPr/>
          </w:p>
        </w:tc>
        <w:tc>
          <w:tcPr>
            <w:tcW w:w="1121" w:type="dxa"/>
            <w:tcBorders>
              <w:top w:val="single" w:sz="8" w:space="0" w:color="848B91"/>
              <w:left w:val="nil" w:sz="6" w:space="0" w:color="auto"/>
              <w:bottom w:val="nil" w:sz="6" w:space="0" w:color="auto"/>
              <w:right w:val="nil" w:sz="6" w:space="0" w:color="auto"/>
            </w:tcBorders>
          </w:tcPr>
          <w:p>
            <w:pPr/>
          </w:p>
        </w:tc>
      </w:tr>
      <w:tr>
        <w:trPr>
          <w:trHeight w:val="363" w:hRule="exact"/>
        </w:trPr>
        <w:tc>
          <w:tcPr>
            <w:tcW w:w="5499" w:type="dxa"/>
            <w:tcBorders>
              <w:top w:val="nil" w:sz="6" w:space="0" w:color="auto"/>
              <w:left w:val="nil" w:sz="6" w:space="0" w:color="auto"/>
              <w:bottom w:val="nil" w:sz="6" w:space="0" w:color="auto"/>
              <w:right w:val="nil" w:sz="6" w:space="0" w:color="auto"/>
            </w:tcBorders>
          </w:tcPr>
          <w:p>
            <w:pPr>
              <w:pStyle w:val="TableParagraph"/>
              <w:spacing w:line="240" w:lineRule="auto" w:before="42"/>
              <w:ind w:left="-1" w:right="0"/>
              <w:jc w:val="left"/>
              <w:rPr>
                <w:rFonts w:ascii="Swis721 Lt BT" w:hAnsi="Swis721 Lt BT" w:cs="Swis721 Lt BT" w:eastAsia="Swis721 Lt BT"/>
                <w:sz w:val="19"/>
                <w:szCs w:val="19"/>
              </w:rPr>
            </w:pPr>
            <w:r>
              <w:rPr>
                <w:rFonts w:ascii="Swis721 Lt BT"/>
                <w:color w:val="231F20"/>
                <w:sz w:val="19"/>
              </w:rPr>
              <w:t>There</w:t>
            </w:r>
            <w:r>
              <w:rPr>
                <w:rFonts w:ascii="Swis721 Lt BT"/>
                <w:color w:val="231F20"/>
                <w:spacing w:val="-1"/>
                <w:sz w:val="19"/>
              </w:rPr>
              <w:t> </w:t>
            </w:r>
            <w:r>
              <w:rPr>
                <w:rFonts w:ascii="Swis721 Lt BT"/>
                <w:color w:val="231F20"/>
                <w:sz w:val="19"/>
              </w:rPr>
              <w:t>was</w:t>
            </w:r>
            <w:r>
              <w:rPr>
                <w:rFonts w:ascii="Swis721 Lt BT"/>
                <w:color w:val="231F20"/>
                <w:spacing w:val="-1"/>
                <w:sz w:val="19"/>
              </w:rPr>
              <w:t> </w:t>
            </w:r>
            <w:r>
              <w:rPr>
                <w:rFonts w:ascii="Swis721 Lt BT"/>
                <w:color w:val="231F20"/>
                <w:sz w:val="19"/>
              </w:rPr>
              <w:t>no</w:t>
            </w:r>
            <w:r>
              <w:rPr>
                <w:rFonts w:ascii="Swis721 Lt BT"/>
                <w:color w:val="231F20"/>
                <w:spacing w:val="-1"/>
                <w:sz w:val="19"/>
              </w:rPr>
              <w:t> </w:t>
            </w:r>
            <w:r>
              <w:rPr>
                <w:rFonts w:ascii="Swis721 Lt BT"/>
                <w:color w:val="231F20"/>
                <w:sz w:val="19"/>
              </w:rPr>
              <w:t>income</w:t>
            </w:r>
            <w:r>
              <w:rPr>
                <w:rFonts w:ascii="Swis721 Lt BT"/>
                <w:color w:val="231F20"/>
                <w:spacing w:val="-1"/>
                <w:sz w:val="19"/>
              </w:rPr>
              <w:t> </w:t>
            </w:r>
            <w:r>
              <w:rPr>
                <w:rFonts w:ascii="Swis721 Lt BT"/>
                <w:color w:val="231F20"/>
                <w:sz w:val="19"/>
              </w:rPr>
              <w:t>or</w:t>
            </w:r>
            <w:r>
              <w:rPr>
                <w:rFonts w:ascii="Swis721 Lt BT"/>
                <w:color w:val="231F20"/>
                <w:spacing w:val="-1"/>
                <w:sz w:val="19"/>
              </w:rPr>
              <w:t> </w:t>
            </w:r>
            <w:r>
              <w:rPr>
                <w:rFonts w:ascii="Swis721 Lt BT"/>
                <w:color w:val="231F20"/>
                <w:sz w:val="19"/>
              </w:rPr>
              <w:t>expense</w:t>
            </w:r>
            <w:r>
              <w:rPr>
                <w:rFonts w:ascii="Swis721 Lt BT"/>
                <w:color w:val="231F20"/>
                <w:spacing w:val="-1"/>
                <w:sz w:val="19"/>
              </w:rPr>
              <w:t> </w:t>
            </w:r>
            <w:r>
              <w:rPr>
                <w:rFonts w:ascii="Swis721 Lt BT"/>
                <w:color w:val="231F20"/>
                <w:sz w:val="19"/>
              </w:rPr>
              <w:t>from financial</w:t>
            </w:r>
            <w:r>
              <w:rPr>
                <w:rFonts w:ascii="Swis721 Lt BT"/>
                <w:color w:val="231F20"/>
                <w:spacing w:val="-1"/>
                <w:sz w:val="19"/>
              </w:rPr>
              <w:t> </w:t>
            </w:r>
            <w:r>
              <w:rPr>
                <w:rFonts w:ascii="Swis721 Lt BT"/>
                <w:color w:val="231F20"/>
                <w:sz w:val="19"/>
              </w:rPr>
              <w:t>liabilities.</w:t>
            </w:r>
            <w:r>
              <w:rPr>
                <w:rFonts w:ascii="Swis721 Lt BT"/>
                <w:sz w:val="19"/>
              </w:rPr>
            </w:r>
          </w:p>
        </w:tc>
        <w:tc>
          <w:tcPr>
            <w:tcW w:w="1373"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r>
    </w:tbl>
    <w:p>
      <w:pPr>
        <w:spacing w:line="240" w:lineRule="auto" w:before="9"/>
        <w:rPr>
          <w:rFonts w:ascii="Swis721 Lt BT" w:hAnsi="Swis721 Lt BT" w:cs="Swis721 Lt BT" w:eastAsia="Swis721 Lt BT"/>
          <w:sz w:val="10"/>
          <w:szCs w:val="10"/>
        </w:rPr>
      </w:pPr>
    </w:p>
    <w:p>
      <w:pPr>
        <w:pStyle w:val="Heading8"/>
        <w:spacing w:line="240" w:lineRule="auto" w:before="65"/>
        <w:ind w:right="0"/>
        <w:jc w:val="left"/>
      </w:pPr>
      <w:r>
        <w:rPr>
          <w:color w:val="00757A"/>
        </w:rPr>
        <w:t>New Accounting Standard Adopted</w:t>
      </w:r>
      <w:r>
        <w:rPr/>
      </w:r>
    </w:p>
    <w:p>
      <w:pPr>
        <w:spacing w:before="106"/>
        <w:ind w:left="110" w:right="114" w:firstLine="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AASB 9 </w:t>
      </w:r>
      <w:r>
        <w:rPr>
          <w:rFonts w:ascii="Swis721 Lt BT" w:hAnsi="Swis721 Lt BT" w:cs="Swis721 Lt BT" w:eastAsia="Swis721 Lt BT"/>
          <w:i/>
          <w:color w:val="231F20"/>
          <w:sz w:val="19"/>
          <w:szCs w:val="19"/>
        </w:rPr>
        <w:t>Financial Instruments replaces </w:t>
      </w:r>
      <w:r>
        <w:rPr>
          <w:rFonts w:ascii="Swis721 Lt BT" w:hAnsi="Swis721 Lt BT" w:cs="Swis721 Lt BT" w:eastAsia="Swis721 Lt BT"/>
          <w:color w:val="231F20"/>
          <w:sz w:val="19"/>
          <w:szCs w:val="19"/>
        </w:rPr>
        <w:t>AASB 139 </w:t>
      </w:r>
      <w:r>
        <w:rPr>
          <w:rFonts w:ascii="Swis721 Lt BT" w:hAnsi="Swis721 Lt BT" w:cs="Swis721 Lt BT" w:eastAsia="Swis721 Lt BT"/>
          <w:i/>
          <w:color w:val="231F20"/>
          <w:sz w:val="19"/>
          <w:szCs w:val="19"/>
        </w:rPr>
        <w:t>Financial Instruments: Recognition and</w:t>
      </w:r>
      <w:r>
        <w:rPr>
          <w:rFonts w:ascii="Swis721 Lt BT" w:hAnsi="Swis721 Lt BT" w:cs="Swis721 Lt BT" w:eastAsia="Swis721 Lt BT"/>
          <w:i/>
          <w:color w:val="231F20"/>
          <w:sz w:val="19"/>
          <w:szCs w:val="19"/>
        </w:rPr>
        <w:t> Measurement</w:t>
      </w:r>
      <w:r>
        <w:rPr>
          <w:rFonts w:ascii="Swis721 Lt BT" w:hAnsi="Swis721 Lt BT" w:cs="Swis721 Lt BT" w:eastAsia="Swis721 Lt BT"/>
          <w:color w:val="231F20"/>
          <w:sz w:val="19"/>
          <w:szCs w:val="19"/>
        </w:rPr>
        <w:t>.</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It</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makes</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changes</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to</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the</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previous</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guidance</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on the</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classification</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and</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measurement</w:t>
      </w:r>
      <w:r>
        <w:rPr>
          <w:rFonts w:ascii="Swis721 Lt BT" w:hAnsi="Swis721 Lt BT" w:cs="Swis721 Lt BT" w:eastAsia="Swis721 Lt BT"/>
          <w:color w:val="231F20"/>
          <w:sz w:val="19"/>
          <w:szCs w:val="19"/>
        </w:rPr>
        <w:t> of</w:t>
      </w:r>
      <w:r>
        <w:rPr>
          <w:rFonts w:ascii="Swis721 Lt BT" w:hAnsi="Swis721 Lt BT" w:cs="Swis721 Lt BT" w:eastAsia="Swis721 Lt BT"/>
          <w:color w:val="231F20"/>
          <w:spacing w:val="-2"/>
          <w:sz w:val="19"/>
          <w:szCs w:val="19"/>
        </w:rPr>
        <w:t> </w:t>
      </w:r>
      <w:r>
        <w:rPr>
          <w:rFonts w:ascii="Swis721 Lt BT" w:hAnsi="Swis721 Lt BT" w:cs="Swis721 Lt BT" w:eastAsia="Swis721 Lt BT"/>
          <w:color w:val="231F20"/>
          <w:sz w:val="19"/>
          <w:szCs w:val="19"/>
        </w:rPr>
        <w:t>financial</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assets</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and</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introduces</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an</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‘expected</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credit</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loss’</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model</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for</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impairment</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of</w:t>
      </w:r>
      <w:r>
        <w:rPr>
          <w:rFonts w:ascii="Swis721 Lt BT" w:hAnsi="Swis721 Lt BT" w:cs="Swis721 Lt BT" w:eastAsia="Swis721 Lt BT"/>
          <w:color w:val="231F20"/>
          <w:spacing w:val="-1"/>
          <w:sz w:val="19"/>
          <w:szCs w:val="19"/>
        </w:rPr>
        <w:t> </w:t>
      </w:r>
      <w:r>
        <w:rPr>
          <w:rFonts w:ascii="Swis721 Lt BT" w:hAnsi="Swis721 Lt BT" w:cs="Swis721 Lt BT" w:eastAsia="Swis721 Lt BT"/>
          <w:color w:val="231F20"/>
          <w:sz w:val="19"/>
          <w:szCs w:val="19"/>
        </w:rPr>
        <w:t>financial</w:t>
      </w:r>
      <w:r>
        <w:rPr>
          <w:rFonts w:ascii="Swis721 Lt BT" w:hAnsi="Swis721 Lt BT" w:cs="Swis721 Lt BT" w:eastAsia="Swis721 Lt BT"/>
          <w:color w:val="231F20"/>
          <w:w w:val="99"/>
          <w:sz w:val="19"/>
          <w:szCs w:val="19"/>
        </w:rPr>
        <w:t> </w:t>
      </w:r>
      <w:r>
        <w:rPr>
          <w:rFonts w:ascii="Swis721 Lt BT" w:hAnsi="Swis721 Lt BT" w:cs="Swis721 Lt BT" w:eastAsia="Swis721 Lt BT"/>
          <w:color w:val="231F20"/>
          <w:sz w:val="19"/>
          <w:szCs w:val="19"/>
        </w:rPr>
        <w:t>assets.</w:t>
      </w:r>
      <w:r>
        <w:rPr>
          <w:rFonts w:ascii="Swis721 Lt BT" w:hAnsi="Swis721 Lt BT" w:cs="Swis721 Lt BT" w:eastAsia="Swis721 Lt BT"/>
          <w:sz w:val="19"/>
          <w:szCs w:val="19"/>
        </w:rPr>
      </w:r>
    </w:p>
    <w:p>
      <w:pPr>
        <w:pStyle w:val="BodyText"/>
        <w:spacing w:line="240" w:lineRule="auto"/>
        <w:ind w:right="250"/>
        <w:jc w:val="both"/>
      </w:pPr>
      <w:r>
        <w:rPr>
          <w:color w:val="231F20"/>
        </w:rPr>
        <w:t>The</w:t>
      </w:r>
      <w:r>
        <w:rPr>
          <w:color w:val="231F20"/>
          <w:spacing w:val="-1"/>
        </w:rPr>
        <w:t> </w:t>
      </w:r>
      <w:r>
        <w:rPr>
          <w:color w:val="231F20"/>
        </w:rPr>
        <w:t>adoption of</w:t>
      </w:r>
      <w:r>
        <w:rPr>
          <w:color w:val="231F20"/>
          <w:spacing w:val="-1"/>
        </w:rPr>
        <w:t> </w:t>
      </w:r>
      <w:r>
        <w:rPr>
          <w:color w:val="231F20"/>
        </w:rPr>
        <w:t>AASB 9</w:t>
      </w:r>
      <w:r>
        <w:rPr>
          <w:color w:val="231F20"/>
          <w:spacing w:val="-1"/>
        </w:rPr>
        <w:t> </w:t>
      </w:r>
      <w:r>
        <w:rPr>
          <w:color w:val="231F20"/>
        </w:rPr>
        <w:t>in the current</w:t>
      </w:r>
      <w:r>
        <w:rPr>
          <w:color w:val="231F20"/>
          <w:spacing w:val="-1"/>
        </w:rPr>
        <w:t> </w:t>
      </w:r>
      <w:r>
        <w:rPr>
          <w:color w:val="231F20"/>
        </w:rPr>
        <w:t>financial year</w:t>
      </w:r>
      <w:r>
        <w:rPr>
          <w:color w:val="231F20"/>
          <w:spacing w:val="-1"/>
        </w:rPr>
        <w:t> </w:t>
      </w:r>
      <w:r>
        <w:rPr>
          <w:color w:val="231F20"/>
        </w:rPr>
        <w:t>has not required</w:t>
      </w:r>
      <w:r>
        <w:rPr>
          <w:color w:val="231F20"/>
          <w:spacing w:val="-1"/>
        </w:rPr>
        <w:t> </w:t>
      </w:r>
      <w:r>
        <w:rPr>
          <w:color w:val="231F20"/>
        </w:rPr>
        <w:t>changes to</w:t>
      </w:r>
      <w:r>
        <w:rPr>
          <w:color w:val="231F20"/>
          <w:spacing w:val="-1"/>
        </w:rPr>
        <w:t> </w:t>
      </w:r>
      <w:r>
        <w:rPr>
          <w:color w:val="231F20"/>
        </w:rPr>
        <w:t>the accounting</w:t>
      </w:r>
      <w:r>
        <w:rPr>
          <w:color w:val="231F20"/>
        </w:rPr>
        <w:t> treatment</w:t>
      </w:r>
      <w:r>
        <w:rPr>
          <w:color w:val="231F20"/>
          <w:spacing w:val="-1"/>
        </w:rPr>
        <w:t> </w:t>
      </w:r>
      <w:r>
        <w:rPr>
          <w:color w:val="231F20"/>
        </w:rPr>
        <w:t>of</w:t>
      </w:r>
      <w:r>
        <w:rPr>
          <w:color w:val="231F20"/>
          <w:spacing w:val="-1"/>
        </w:rPr>
        <w:t> </w:t>
      </w:r>
      <w:r>
        <w:rPr>
          <w:color w:val="231F20"/>
        </w:rPr>
        <w:t>financial</w:t>
      </w:r>
      <w:r>
        <w:rPr>
          <w:color w:val="231F20"/>
          <w:spacing w:val="-1"/>
        </w:rPr>
        <w:t> </w:t>
      </w:r>
      <w:r>
        <w:rPr>
          <w:color w:val="231F20"/>
        </w:rPr>
        <w:t>assets</w:t>
      </w:r>
      <w:r>
        <w:rPr>
          <w:color w:val="231F20"/>
          <w:spacing w:val="-1"/>
        </w:rPr>
        <w:t> </w:t>
      </w:r>
      <w:r>
        <w:rPr>
          <w:color w:val="231F20"/>
        </w:rPr>
        <w:t>and</w:t>
      </w:r>
      <w:r>
        <w:rPr>
          <w:color w:val="231F20"/>
          <w:spacing w:val="-1"/>
        </w:rPr>
        <w:t> </w:t>
      </w:r>
      <w:r>
        <w:rPr>
          <w:color w:val="231F20"/>
        </w:rPr>
        <w:t>liabilities</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financial report.</w:t>
      </w:r>
      <w:r>
        <w:rPr>
          <w:color w:val="231F20"/>
          <w:spacing w:val="-1"/>
        </w:rPr>
        <w:t> </w:t>
      </w:r>
      <w:r>
        <w:rPr>
          <w:color w:val="231F20"/>
        </w:rPr>
        <w:t>No</w:t>
      </w:r>
      <w:r>
        <w:rPr>
          <w:color w:val="231F20"/>
          <w:spacing w:val="-1"/>
        </w:rPr>
        <w:t> </w:t>
      </w:r>
      <w:r>
        <w:rPr>
          <w:color w:val="231F20"/>
        </w:rPr>
        <w:t>restatement</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prior</w:t>
      </w:r>
      <w:r>
        <w:rPr>
          <w:color w:val="231F20"/>
          <w:spacing w:val="-1"/>
        </w:rPr>
        <w:t> </w:t>
      </w:r>
      <w:r>
        <w:rPr>
          <w:color w:val="231F20"/>
        </w:rPr>
        <w:t>year</w:t>
      </w:r>
      <w:r>
        <w:rPr>
          <w:color w:val="231F20"/>
        </w:rPr>
        <w:t> financial</w:t>
      </w:r>
      <w:r>
        <w:rPr>
          <w:color w:val="231F20"/>
          <w:spacing w:val="-3"/>
        </w:rPr>
        <w:t> </w:t>
      </w:r>
      <w:r>
        <w:rPr>
          <w:color w:val="231F20"/>
        </w:rPr>
        <w:t>report</w:t>
      </w:r>
      <w:r>
        <w:rPr>
          <w:color w:val="231F20"/>
          <w:spacing w:val="-2"/>
        </w:rPr>
        <w:t> </w:t>
      </w:r>
      <w:r>
        <w:rPr>
          <w:color w:val="231F20"/>
        </w:rPr>
        <w:t>is</w:t>
      </w:r>
      <w:r>
        <w:rPr>
          <w:color w:val="231F20"/>
          <w:spacing w:val="-2"/>
        </w:rPr>
        <w:t> </w:t>
      </w:r>
      <w:r>
        <w:rPr>
          <w:color w:val="231F20"/>
        </w:rPr>
        <w:t>required.</w:t>
      </w:r>
      <w:r>
        <w:rPr/>
      </w:r>
    </w:p>
    <w:p>
      <w:pPr>
        <w:spacing w:line="240" w:lineRule="auto" w:before="11"/>
        <w:rPr>
          <w:rFonts w:ascii="Swis721 Lt BT" w:hAnsi="Swis721 Lt BT" w:cs="Swis721 Lt BT" w:eastAsia="Swis721 Lt BT"/>
          <w:sz w:val="23"/>
          <w:szCs w:val="23"/>
        </w:rPr>
      </w:pPr>
    </w:p>
    <w:p>
      <w:pPr>
        <w:pStyle w:val="Heading8"/>
        <w:spacing w:line="240" w:lineRule="auto" w:before="0"/>
        <w:ind w:right="0"/>
        <w:jc w:val="left"/>
      </w:pPr>
      <w:r>
        <w:rPr>
          <w:color w:val="00757A"/>
        </w:rPr>
        <w:t>Recognition, initial measurement and derecognition</w:t>
      </w:r>
      <w:r>
        <w:rPr/>
      </w:r>
    </w:p>
    <w:p>
      <w:pPr>
        <w:pStyle w:val="BodyText"/>
        <w:spacing w:line="240" w:lineRule="auto" w:before="106"/>
        <w:ind w:right="296"/>
        <w:jc w:val="left"/>
      </w:pPr>
      <w:r>
        <w:rPr>
          <w:color w:val="231F20"/>
        </w:rPr>
        <w:t>Financial</w:t>
      </w:r>
      <w:r>
        <w:rPr>
          <w:color w:val="231F20"/>
          <w:spacing w:val="-1"/>
        </w:rPr>
        <w:t> </w:t>
      </w:r>
      <w:r>
        <w:rPr>
          <w:color w:val="231F20"/>
        </w:rPr>
        <w:t>assets</w:t>
      </w:r>
      <w:r>
        <w:rPr>
          <w:color w:val="231F20"/>
          <w:spacing w:val="-1"/>
        </w:rPr>
        <w:t> </w:t>
      </w:r>
      <w:r>
        <w:rPr>
          <w:color w:val="231F20"/>
        </w:rPr>
        <w:t>and financial</w:t>
      </w:r>
      <w:r>
        <w:rPr>
          <w:color w:val="231F20"/>
          <w:spacing w:val="-1"/>
        </w:rPr>
        <w:t> </w:t>
      </w:r>
      <w:r>
        <w:rPr>
          <w:color w:val="231F20"/>
        </w:rPr>
        <w:t>liabilities are</w:t>
      </w:r>
      <w:r>
        <w:rPr>
          <w:color w:val="231F20"/>
          <w:spacing w:val="-1"/>
        </w:rPr>
        <w:t> </w:t>
      </w:r>
      <w:r>
        <w:rPr>
          <w:color w:val="231F20"/>
        </w:rPr>
        <w:t>recognised when</w:t>
      </w:r>
      <w:r>
        <w:rPr>
          <w:color w:val="231F20"/>
          <w:spacing w:val="-1"/>
        </w:rPr>
        <w:t> </w:t>
      </w:r>
      <w:r>
        <w:rPr>
          <w:color w:val="231F20"/>
        </w:rPr>
        <w:t>AITSL becomes</w:t>
      </w:r>
      <w:r>
        <w:rPr>
          <w:color w:val="231F20"/>
          <w:spacing w:val="-1"/>
        </w:rPr>
        <w:t> </w:t>
      </w:r>
      <w:r>
        <w:rPr>
          <w:color w:val="231F20"/>
        </w:rPr>
        <w:t>a party</w:t>
      </w:r>
      <w:r>
        <w:rPr>
          <w:color w:val="231F20"/>
          <w:spacing w:val="-1"/>
        </w:rPr>
        <w:t> </w:t>
      </w:r>
      <w:r>
        <w:rPr>
          <w:color w:val="231F20"/>
        </w:rPr>
        <w:t>to the</w:t>
      </w:r>
      <w:r>
        <w:rPr>
          <w:color w:val="231F20"/>
        </w:rPr>
        <w:t> contractual</w:t>
      </w:r>
      <w:r>
        <w:rPr>
          <w:color w:val="231F20"/>
          <w:spacing w:val="-1"/>
        </w:rPr>
        <w:t> </w:t>
      </w:r>
      <w:r>
        <w:rPr>
          <w:color w:val="231F20"/>
        </w:rPr>
        <w:t>provisions</w:t>
      </w:r>
      <w:r>
        <w:rPr>
          <w:color w:val="231F20"/>
          <w:spacing w:val="-1"/>
        </w:rPr>
        <w:t> </w:t>
      </w:r>
      <w:r>
        <w:rPr>
          <w:color w:val="231F20"/>
        </w:rPr>
        <w:t>of the</w:t>
      </w:r>
      <w:r>
        <w:rPr>
          <w:color w:val="231F20"/>
          <w:spacing w:val="-1"/>
        </w:rPr>
        <w:t> </w:t>
      </w:r>
      <w:r>
        <w:rPr>
          <w:color w:val="231F20"/>
        </w:rPr>
        <w:t>financial instrument,</w:t>
      </w:r>
      <w:r>
        <w:rPr>
          <w:color w:val="231F20"/>
          <w:spacing w:val="-1"/>
        </w:rPr>
        <w:t> </w:t>
      </w:r>
      <w:r>
        <w:rPr>
          <w:color w:val="231F20"/>
        </w:rPr>
        <w:t>and are</w:t>
      </w:r>
      <w:r>
        <w:rPr>
          <w:color w:val="231F20"/>
          <w:spacing w:val="-1"/>
        </w:rPr>
        <w:t> </w:t>
      </w:r>
      <w:r>
        <w:rPr>
          <w:color w:val="231F20"/>
        </w:rPr>
        <w:t>measured</w:t>
      </w:r>
      <w:r>
        <w:rPr>
          <w:color w:val="231F20"/>
          <w:spacing w:val="-1"/>
        </w:rPr>
        <w:t> </w:t>
      </w:r>
      <w:r>
        <w:rPr>
          <w:color w:val="231F20"/>
        </w:rPr>
        <w:t>initially at</w:t>
      </w:r>
      <w:r>
        <w:rPr>
          <w:color w:val="231F20"/>
          <w:spacing w:val="-1"/>
        </w:rPr>
        <w:t> </w:t>
      </w:r>
      <w:r>
        <w:rPr>
          <w:color w:val="231F20"/>
        </w:rPr>
        <w:t>fair value</w:t>
      </w:r>
      <w:r>
        <w:rPr>
          <w:color w:val="231F20"/>
        </w:rPr>
        <w:t> adjusted</w:t>
      </w:r>
      <w:r>
        <w:rPr>
          <w:color w:val="231F20"/>
          <w:spacing w:val="-1"/>
        </w:rPr>
        <w:t> </w:t>
      </w:r>
      <w:r>
        <w:rPr>
          <w:color w:val="231F20"/>
        </w:rPr>
        <w:t>by transaction costs,</w:t>
      </w:r>
      <w:r>
        <w:rPr>
          <w:color w:val="231F20"/>
          <w:spacing w:val="-1"/>
        </w:rPr>
        <w:t> </w:t>
      </w:r>
      <w:r>
        <w:rPr>
          <w:color w:val="231F20"/>
        </w:rPr>
        <w:t>except for those carried</w:t>
      </w:r>
      <w:r>
        <w:rPr>
          <w:color w:val="231F20"/>
          <w:spacing w:val="-1"/>
        </w:rPr>
        <w:t> </w:t>
      </w:r>
      <w:r>
        <w:rPr>
          <w:color w:val="231F20"/>
        </w:rPr>
        <w:t>at fair value</w:t>
      </w:r>
      <w:r>
        <w:rPr>
          <w:color w:val="231F20"/>
          <w:spacing w:val="-1"/>
        </w:rPr>
        <w:t> </w:t>
      </w:r>
      <w:r>
        <w:rPr>
          <w:color w:val="231F20"/>
        </w:rPr>
        <w:t>through profit or loss,</w:t>
      </w:r>
      <w:r>
        <w:rPr>
          <w:color w:val="231F20"/>
          <w:spacing w:val="-1"/>
        </w:rPr>
        <w:t> </w:t>
      </w:r>
      <w:r>
        <w:rPr>
          <w:color w:val="231F20"/>
        </w:rPr>
        <w:t>which</w:t>
      </w:r>
      <w:r>
        <w:rPr>
          <w:color w:val="231F20"/>
        </w:rPr>
        <w:t> are</w:t>
      </w:r>
      <w:r>
        <w:rPr>
          <w:color w:val="231F20"/>
          <w:spacing w:val="-2"/>
        </w:rPr>
        <w:t> </w:t>
      </w:r>
      <w:r>
        <w:rPr>
          <w:color w:val="231F20"/>
        </w:rPr>
        <w:t>measured</w:t>
      </w:r>
      <w:r>
        <w:rPr>
          <w:color w:val="231F20"/>
          <w:spacing w:val="-1"/>
        </w:rPr>
        <w:t> </w:t>
      </w:r>
      <w:r>
        <w:rPr>
          <w:color w:val="231F20"/>
        </w:rPr>
        <w:t>initially</w:t>
      </w:r>
      <w:r>
        <w:rPr>
          <w:color w:val="231F20"/>
          <w:spacing w:val="-1"/>
        </w:rPr>
        <w:t> </w:t>
      </w:r>
      <w:r>
        <w:rPr>
          <w:color w:val="231F20"/>
        </w:rPr>
        <w:t>at</w:t>
      </w:r>
      <w:r>
        <w:rPr>
          <w:color w:val="231F20"/>
          <w:spacing w:val="-1"/>
        </w:rPr>
        <w:t> </w:t>
      </w:r>
      <w:r>
        <w:rPr>
          <w:color w:val="231F20"/>
        </w:rPr>
        <w:t>fair</w:t>
      </w:r>
      <w:r>
        <w:rPr>
          <w:color w:val="231F20"/>
          <w:spacing w:val="-1"/>
        </w:rPr>
        <w:t> </w:t>
      </w:r>
      <w:r>
        <w:rPr>
          <w:color w:val="231F20"/>
        </w:rPr>
        <w:t>value.</w:t>
      </w:r>
      <w:r>
        <w:rPr>
          <w:color w:val="231F20"/>
          <w:spacing w:val="-1"/>
        </w:rPr>
        <w:t> </w:t>
      </w:r>
      <w:r>
        <w:rPr>
          <w:color w:val="231F20"/>
        </w:rPr>
        <w:t>Subsequent</w:t>
      </w:r>
      <w:r>
        <w:rPr>
          <w:color w:val="231F20"/>
          <w:spacing w:val="-1"/>
        </w:rPr>
        <w:t> </w:t>
      </w:r>
      <w:r>
        <w:rPr>
          <w:color w:val="231F20"/>
        </w:rPr>
        <w:t>measurement</w:t>
      </w:r>
      <w:r>
        <w:rPr>
          <w:color w:val="231F20"/>
          <w:spacing w:val="-1"/>
        </w:rPr>
        <w:t> </w:t>
      </w:r>
      <w:r>
        <w:rPr>
          <w:color w:val="231F20"/>
        </w:rPr>
        <w:t>of</w:t>
      </w:r>
      <w:r>
        <w:rPr>
          <w:color w:val="231F20"/>
          <w:spacing w:val="-2"/>
        </w:rPr>
        <w:t> </w:t>
      </w:r>
      <w:r>
        <w:rPr>
          <w:color w:val="231F20"/>
        </w:rPr>
        <w:t>financial</w:t>
      </w:r>
      <w:r>
        <w:rPr>
          <w:color w:val="231F20"/>
          <w:spacing w:val="-1"/>
        </w:rPr>
        <w:t> </w:t>
      </w:r>
      <w:r>
        <w:rPr>
          <w:color w:val="231F20"/>
        </w:rPr>
        <w:t>assets</w:t>
      </w:r>
      <w:r>
        <w:rPr>
          <w:color w:val="231F20"/>
          <w:spacing w:val="-1"/>
        </w:rPr>
        <w:t> </w:t>
      </w:r>
      <w:r>
        <w:rPr>
          <w:color w:val="231F20"/>
        </w:rPr>
        <w:t>and</w:t>
      </w:r>
      <w:r>
        <w:rPr>
          <w:color w:val="231F20"/>
          <w:spacing w:val="-1"/>
        </w:rPr>
        <w:t> </w:t>
      </w:r>
      <w:r>
        <w:rPr>
          <w:color w:val="231F20"/>
        </w:rPr>
        <w:t>financial</w:t>
      </w:r>
      <w:r>
        <w:rPr>
          <w:color w:val="231F20"/>
          <w:w w:val="99"/>
        </w:rPr>
        <w:t> </w:t>
      </w:r>
      <w:r>
        <w:rPr>
          <w:color w:val="231F20"/>
        </w:rPr>
        <w:t>liabilities are described </w:t>
      </w:r>
      <w:r>
        <w:rPr>
          <w:color w:val="231F20"/>
          <w:spacing w:val="-4"/>
        </w:rPr>
        <w:t>over.</w:t>
      </w:r>
      <w:r>
        <w:rPr/>
      </w:r>
    </w:p>
    <w:p>
      <w:pPr>
        <w:spacing w:after="0" w:line="240" w:lineRule="auto"/>
        <w:jc w:val="left"/>
        <w:sectPr>
          <w:pgSz w:w="9980" w:h="14180"/>
          <w:pgMar w:header="0" w:footer="452" w:top="940" w:bottom="640" w:left="740" w:right="1020"/>
        </w:sectPr>
      </w:pPr>
    </w:p>
    <w:p>
      <w:pPr>
        <w:spacing w:before="58"/>
        <w:ind w:left="0" w:right="10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16"/>
          <w:szCs w:val="16"/>
        </w:rPr>
      </w:pPr>
    </w:p>
    <w:p>
      <w:pPr>
        <w:spacing w:before="61"/>
        <w:ind w:left="113" w:right="0" w:firstLine="0"/>
        <w:jc w:val="left"/>
        <w:rPr>
          <w:rFonts w:ascii="Swis721 Lt BT" w:hAnsi="Swis721 Lt BT" w:cs="Swis721 Lt BT" w:eastAsia="Swis721 Lt BT"/>
          <w:sz w:val="24"/>
          <w:szCs w:val="24"/>
        </w:rPr>
      </w:pPr>
      <w:r>
        <w:rPr>
          <w:rFonts w:ascii="Swis721 Hv BT"/>
          <w:b/>
          <w:color w:val="005E63"/>
          <w:sz w:val="24"/>
        </w:rPr>
        <w:t>NOTE</w:t>
      </w:r>
      <w:r>
        <w:rPr>
          <w:rFonts w:ascii="Swis721 Hv BT"/>
          <w:b/>
          <w:color w:val="005E63"/>
          <w:spacing w:val="-2"/>
          <w:sz w:val="24"/>
        </w:rPr>
        <w:t> </w:t>
      </w:r>
      <w:r>
        <w:rPr>
          <w:rFonts w:ascii="Swis721 Hv BT"/>
          <w:b/>
          <w:color w:val="005E63"/>
          <w:sz w:val="24"/>
        </w:rPr>
        <w:t>10.</w:t>
      </w:r>
      <w:r>
        <w:rPr>
          <w:rFonts w:ascii="Swis721 Hv BT"/>
          <w:b/>
          <w:color w:val="005E63"/>
          <w:spacing w:val="-8"/>
          <w:sz w:val="24"/>
        </w:rPr>
        <w:t> </w:t>
      </w:r>
      <w:r>
        <w:rPr>
          <w:rFonts w:ascii="Swis721 BT"/>
          <w:color w:val="005E63"/>
          <w:sz w:val="24"/>
        </w:rPr>
        <w:t>FINANCIAL</w:t>
      </w:r>
      <w:r>
        <w:rPr>
          <w:rFonts w:ascii="Swis721 BT"/>
          <w:color w:val="005E63"/>
          <w:spacing w:val="-2"/>
          <w:sz w:val="24"/>
        </w:rPr>
        <w:t> </w:t>
      </w:r>
      <w:r>
        <w:rPr>
          <w:rFonts w:ascii="Swis721 BT"/>
          <w:color w:val="005E63"/>
          <w:sz w:val="24"/>
        </w:rPr>
        <w:t>INSTRUMENTS</w:t>
      </w:r>
      <w:r>
        <w:rPr>
          <w:rFonts w:ascii="Swis721 BT"/>
          <w:color w:val="005E63"/>
          <w:spacing w:val="-1"/>
          <w:sz w:val="24"/>
        </w:rPr>
        <w:t> </w:t>
      </w:r>
      <w:r>
        <w:rPr>
          <w:rFonts w:ascii="Swis721 Lt BT"/>
          <w:color w:val="005E63"/>
          <w:sz w:val="24"/>
        </w:rPr>
        <w:t>CONTINUED</w:t>
      </w:r>
      <w:r>
        <w:rPr>
          <w:rFonts w:ascii="Swis721 Lt BT"/>
          <w:sz w:val="24"/>
        </w:rPr>
      </w:r>
    </w:p>
    <w:p>
      <w:pPr>
        <w:pStyle w:val="BodyText"/>
        <w:spacing w:line="240" w:lineRule="auto" w:before="215"/>
        <w:ind w:left="113" w:right="114"/>
        <w:jc w:val="left"/>
      </w:pPr>
      <w:r>
        <w:rPr>
          <w:color w:val="231F20"/>
        </w:rPr>
        <w:t>Financial</w:t>
      </w:r>
      <w:r>
        <w:rPr>
          <w:color w:val="231F20"/>
          <w:spacing w:val="-1"/>
        </w:rPr>
        <w:t> </w:t>
      </w:r>
      <w:r>
        <w:rPr>
          <w:color w:val="231F20"/>
        </w:rPr>
        <w:t>assets</w:t>
      </w:r>
      <w:r>
        <w:rPr>
          <w:color w:val="231F20"/>
          <w:spacing w:val="-1"/>
        </w:rPr>
        <w:t> </w:t>
      </w:r>
      <w:r>
        <w:rPr>
          <w:color w:val="231F20"/>
        </w:rPr>
        <w:t>are</w:t>
      </w:r>
      <w:r>
        <w:rPr>
          <w:color w:val="231F20"/>
          <w:spacing w:val="-1"/>
        </w:rPr>
        <w:t> </w:t>
      </w:r>
      <w:r>
        <w:rPr>
          <w:color w:val="231F20"/>
        </w:rPr>
        <w:t>derecognised</w:t>
      </w:r>
      <w:r>
        <w:rPr>
          <w:color w:val="231F20"/>
          <w:spacing w:val="-1"/>
        </w:rPr>
        <w:t> </w:t>
      </w:r>
      <w:r>
        <w:rPr>
          <w:color w:val="231F20"/>
        </w:rPr>
        <w:t>when the</w:t>
      </w:r>
      <w:r>
        <w:rPr>
          <w:color w:val="231F20"/>
          <w:spacing w:val="-1"/>
        </w:rPr>
        <w:t> </w:t>
      </w:r>
      <w:r>
        <w:rPr>
          <w:color w:val="231F20"/>
        </w:rPr>
        <w:t>contractual</w:t>
      </w:r>
      <w:r>
        <w:rPr>
          <w:color w:val="231F20"/>
          <w:spacing w:val="-1"/>
        </w:rPr>
        <w:t> </w:t>
      </w:r>
      <w:r>
        <w:rPr>
          <w:color w:val="231F20"/>
        </w:rPr>
        <w:t>rights</w:t>
      </w:r>
      <w:r>
        <w:rPr>
          <w:color w:val="231F20"/>
          <w:spacing w:val="-1"/>
        </w:rPr>
        <w:t> </w:t>
      </w:r>
      <w:r>
        <w:rPr>
          <w:color w:val="231F20"/>
        </w:rPr>
        <w:t>to</w:t>
      </w:r>
      <w:r>
        <w:rPr>
          <w:color w:val="231F20"/>
          <w:spacing w:val="-1"/>
        </w:rPr>
        <w:t> </w:t>
      </w:r>
      <w:r>
        <w:rPr>
          <w:color w:val="231F20"/>
        </w:rPr>
        <w:t>the cash</w:t>
      </w:r>
      <w:r>
        <w:rPr>
          <w:color w:val="231F20"/>
          <w:spacing w:val="-1"/>
        </w:rPr>
        <w:t> </w:t>
      </w:r>
      <w:r>
        <w:rPr>
          <w:color w:val="231F20"/>
        </w:rPr>
        <w:t>flows</w:t>
      </w:r>
      <w:r>
        <w:rPr>
          <w:color w:val="231F20"/>
          <w:spacing w:val="-1"/>
        </w:rPr>
        <w:t> </w:t>
      </w:r>
      <w:r>
        <w:rPr>
          <w:color w:val="231F20"/>
        </w:rPr>
        <w:t>from</w:t>
      </w:r>
      <w:r>
        <w:rPr>
          <w:color w:val="231F20"/>
          <w:spacing w:val="-1"/>
        </w:rPr>
        <w:t> </w:t>
      </w:r>
      <w:r>
        <w:rPr>
          <w:color w:val="231F20"/>
        </w:rPr>
        <w:t>the financial</w:t>
      </w:r>
      <w:r>
        <w:rPr>
          <w:color w:val="231F20"/>
          <w:w w:val="99"/>
        </w:rPr>
        <w:t> </w:t>
      </w:r>
      <w:r>
        <w:rPr>
          <w:color w:val="231F20"/>
        </w:rPr>
        <w:t>asset</w:t>
      </w:r>
      <w:r>
        <w:rPr>
          <w:color w:val="231F20"/>
          <w:spacing w:val="-1"/>
        </w:rPr>
        <w:t> </w:t>
      </w:r>
      <w:r>
        <w:rPr>
          <w:color w:val="231F20"/>
        </w:rPr>
        <w:t>expire, or</w:t>
      </w:r>
      <w:r>
        <w:rPr>
          <w:color w:val="231F20"/>
          <w:spacing w:val="-1"/>
        </w:rPr>
        <w:t> </w:t>
      </w:r>
      <w:r>
        <w:rPr>
          <w:color w:val="231F20"/>
        </w:rPr>
        <w:t>when the</w:t>
      </w:r>
      <w:r>
        <w:rPr>
          <w:color w:val="231F20"/>
          <w:spacing w:val="-1"/>
        </w:rPr>
        <w:t> </w:t>
      </w:r>
      <w:r>
        <w:rPr>
          <w:color w:val="231F20"/>
        </w:rPr>
        <w:t>financial asset</w:t>
      </w:r>
      <w:r>
        <w:rPr>
          <w:color w:val="231F20"/>
          <w:spacing w:val="-1"/>
        </w:rPr>
        <w:t> </w:t>
      </w:r>
      <w:r>
        <w:rPr>
          <w:color w:val="231F20"/>
        </w:rPr>
        <w:t>and all</w:t>
      </w:r>
      <w:r>
        <w:rPr>
          <w:color w:val="231F20"/>
          <w:spacing w:val="-1"/>
        </w:rPr>
        <w:t> </w:t>
      </w:r>
      <w:r>
        <w:rPr>
          <w:color w:val="231F20"/>
        </w:rPr>
        <w:t>substantial risks</w:t>
      </w:r>
      <w:r>
        <w:rPr>
          <w:color w:val="231F20"/>
          <w:spacing w:val="-1"/>
        </w:rPr>
        <w:t> </w:t>
      </w:r>
      <w:r>
        <w:rPr>
          <w:color w:val="231F20"/>
        </w:rPr>
        <w:t>and rewards</w:t>
      </w:r>
      <w:r>
        <w:rPr>
          <w:color w:val="231F20"/>
          <w:spacing w:val="-1"/>
        </w:rPr>
        <w:t> </w:t>
      </w:r>
      <w:r>
        <w:rPr>
          <w:color w:val="231F20"/>
        </w:rPr>
        <w:t>are transferred.</w:t>
      </w:r>
      <w:r>
        <w:rPr/>
      </w:r>
    </w:p>
    <w:p>
      <w:pPr>
        <w:pStyle w:val="BodyText"/>
        <w:spacing w:line="240" w:lineRule="auto" w:before="0"/>
        <w:ind w:left="113" w:right="0"/>
        <w:jc w:val="left"/>
      </w:pPr>
      <w:r>
        <w:rPr>
          <w:color w:val="231F20"/>
        </w:rPr>
        <w:t>A</w:t>
      </w:r>
      <w:r>
        <w:rPr>
          <w:color w:val="231F20"/>
          <w:spacing w:val="-1"/>
        </w:rPr>
        <w:t> </w:t>
      </w:r>
      <w:r>
        <w:rPr>
          <w:color w:val="231F20"/>
        </w:rPr>
        <w:t>financial</w:t>
      </w:r>
      <w:r>
        <w:rPr>
          <w:color w:val="231F20"/>
          <w:spacing w:val="-1"/>
        </w:rPr>
        <w:t> </w:t>
      </w:r>
      <w:r>
        <w:rPr>
          <w:color w:val="231F20"/>
        </w:rPr>
        <w:t>liability is</w:t>
      </w:r>
      <w:r>
        <w:rPr>
          <w:color w:val="231F20"/>
          <w:spacing w:val="-1"/>
        </w:rPr>
        <w:t> </w:t>
      </w:r>
      <w:r>
        <w:rPr>
          <w:color w:val="231F20"/>
        </w:rPr>
        <w:t>derecognised when</w:t>
      </w:r>
      <w:r>
        <w:rPr>
          <w:color w:val="231F20"/>
          <w:spacing w:val="-1"/>
        </w:rPr>
        <w:t> </w:t>
      </w:r>
      <w:r>
        <w:rPr>
          <w:color w:val="231F20"/>
        </w:rPr>
        <w:t>it is</w:t>
      </w:r>
      <w:r>
        <w:rPr>
          <w:color w:val="231F20"/>
          <w:spacing w:val="-1"/>
        </w:rPr>
        <w:t> </w:t>
      </w:r>
      <w:r>
        <w:rPr>
          <w:color w:val="231F20"/>
        </w:rPr>
        <w:t>exstinguished,</w:t>
      </w:r>
      <w:r>
        <w:rPr>
          <w:color w:val="231F20"/>
          <w:spacing w:val="-1"/>
        </w:rPr>
        <w:t> </w:t>
      </w:r>
      <w:r>
        <w:rPr>
          <w:color w:val="231F20"/>
        </w:rPr>
        <w:t>discharged, cancelled</w:t>
      </w:r>
      <w:r>
        <w:rPr>
          <w:color w:val="231F20"/>
          <w:spacing w:val="-1"/>
        </w:rPr>
        <w:t> </w:t>
      </w:r>
      <w:r>
        <w:rPr>
          <w:color w:val="231F20"/>
        </w:rPr>
        <w:t>or expires.</w:t>
      </w:r>
      <w:r>
        <w:rPr/>
      </w:r>
    </w:p>
    <w:p>
      <w:pPr>
        <w:spacing w:line="240" w:lineRule="auto" w:before="0"/>
        <w:rPr>
          <w:rFonts w:ascii="Swis721 Lt BT" w:hAnsi="Swis721 Lt BT" w:cs="Swis721 Lt BT" w:eastAsia="Swis721 Lt BT"/>
          <w:sz w:val="18"/>
          <w:szCs w:val="18"/>
        </w:rPr>
      </w:pPr>
    </w:p>
    <w:p>
      <w:pPr>
        <w:pStyle w:val="Heading8"/>
        <w:spacing w:line="240" w:lineRule="auto"/>
        <w:ind w:left="113" w:right="0"/>
        <w:jc w:val="left"/>
      </w:pPr>
      <w:r>
        <w:rPr>
          <w:color w:val="00757A"/>
        </w:rPr>
        <w:t>Classification</w:t>
      </w:r>
      <w:r>
        <w:rPr>
          <w:color w:val="00757A"/>
          <w:spacing w:val="-4"/>
        </w:rPr>
        <w:t> </w:t>
      </w:r>
      <w:r>
        <w:rPr>
          <w:color w:val="00757A"/>
        </w:rPr>
        <w:t>and</w:t>
      </w:r>
      <w:r>
        <w:rPr>
          <w:color w:val="00757A"/>
          <w:spacing w:val="-4"/>
        </w:rPr>
        <w:t> </w:t>
      </w:r>
      <w:r>
        <w:rPr>
          <w:color w:val="00757A"/>
        </w:rPr>
        <w:t>subsequent</w:t>
      </w:r>
      <w:r>
        <w:rPr>
          <w:color w:val="00757A"/>
          <w:spacing w:val="-3"/>
        </w:rPr>
        <w:t> </w:t>
      </w:r>
      <w:r>
        <w:rPr>
          <w:color w:val="00757A"/>
        </w:rPr>
        <w:t>measurement</w:t>
      </w:r>
      <w:r>
        <w:rPr>
          <w:color w:val="00757A"/>
          <w:spacing w:val="-4"/>
        </w:rPr>
        <w:t> </w:t>
      </w:r>
      <w:r>
        <w:rPr>
          <w:color w:val="00757A"/>
        </w:rPr>
        <w:t>of</w:t>
      </w:r>
      <w:r>
        <w:rPr>
          <w:color w:val="00757A"/>
          <w:spacing w:val="-4"/>
        </w:rPr>
        <w:t> </w:t>
      </w:r>
      <w:r>
        <w:rPr>
          <w:color w:val="00757A"/>
        </w:rPr>
        <w:t>financial</w:t>
      </w:r>
      <w:r>
        <w:rPr>
          <w:color w:val="00757A"/>
          <w:spacing w:val="-3"/>
        </w:rPr>
        <w:t> </w:t>
      </w:r>
      <w:r>
        <w:rPr>
          <w:color w:val="00757A"/>
        </w:rPr>
        <w:t>assets</w:t>
      </w:r>
      <w:r>
        <w:rPr/>
      </w:r>
    </w:p>
    <w:p>
      <w:pPr>
        <w:pStyle w:val="BodyText"/>
        <w:spacing w:line="240" w:lineRule="auto" w:before="106"/>
        <w:ind w:left="113" w:right="233"/>
        <w:jc w:val="both"/>
      </w:pPr>
      <w:r>
        <w:rPr>
          <w:color w:val="231F20"/>
        </w:rPr>
        <w:t>Except</w:t>
      </w:r>
      <w:r>
        <w:rPr>
          <w:color w:val="231F20"/>
          <w:spacing w:val="-2"/>
        </w:rPr>
        <w:t> </w:t>
      </w:r>
      <w:r>
        <w:rPr>
          <w:color w:val="231F20"/>
        </w:rPr>
        <w:t>for</w:t>
      </w:r>
      <w:r>
        <w:rPr>
          <w:color w:val="231F20"/>
          <w:spacing w:val="-1"/>
        </w:rPr>
        <w:t> </w:t>
      </w:r>
      <w:r>
        <w:rPr>
          <w:color w:val="231F20"/>
        </w:rPr>
        <w:t>those</w:t>
      </w:r>
      <w:r>
        <w:rPr>
          <w:color w:val="231F20"/>
          <w:spacing w:val="-1"/>
        </w:rPr>
        <w:t> </w:t>
      </w:r>
      <w:r>
        <w:rPr>
          <w:color w:val="231F20"/>
        </w:rPr>
        <w:t>trade</w:t>
      </w:r>
      <w:r>
        <w:rPr>
          <w:color w:val="231F20"/>
          <w:spacing w:val="-1"/>
        </w:rPr>
        <w:t> </w:t>
      </w:r>
      <w:r>
        <w:rPr>
          <w:color w:val="231F20"/>
        </w:rPr>
        <w:t>receivables</w:t>
      </w:r>
      <w:r>
        <w:rPr>
          <w:color w:val="231F20"/>
          <w:spacing w:val="-1"/>
        </w:rPr>
        <w:t> </w:t>
      </w:r>
      <w:r>
        <w:rPr>
          <w:color w:val="231F20"/>
        </w:rPr>
        <w:t>that</w:t>
      </w:r>
      <w:r>
        <w:rPr>
          <w:color w:val="231F20"/>
          <w:spacing w:val="-1"/>
        </w:rPr>
        <w:t> </w:t>
      </w:r>
      <w:r>
        <w:rPr>
          <w:color w:val="231F20"/>
        </w:rPr>
        <w:t>do</w:t>
      </w:r>
      <w:r>
        <w:rPr>
          <w:color w:val="231F20"/>
          <w:spacing w:val="-1"/>
        </w:rPr>
        <w:t> </w:t>
      </w:r>
      <w:r>
        <w:rPr>
          <w:color w:val="231F20"/>
        </w:rPr>
        <w:t>not</w:t>
      </w:r>
      <w:r>
        <w:rPr>
          <w:color w:val="231F20"/>
          <w:spacing w:val="-1"/>
        </w:rPr>
        <w:t> </w:t>
      </w:r>
      <w:r>
        <w:rPr>
          <w:color w:val="231F20"/>
        </w:rPr>
        <w:t>contain</w:t>
      </w:r>
      <w:r>
        <w:rPr>
          <w:color w:val="231F20"/>
          <w:spacing w:val="-1"/>
        </w:rPr>
        <w:t> </w:t>
      </w:r>
      <w:r>
        <w:rPr>
          <w:color w:val="231F20"/>
        </w:rPr>
        <w:t>a</w:t>
      </w:r>
      <w:r>
        <w:rPr>
          <w:color w:val="231F20"/>
          <w:spacing w:val="-1"/>
        </w:rPr>
        <w:t> </w:t>
      </w:r>
      <w:r>
        <w:rPr>
          <w:color w:val="231F20"/>
        </w:rPr>
        <w:t>significant</w:t>
      </w:r>
      <w:r>
        <w:rPr>
          <w:color w:val="231F20"/>
          <w:spacing w:val="-1"/>
        </w:rPr>
        <w:t> </w:t>
      </w:r>
      <w:r>
        <w:rPr>
          <w:color w:val="231F20"/>
        </w:rPr>
        <w:t>financing</w:t>
      </w:r>
      <w:r>
        <w:rPr>
          <w:color w:val="231F20"/>
          <w:spacing w:val="-2"/>
        </w:rPr>
        <w:t> </w:t>
      </w:r>
      <w:r>
        <w:rPr>
          <w:color w:val="231F20"/>
        </w:rPr>
        <w:t>component</w:t>
      </w:r>
      <w:r>
        <w:rPr>
          <w:color w:val="231F20"/>
          <w:spacing w:val="-1"/>
        </w:rPr>
        <w:t> </w:t>
      </w:r>
      <w:r>
        <w:rPr>
          <w:color w:val="231F20"/>
        </w:rPr>
        <w:t>and</w:t>
      </w:r>
      <w:r>
        <w:rPr>
          <w:color w:val="231F20"/>
          <w:spacing w:val="-1"/>
        </w:rPr>
        <w:t> </w:t>
      </w:r>
      <w:r>
        <w:rPr>
          <w:color w:val="231F20"/>
        </w:rPr>
        <w:t>are</w:t>
      </w:r>
      <w:r>
        <w:rPr>
          <w:color w:val="231F20"/>
        </w:rPr>
        <w:t> measured</w:t>
      </w:r>
      <w:r>
        <w:rPr>
          <w:color w:val="231F20"/>
          <w:spacing w:val="-1"/>
        </w:rPr>
        <w:t> </w:t>
      </w:r>
      <w:r>
        <w:rPr>
          <w:color w:val="231F20"/>
        </w:rPr>
        <w:t>at the</w:t>
      </w:r>
      <w:r>
        <w:rPr>
          <w:color w:val="231F20"/>
          <w:spacing w:val="-1"/>
        </w:rPr>
        <w:t> </w:t>
      </w:r>
      <w:r>
        <w:rPr>
          <w:color w:val="231F20"/>
        </w:rPr>
        <w:t>transaction price,</w:t>
      </w:r>
      <w:r>
        <w:rPr>
          <w:color w:val="231F20"/>
          <w:spacing w:val="-1"/>
        </w:rPr>
        <w:t> </w:t>
      </w:r>
      <w:r>
        <w:rPr>
          <w:color w:val="231F20"/>
        </w:rPr>
        <w:t>all financial</w:t>
      </w:r>
      <w:r>
        <w:rPr>
          <w:color w:val="231F20"/>
          <w:spacing w:val="-1"/>
        </w:rPr>
        <w:t> </w:t>
      </w:r>
      <w:r>
        <w:rPr>
          <w:color w:val="231F20"/>
        </w:rPr>
        <w:t>assets are</w:t>
      </w:r>
      <w:r>
        <w:rPr>
          <w:color w:val="231F20"/>
          <w:spacing w:val="-1"/>
        </w:rPr>
        <w:t> </w:t>
      </w:r>
      <w:r>
        <w:rPr>
          <w:color w:val="231F20"/>
        </w:rPr>
        <w:t>initially measured</w:t>
      </w:r>
      <w:r>
        <w:rPr>
          <w:color w:val="231F20"/>
          <w:spacing w:val="-1"/>
        </w:rPr>
        <w:t> </w:t>
      </w:r>
      <w:r>
        <w:rPr>
          <w:color w:val="231F20"/>
        </w:rPr>
        <w:t>at fair</w:t>
      </w:r>
      <w:r>
        <w:rPr>
          <w:color w:val="231F20"/>
          <w:spacing w:val="-1"/>
        </w:rPr>
        <w:t> </w:t>
      </w:r>
      <w:r>
        <w:rPr>
          <w:color w:val="231F20"/>
        </w:rPr>
        <w:t>value adjusted</w:t>
      </w:r>
      <w:r>
        <w:rPr>
          <w:color w:val="231F20"/>
        </w:rPr>
        <w:t> for transaction costs (where applicable).</w:t>
      </w:r>
      <w:r>
        <w:rPr/>
      </w:r>
    </w:p>
    <w:p>
      <w:pPr>
        <w:pStyle w:val="BodyText"/>
        <w:spacing w:line="240" w:lineRule="auto"/>
        <w:ind w:left="113" w:right="677"/>
        <w:jc w:val="both"/>
      </w:pPr>
      <w:r>
        <w:rPr>
          <w:color w:val="231F20"/>
          <w:spacing w:val="-2"/>
        </w:rPr>
        <w:t>For</w:t>
      </w:r>
      <w:r>
        <w:rPr>
          <w:color w:val="231F20"/>
          <w:spacing w:val="-1"/>
        </w:rPr>
        <w:t> </w:t>
      </w:r>
      <w:r>
        <w:rPr>
          <w:color w:val="231F20"/>
        </w:rPr>
        <w:t>the</w:t>
      </w:r>
      <w:r>
        <w:rPr>
          <w:color w:val="231F20"/>
          <w:spacing w:val="-1"/>
        </w:rPr>
        <w:t> </w:t>
      </w:r>
      <w:r>
        <w:rPr>
          <w:color w:val="231F20"/>
        </w:rPr>
        <w:t>purpose of</w:t>
      </w:r>
      <w:r>
        <w:rPr>
          <w:color w:val="231F20"/>
          <w:spacing w:val="-1"/>
        </w:rPr>
        <w:t> </w:t>
      </w:r>
      <w:r>
        <w:rPr>
          <w:color w:val="231F20"/>
        </w:rPr>
        <w:t>subsequent measurement,</w:t>
      </w:r>
      <w:r>
        <w:rPr>
          <w:color w:val="231F20"/>
          <w:spacing w:val="-1"/>
        </w:rPr>
        <w:t> </w:t>
      </w:r>
      <w:r>
        <w:rPr>
          <w:color w:val="231F20"/>
        </w:rPr>
        <w:t>financial</w:t>
      </w:r>
      <w:r>
        <w:rPr>
          <w:color w:val="231F20"/>
          <w:spacing w:val="-1"/>
        </w:rPr>
        <w:t> </w:t>
      </w:r>
      <w:r>
        <w:rPr>
          <w:color w:val="231F20"/>
        </w:rPr>
        <w:t>assets other</w:t>
      </w:r>
      <w:r>
        <w:rPr>
          <w:color w:val="231F20"/>
          <w:spacing w:val="-1"/>
        </w:rPr>
        <w:t> </w:t>
      </w:r>
      <w:r>
        <w:rPr>
          <w:color w:val="231F20"/>
        </w:rPr>
        <w:t>than</w:t>
      </w:r>
      <w:r>
        <w:rPr>
          <w:color w:val="231F20"/>
          <w:spacing w:val="-1"/>
        </w:rPr>
        <w:t> </w:t>
      </w:r>
      <w:r>
        <w:rPr>
          <w:color w:val="231F20"/>
        </w:rPr>
        <w:t>those designated</w:t>
      </w:r>
      <w:r>
        <w:rPr>
          <w:color w:val="231F20"/>
          <w:spacing w:val="21"/>
        </w:rPr>
        <w:t> </w:t>
      </w:r>
      <w:r>
        <w:rPr>
          <w:color w:val="231F20"/>
        </w:rPr>
        <w:t>and</w:t>
      </w:r>
      <w:r>
        <w:rPr>
          <w:color w:val="231F20"/>
          <w:spacing w:val="-1"/>
        </w:rPr>
        <w:t> </w:t>
      </w:r>
      <w:r>
        <w:rPr>
          <w:color w:val="231F20"/>
        </w:rPr>
        <w:t>effective</w:t>
      </w:r>
      <w:r>
        <w:rPr>
          <w:color w:val="231F20"/>
          <w:spacing w:val="-1"/>
        </w:rPr>
        <w:t> </w:t>
      </w:r>
      <w:r>
        <w:rPr>
          <w:color w:val="231F20"/>
        </w:rPr>
        <w:t>as hedging</w:t>
      </w:r>
      <w:r>
        <w:rPr>
          <w:color w:val="231F20"/>
          <w:spacing w:val="-1"/>
        </w:rPr>
        <w:t> </w:t>
      </w:r>
      <w:r>
        <w:rPr>
          <w:color w:val="231F20"/>
        </w:rPr>
        <w:t>instruments</w:t>
      </w:r>
      <w:r>
        <w:rPr>
          <w:color w:val="231F20"/>
          <w:spacing w:val="-1"/>
        </w:rPr>
        <w:t> </w:t>
      </w:r>
      <w:r>
        <w:rPr>
          <w:color w:val="231F20"/>
        </w:rPr>
        <w:t>are classified</w:t>
      </w:r>
      <w:r>
        <w:rPr>
          <w:color w:val="231F20"/>
          <w:spacing w:val="-1"/>
        </w:rPr>
        <w:t> </w:t>
      </w:r>
      <w:r>
        <w:rPr>
          <w:color w:val="231F20"/>
        </w:rPr>
        <w:t>into the</w:t>
      </w:r>
      <w:r>
        <w:rPr>
          <w:color w:val="231F20"/>
          <w:spacing w:val="-1"/>
        </w:rPr>
        <w:t> </w:t>
      </w:r>
      <w:r>
        <w:rPr>
          <w:color w:val="231F20"/>
        </w:rPr>
        <w:t>following</w:t>
      </w:r>
      <w:r>
        <w:rPr>
          <w:color w:val="231F20"/>
          <w:spacing w:val="-1"/>
        </w:rPr>
        <w:t> </w:t>
      </w:r>
      <w:r>
        <w:rPr>
          <w:color w:val="231F20"/>
        </w:rPr>
        <w:t>categories upon</w:t>
      </w:r>
      <w:r>
        <w:rPr>
          <w:color w:val="231F20"/>
          <w:spacing w:val="-1"/>
        </w:rPr>
        <w:t> </w:t>
      </w:r>
      <w:r>
        <w:rPr>
          <w:color w:val="231F20"/>
        </w:rPr>
        <w:t>initial</w:t>
      </w:r>
      <w:r>
        <w:rPr>
          <w:color w:val="231F20"/>
        </w:rPr>
        <w:t> recognition:</w:t>
      </w:r>
      <w:r>
        <w:rPr/>
      </w:r>
    </w:p>
    <w:p>
      <w:pPr>
        <w:pStyle w:val="BodyText"/>
        <w:spacing w:line="240" w:lineRule="auto"/>
        <w:ind w:left="113" w:right="0"/>
        <w:jc w:val="left"/>
      </w:pPr>
      <w:r>
        <w:rPr>
          <w:rFonts w:ascii="Arial" w:hAnsi="Arial"/>
          <w:color w:val="00757A"/>
        </w:rPr>
        <w:t>ϐ </w:t>
      </w:r>
      <w:r>
        <w:rPr>
          <w:rFonts w:ascii="Arial" w:hAnsi="Arial"/>
          <w:color w:val="00757A"/>
          <w:spacing w:val="10"/>
        </w:rPr>
        <w:t> </w:t>
      </w:r>
      <w:r>
        <w:rPr>
          <w:color w:val="231F20"/>
        </w:rPr>
        <w:t>amortised</w:t>
      </w:r>
      <w:r>
        <w:rPr>
          <w:color w:val="231F20"/>
          <w:spacing w:val="1"/>
        </w:rPr>
        <w:t> </w:t>
      </w:r>
      <w:r>
        <w:rPr>
          <w:color w:val="231F20"/>
        </w:rPr>
        <w:t>cost</w:t>
      </w:r>
      <w:r>
        <w:rPr/>
      </w:r>
    </w:p>
    <w:p>
      <w:pPr>
        <w:pStyle w:val="BodyText"/>
        <w:spacing w:line="240" w:lineRule="auto" w:before="0"/>
        <w:ind w:left="114" w:right="0"/>
        <w:jc w:val="left"/>
      </w:pPr>
      <w:r>
        <w:rPr>
          <w:rFonts w:ascii="Arial" w:hAnsi="Arial"/>
          <w:color w:val="00757A"/>
        </w:rPr>
        <w:t>ϐ </w:t>
      </w:r>
      <w:r>
        <w:rPr>
          <w:rFonts w:ascii="Arial" w:hAnsi="Arial"/>
          <w:color w:val="00757A"/>
          <w:spacing w:val="7"/>
        </w:rPr>
        <w:t> </w:t>
      </w:r>
      <w:r>
        <w:rPr>
          <w:color w:val="231F20"/>
        </w:rPr>
        <w:t>fair value through profit or loss (FVPL)</w:t>
      </w:r>
      <w:r>
        <w:rPr/>
      </w:r>
    </w:p>
    <w:p>
      <w:pPr>
        <w:pStyle w:val="BodyText"/>
        <w:spacing w:line="240" w:lineRule="auto" w:before="0"/>
        <w:ind w:left="113" w:right="0"/>
        <w:jc w:val="left"/>
      </w:pPr>
      <w:r>
        <w:rPr>
          <w:rFonts w:ascii="Arial" w:hAnsi="Arial"/>
          <w:color w:val="00757A"/>
        </w:rPr>
        <w:t>ϐ </w:t>
      </w:r>
      <w:r>
        <w:rPr>
          <w:rFonts w:ascii="Arial" w:hAnsi="Arial"/>
          <w:color w:val="00757A"/>
          <w:spacing w:val="7"/>
        </w:rPr>
        <w:t> </w:t>
      </w:r>
      <w:r>
        <w:rPr>
          <w:color w:val="231F20"/>
        </w:rPr>
        <w:t>equity</w:t>
      </w:r>
      <w:r>
        <w:rPr>
          <w:color w:val="231F20"/>
          <w:spacing w:val="1"/>
        </w:rPr>
        <w:t> </w:t>
      </w:r>
      <w:r>
        <w:rPr>
          <w:color w:val="231F20"/>
        </w:rPr>
        <w:t>instruments at</w:t>
      </w:r>
      <w:r>
        <w:rPr>
          <w:color w:val="231F20"/>
          <w:spacing w:val="1"/>
        </w:rPr>
        <w:t> </w:t>
      </w:r>
      <w:r>
        <w:rPr>
          <w:color w:val="231F20"/>
        </w:rPr>
        <w:t>fair value through</w:t>
      </w:r>
      <w:r>
        <w:rPr>
          <w:color w:val="231F20"/>
          <w:spacing w:val="1"/>
        </w:rPr>
        <w:t> </w:t>
      </w:r>
      <w:r>
        <w:rPr>
          <w:color w:val="231F20"/>
        </w:rPr>
        <w:t>other comprehensive</w:t>
      </w:r>
      <w:r>
        <w:rPr>
          <w:color w:val="231F20"/>
          <w:spacing w:val="1"/>
        </w:rPr>
        <w:t> </w:t>
      </w:r>
      <w:r>
        <w:rPr>
          <w:color w:val="231F20"/>
        </w:rPr>
        <w:t>income (FVOCI).</w:t>
      </w:r>
      <w:r>
        <w:rPr/>
      </w:r>
    </w:p>
    <w:p>
      <w:pPr>
        <w:spacing w:line="240" w:lineRule="auto" w:before="8"/>
        <w:rPr>
          <w:rFonts w:ascii="Swis721 Lt BT" w:hAnsi="Swis721 Lt BT" w:cs="Swis721 Lt BT" w:eastAsia="Swis721 Lt BT"/>
          <w:sz w:val="28"/>
          <w:szCs w:val="28"/>
        </w:rPr>
      </w:pPr>
    </w:p>
    <w:p>
      <w:pPr>
        <w:pStyle w:val="Heading8"/>
        <w:spacing w:line="240" w:lineRule="auto" w:before="0"/>
        <w:ind w:left="113" w:right="0"/>
        <w:jc w:val="left"/>
      </w:pPr>
      <w:r>
        <w:rPr>
          <w:color w:val="00757A"/>
        </w:rPr>
        <w:t>Classification</w:t>
      </w:r>
      <w:r>
        <w:rPr>
          <w:color w:val="00757A"/>
          <w:spacing w:val="-5"/>
        </w:rPr>
        <w:t> </w:t>
      </w:r>
      <w:r>
        <w:rPr>
          <w:color w:val="00757A"/>
        </w:rPr>
        <w:t>and</w:t>
      </w:r>
      <w:r>
        <w:rPr>
          <w:color w:val="00757A"/>
          <w:spacing w:val="-4"/>
        </w:rPr>
        <w:t> </w:t>
      </w:r>
      <w:r>
        <w:rPr>
          <w:color w:val="00757A"/>
        </w:rPr>
        <w:t>measurement</w:t>
      </w:r>
      <w:r>
        <w:rPr>
          <w:color w:val="00757A"/>
          <w:spacing w:val="-5"/>
        </w:rPr>
        <w:t> </w:t>
      </w:r>
      <w:r>
        <w:rPr>
          <w:color w:val="00757A"/>
        </w:rPr>
        <w:t>of</w:t>
      </w:r>
      <w:r>
        <w:rPr>
          <w:color w:val="00757A"/>
          <w:spacing w:val="-4"/>
        </w:rPr>
        <w:t> </w:t>
      </w:r>
      <w:r>
        <w:rPr>
          <w:color w:val="00757A"/>
        </w:rPr>
        <w:t>financial</w:t>
      </w:r>
      <w:r>
        <w:rPr>
          <w:color w:val="00757A"/>
          <w:spacing w:val="-4"/>
        </w:rPr>
        <w:t> </w:t>
      </w:r>
      <w:r>
        <w:rPr>
          <w:color w:val="00757A"/>
        </w:rPr>
        <w:t>liabilities</w:t>
      </w:r>
      <w:r>
        <w:rPr/>
      </w:r>
    </w:p>
    <w:p>
      <w:pPr>
        <w:pStyle w:val="BodyText"/>
        <w:spacing w:line="240" w:lineRule="auto" w:before="106"/>
        <w:ind w:left="113" w:right="296"/>
        <w:jc w:val="left"/>
      </w:pPr>
      <w:r>
        <w:rPr>
          <w:color w:val="231F20"/>
        </w:rPr>
        <w:t>The</w:t>
      </w:r>
      <w:r>
        <w:rPr>
          <w:color w:val="231F20"/>
          <w:spacing w:val="-2"/>
        </w:rPr>
        <w:t> </w:t>
      </w:r>
      <w:r>
        <w:rPr>
          <w:color w:val="231F20"/>
        </w:rPr>
        <w:t>accounting</w:t>
      </w:r>
      <w:r>
        <w:rPr>
          <w:color w:val="231F20"/>
          <w:spacing w:val="-1"/>
        </w:rPr>
        <w:t> </w:t>
      </w:r>
      <w:r>
        <w:rPr>
          <w:color w:val="231F20"/>
        </w:rPr>
        <w:t>for</w:t>
      </w:r>
      <w:r>
        <w:rPr>
          <w:color w:val="231F20"/>
          <w:spacing w:val="-1"/>
        </w:rPr>
        <w:t> </w:t>
      </w:r>
      <w:r>
        <w:rPr>
          <w:color w:val="231F20"/>
        </w:rPr>
        <w:t>financial</w:t>
      </w:r>
      <w:r>
        <w:rPr>
          <w:color w:val="231F20"/>
          <w:spacing w:val="-1"/>
        </w:rPr>
        <w:t> </w:t>
      </w:r>
      <w:r>
        <w:rPr>
          <w:color w:val="231F20"/>
        </w:rPr>
        <w:t>liabilities</w:t>
      </w:r>
      <w:r>
        <w:rPr>
          <w:color w:val="231F20"/>
          <w:spacing w:val="-1"/>
        </w:rPr>
        <w:t> </w:t>
      </w:r>
      <w:r>
        <w:rPr>
          <w:color w:val="231F20"/>
        </w:rPr>
        <w:t>remains</w:t>
      </w:r>
      <w:r>
        <w:rPr>
          <w:color w:val="231F20"/>
          <w:spacing w:val="-1"/>
        </w:rPr>
        <w:t> </w:t>
      </w:r>
      <w:r>
        <w:rPr>
          <w:color w:val="231F20"/>
        </w:rPr>
        <w:t>largely</w:t>
      </w:r>
      <w:r>
        <w:rPr>
          <w:color w:val="231F20"/>
          <w:spacing w:val="-1"/>
        </w:rPr>
        <w:t> </w:t>
      </w:r>
      <w:r>
        <w:rPr>
          <w:color w:val="231F20"/>
        </w:rPr>
        <w:t>unchanged</w:t>
      </w:r>
      <w:r>
        <w:rPr>
          <w:color w:val="231F20"/>
          <w:spacing w:val="-1"/>
        </w:rPr>
        <w:t> </w:t>
      </w:r>
      <w:r>
        <w:rPr>
          <w:color w:val="231F20"/>
        </w:rPr>
        <w:t>from</w:t>
      </w:r>
      <w:r>
        <w:rPr>
          <w:color w:val="231F20"/>
          <w:spacing w:val="-2"/>
        </w:rPr>
        <w:t> </w:t>
      </w:r>
      <w:r>
        <w:rPr>
          <w:color w:val="231F20"/>
        </w:rPr>
        <w:t>AASB</w:t>
      </w:r>
      <w:r>
        <w:rPr>
          <w:color w:val="231F20"/>
          <w:spacing w:val="-1"/>
        </w:rPr>
        <w:t> </w:t>
      </w:r>
      <w:r>
        <w:rPr>
          <w:color w:val="231F20"/>
        </w:rPr>
        <w:t>139.</w:t>
      </w:r>
      <w:r>
        <w:rPr>
          <w:color w:val="231F20"/>
          <w:spacing w:val="-1"/>
        </w:rPr>
        <w:t> </w:t>
      </w:r>
      <w:r>
        <w:rPr>
          <w:color w:val="231F20"/>
        </w:rPr>
        <w:t>The</w:t>
      </w:r>
      <w:r>
        <w:rPr>
          <w:color w:val="231F20"/>
          <w:spacing w:val="-1"/>
        </w:rPr>
        <w:t> </w:t>
      </w:r>
      <w:r>
        <w:rPr>
          <w:color w:val="231F20"/>
        </w:rPr>
        <w:t>financial</w:t>
      </w:r>
      <w:r>
        <w:rPr>
          <w:color w:val="231F20"/>
          <w:w w:val="99"/>
        </w:rPr>
        <w:t> </w:t>
      </w:r>
      <w:r>
        <w:rPr>
          <w:color w:val="231F20"/>
        </w:rPr>
        <w:t>liabilities were not impacted by the adoption of AASB 9. </w:t>
      </w:r>
      <w:r>
        <w:rPr>
          <w:color w:val="231F20"/>
          <w:spacing w:val="-3"/>
        </w:rPr>
        <w:t>However,</w:t>
      </w:r>
      <w:r>
        <w:rPr>
          <w:color w:val="231F20"/>
        </w:rPr>
        <w:t> for completeness, the</w:t>
      </w:r>
      <w:r>
        <w:rPr>
          <w:color w:val="231F20"/>
          <w:spacing w:val="26"/>
        </w:rPr>
        <w:t> </w:t>
      </w:r>
      <w:r>
        <w:rPr>
          <w:color w:val="231F20"/>
        </w:rPr>
        <w:t>accounting policy is disclosed </w:t>
      </w:r>
      <w:r>
        <w:rPr>
          <w:color w:val="231F20"/>
          <w:spacing w:val="-3"/>
        </w:rPr>
        <w:t>below.</w:t>
      </w:r>
      <w:r>
        <w:rPr/>
      </w:r>
    </w:p>
    <w:p>
      <w:pPr>
        <w:pStyle w:val="BodyText"/>
        <w:spacing w:line="240" w:lineRule="auto"/>
        <w:ind w:left="113" w:right="0"/>
        <w:jc w:val="left"/>
      </w:pPr>
      <w:r>
        <w:rPr>
          <w:color w:val="231F20"/>
        </w:rPr>
        <w:t>The</w:t>
      </w:r>
      <w:r>
        <w:rPr>
          <w:color w:val="231F20"/>
          <w:spacing w:val="-1"/>
        </w:rPr>
        <w:t> </w:t>
      </w:r>
      <w:r>
        <w:rPr>
          <w:color w:val="231F20"/>
        </w:rPr>
        <w:t>financial</w:t>
      </w:r>
      <w:r>
        <w:rPr>
          <w:color w:val="231F20"/>
          <w:spacing w:val="-1"/>
        </w:rPr>
        <w:t> </w:t>
      </w:r>
      <w:r>
        <w:rPr>
          <w:color w:val="231F20"/>
        </w:rPr>
        <w:t>liabilities</w:t>
      </w:r>
      <w:r>
        <w:rPr>
          <w:color w:val="231F20"/>
          <w:spacing w:val="-1"/>
        </w:rPr>
        <w:t> </w:t>
      </w:r>
      <w:r>
        <w:rPr>
          <w:color w:val="231F20"/>
        </w:rPr>
        <w:t>include</w:t>
      </w:r>
      <w:r>
        <w:rPr>
          <w:color w:val="231F20"/>
          <w:spacing w:val="-1"/>
        </w:rPr>
        <w:t> </w:t>
      </w:r>
      <w:r>
        <w:rPr>
          <w:color w:val="231F20"/>
        </w:rPr>
        <w:t>trade</w:t>
      </w:r>
      <w:r>
        <w:rPr>
          <w:color w:val="231F20"/>
          <w:spacing w:val="-1"/>
        </w:rPr>
        <w:t> </w:t>
      </w:r>
      <w:r>
        <w:rPr>
          <w:color w:val="231F20"/>
        </w:rPr>
        <w:t>and</w:t>
      </w:r>
      <w:r>
        <w:rPr>
          <w:color w:val="231F20"/>
          <w:spacing w:val="-1"/>
        </w:rPr>
        <w:t> </w:t>
      </w:r>
      <w:r>
        <w:rPr>
          <w:color w:val="231F20"/>
        </w:rPr>
        <w:t>other</w:t>
      </w:r>
      <w:r>
        <w:rPr>
          <w:color w:val="231F20"/>
          <w:spacing w:val="-1"/>
        </w:rPr>
        <w:t> </w:t>
      </w:r>
      <w:r>
        <w:rPr>
          <w:color w:val="231F20"/>
        </w:rPr>
        <w:t>payables.</w:t>
      </w:r>
      <w:r>
        <w:rPr/>
      </w:r>
    </w:p>
    <w:p>
      <w:pPr>
        <w:pStyle w:val="BodyText"/>
        <w:spacing w:line="240" w:lineRule="auto"/>
        <w:ind w:left="113" w:right="172"/>
        <w:jc w:val="left"/>
      </w:pPr>
      <w:r>
        <w:rPr>
          <w:color w:val="231F20"/>
        </w:rPr>
        <w:t>Financial liabilities are initially measured at fair value and, where applicable, adjusted for transaction</w:t>
      </w:r>
      <w:r>
        <w:rPr>
          <w:color w:val="231F20"/>
          <w:spacing w:val="-1"/>
        </w:rPr>
        <w:t> </w:t>
      </w:r>
      <w:r>
        <w:rPr>
          <w:color w:val="231F20"/>
        </w:rPr>
        <w:t>costs, unless</w:t>
      </w:r>
      <w:r>
        <w:rPr>
          <w:color w:val="231F20"/>
          <w:spacing w:val="-1"/>
        </w:rPr>
        <w:t> </w:t>
      </w:r>
      <w:r>
        <w:rPr>
          <w:color w:val="231F20"/>
        </w:rPr>
        <w:t>the liability</w:t>
      </w:r>
      <w:r>
        <w:rPr>
          <w:color w:val="231F20"/>
          <w:spacing w:val="-1"/>
        </w:rPr>
        <w:t> </w:t>
      </w:r>
      <w:r>
        <w:rPr>
          <w:color w:val="231F20"/>
        </w:rPr>
        <w:t>is designated</w:t>
      </w:r>
      <w:r>
        <w:rPr>
          <w:color w:val="231F20"/>
          <w:spacing w:val="-1"/>
        </w:rPr>
        <w:t> </w:t>
      </w:r>
      <w:r>
        <w:rPr>
          <w:color w:val="231F20"/>
        </w:rPr>
        <w:t>a financial</w:t>
      </w:r>
      <w:r>
        <w:rPr>
          <w:color w:val="231F20"/>
          <w:spacing w:val="-1"/>
        </w:rPr>
        <w:t> </w:t>
      </w:r>
      <w:r>
        <w:rPr>
          <w:color w:val="231F20"/>
        </w:rPr>
        <w:t>liability at</w:t>
      </w:r>
      <w:r>
        <w:rPr>
          <w:color w:val="231F20"/>
          <w:spacing w:val="-1"/>
        </w:rPr>
        <w:t> </w:t>
      </w:r>
      <w:r>
        <w:rPr>
          <w:color w:val="231F20"/>
        </w:rPr>
        <w:t>fair value</w:t>
      </w:r>
      <w:r>
        <w:rPr>
          <w:color w:val="231F20"/>
          <w:spacing w:val="-1"/>
        </w:rPr>
        <w:t> </w:t>
      </w:r>
      <w:r>
        <w:rPr>
          <w:color w:val="231F20"/>
        </w:rPr>
        <w:t>through the</w:t>
      </w:r>
      <w:r>
        <w:rPr>
          <w:color w:val="231F20"/>
        </w:rPr>
        <w:t> profit</w:t>
      </w:r>
      <w:r>
        <w:rPr>
          <w:color w:val="231F20"/>
          <w:spacing w:val="-1"/>
        </w:rPr>
        <w:t> </w:t>
      </w:r>
      <w:r>
        <w:rPr>
          <w:color w:val="231F20"/>
        </w:rPr>
        <w:t>or</w:t>
      </w:r>
      <w:r>
        <w:rPr>
          <w:color w:val="231F20"/>
          <w:spacing w:val="-1"/>
        </w:rPr>
        <w:t> </w:t>
      </w:r>
      <w:r>
        <w:rPr>
          <w:color w:val="231F20"/>
        </w:rPr>
        <w:t>loss.</w:t>
      </w:r>
      <w:r>
        <w:rPr>
          <w:color w:val="231F20"/>
          <w:spacing w:val="-1"/>
        </w:rPr>
        <w:t> </w:t>
      </w:r>
      <w:r>
        <w:rPr>
          <w:color w:val="231F20"/>
          <w:spacing w:val="-2"/>
        </w:rPr>
        <w:t>Subsequently,</w:t>
      </w:r>
      <w:r>
        <w:rPr>
          <w:color w:val="231F20"/>
          <w:spacing w:val="-1"/>
        </w:rPr>
        <w:t> </w:t>
      </w:r>
      <w:r>
        <w:rPr>
          <w:color w:val="231F20"/>
        </w:rPr>
        <w:t>financial</w:t>
      </w:r>
      <w:r>
        <w:rPr>
          <w:color w:val="231F20"/>
          <w:spacing w:val="-1"/>
        </w:rPr>
        <w:t> </w:t>
      </w:r>
      <w:r>
        <w:rPr>
          <w:color w:val="231F20"/>
        </w:rPr>
        <w:t>liabilities</w:t>
      </w:r>
      <w:r>
        <w:rPr>
          <w:color w:val="231F20"/>
          <w:spacing w:val="-1"/>
        </w:rPr>
        <w:t> </w:t>
      </w:r>
      <w:r>
        <w:rPr>
          <w:color w:val="231F20"/>
        </w:rPr>
        <w:t>are measured</w:t>
      </w:r>
      <w:r>
        <w:rPr>
          <w:color w:val="231F20"/>
          <w:spacing w:val="-1"/>
        </w:rPr>
        <w:t> </w:t>
      </w:r>
      <w:r>
        <w:rPr>
          <w:color w:val="231F20"/>
        </w:rPr>
        <w:t>at</w:t>
      </w:r>
      <w:r>
        <w:rPr>
          <w:color w:val="231F20"/>
          <w:spacing w:val="-1"/>
        </w:rPr>
        <w:t> </w:t>
      </w:r>
      <w:r>
        <w:rPr>
          <w:color w:val="231F20"/>
        </w:rPr>
        <w:t>amortised</w:t>
      </w:r>
      <w:r>
        <w:rPr>
          <w:color w:val="231F20"/>
          <w:spacing w:val="-1"/>
        </w:rPr>
        <w:t> </w:t>
      </w:r>
      <w:r>
        <w:rPr>
          <w:color w:val="231F20"/>
        </w:rPr>
        <w:t>cost</w:t>
      </w:r>
      <w:r>
        <w:rPr>
          <w:color w:val="231F20"/>
          <w:spacing w:val="-1"/>
        </w:rPr>
        <w:t> </w:t>
      </w:r>
      <w:r>
        <w:rPr>
          <w:color w:val="231F20"/>
        </w:rPr>
        <w:t>using</w:t>
      </w:r>
      <w:r>
        <w:rPr>
          <w:color w:val="231F20"/>
          <w:spacing w:val="-1"/>
        </w:rPr>
        <w:t> </w:t>
      </w:r>
      <w:r>
        <w:rPr>
          <w:color w:val="231F20"/>
        </w:rPr>
        <w:t>the effective</w:t>
      </w:r>
      <w:r>
        <w:rPr>
          <w:color w:val="231F20"/>
          <w:spacing w:val="22"/>
        </w:rPr>
        <w:t> </w:t>
      </w:r>
      <w:r>
        <w:rPr>
          <w:color w:val="231F20"/>
        </w:rPr>
        <w:t>interest method.</w:t>
      </w:r>
      <w:r>
        <w:rPr/>
      </w:r>
    </w:p>
    <w:p>
      <w:pPr>
        <w:spacing w:line="240" w:lineRule="auto" w:before="0"/>
        <w:rPr>
          <w:rFonts w:ascii="Swis721 Lt BT" w:hAnsi="Swis721 Lt BT" w:cs="Swis721 Lt BT" w:eastAsia="Swis721 Lt BT"/>
          <w:sz w:val="18"/>
          <w:szCs w:val="18"/>
        </w:rPr>
      </w:pPr>
    </w:p>
    <w:p>
      <w:pPr>
        <w:pStyle w:val="Heading8"/>
        <w:spacing w:line="240" w:lineRule="auto"/>
        <w:ind w:left="113" w:right="0"/>
        <w:jc w:val="left"/>
      </w:pPr>
      <w:r>
        <w:rPr>
          <w:color w:val="00757A"/>
        </w:rPr>
        <w:t>Financial assets at amortised cost</w:t>
      </w:r>
      <w:r>
        <w:rPr/>
      </w:r>
    </w:p>
    <w:p>
      <w:pPr>
        <w:pStyle w:val="BodyText"/>
        <w:spacing w:line="240" w:lineRule="auto" w:before="106"/>
        <w:ind w:left="113" w:right="298"/>
        <w:jc w:val="left"/>
      </w:pPr>
      <w:r>
        <w:rPr>
          <w:color w:val="231F20"/>
        </w:rPr>
        <w:t>Financial assets are measured at amortised cost if the assets meet the following conditions (and are not designated FVPL):</w:t>
      </w:r>
      <w:r>
        <w:rPr/>
      </w:r>
    </w:p>
    <w:p>
      <w:pPr>
        <w:pStyle w:val="BodyText"/>
        <w:spacing w:line="240" w:lineRule="auto"/>
        <w:ind w:left="340" w:right="157" w:hanging="227"/>
        <w:jc w:val="left"/>
      </w:pPr>
      <w:r>
        <w:rPr>
          <w:rFonts w:ascii="Arial" w:hAnsi="Arial"/>
          <w:color w:val="00757A"/>
        </w:rPr>
        <w:t>ϐ </w:t>
      </w:r>
      <w:r>
        <w:rPr>
          <w:rFonts w:ascii="Arial" w:hAnsi="Arial"/>
          <w:color w:val="00757A"/>
          <w:spacing w:val="6"/>
        </w:rPr>
        <w:t> </w:t>
      </w:r>
      <w:r>
        <w:rPr>
          <w:color w:val="231F20"/>
        </w:rPr>
        <w:t>they are held within a business</w:t>
      </w:r>
      <w:r>
        <w:rPr>
          <w:color w:val="231F20"/>
          <w:spacing w:val="-1"/>
        </w:rPr>
        <w:t> </w:t>
      </w:r>
      <w:r>
        <w:rPr>
          <w:color w:val="231F20"/>
        </w:rPr>
        <w:t>model which has the objective to hold the</w:t>
      </w:r>
      <w:r>
        <w:rPr>
          <w:color w:val="231F20"/>
          <w:spacing w:val="-1"/>
        </w:rPr>
        <w:t> </w:t>
      </w:r>
      <w:r>
        <w:rPr>
          <w:color w:val="231F20"/>
        </w:rPr>
        <w:t>financial assets and</w:t>
      </w:r>
      <w:r>
        <w:rPr>
          <w:color w:val="231F20"/>
        </w:rPr>
        <w:t> collect</w:t>
      </w:r>
      <w:r>
        <w:rPr>
          <w:color w:val="231F20"/>
          <w:spacing w:val="-2"/>
        </w:rPr>
        <w:t> </w:t>
      </w:r>
      <w:r>
        <w:rPr>
          <w:color w:val="231F20"/>
        </w:rPr>
        <w:t>its</w:t>
      </w:r>
      <w:r>
        <w:rPr>
          <w:color w:val="231F20"/>
          <w:spacing w:val="-1"/>
        </w:rPr>
        <w:t> </w:t>
      </w:r>
      <w:r>
        <w:rPr>
          <w:color w:val="231F20"/>
        </w:rPr>
        <w:t>contractual</w:t>
      </w:r>
      <w:r>
        <w:rPr>
          <w:color w:val="231F20"/>
          <w:spacing w:val="-1"/>
        </w:rPr>
        <w:t> </w:t>
      </w:r>
      <w:r>
        <w:rPr>
          <w:color w:val="231F20"/>
        </w:rPr>
        <w:t>cash</w:t>
      </w:r>
      <w:r>
        <w:rPr>
          <w:color w:val="231F20"/>
          <w:spacing w:val="-1"/>
        </w:rPr>
        <w:t> </w:t>
      </w:r>
      <w:r>
        <w:rPr>
          <w:color w:val="231F20"/>
        </w:rPr>
        <w:t>flows</w:t>
      </w:r>
      <w:r>
        <w:rPr/>
      </w:r>
    </w:p>
    <w:p>
      <w:pPr>
        <w:pStyle w:val="BodyText"/>
        <w:spacing w:line="240" w:lineRule="auto"/>
        <w:ind w:left="340" w:right="298" w:hanging="227"/>
        <w:jc w:val="left"/>
      </w:pPr>
      <w:r>
        <w:rPr>
          <w:rFonts w:ascii="Arial" w:hAnsi="Arial"/>
          <w:color w:val="00757A"/>
        </w:rPr>
        <w:t>ϐ </w:t>
      </w:r>
      <w:r>
        <w:rPr>
          <w:rFonts w:ascii="Arial" w:hAnsi="Arial"/>
          <w:color w:val="00757A"/>
          <w:spacing w:val="6"/>
        </w:rPr>
        <w:t> </w:t>
      </w:r>
      <w:r>
        <w:rPr>
          <w:color w:val="231F20"/>
        </w:rPr>
        <w:t>the</w:t>
      </w:r>
      <w:r>
        <w:rPr>
          <w:color w:val="231F20"/>
          <w:spacing w:val="-1"/>
        </w:rPr>
        <w:t> </w:t>
      </w:r>
      <w:r>
        <w:rPr>
          <w:color w:val="231F20"/>
        </w:rPr>
        <w:t>contractual terms of</w:t>
      </w:r>
      <w:r>
        <w:rPr>
          <w:color w:val="231F20"/>
          <w:spacing w:val="-1"/>
        </w:rPr>
        <w:t> </w:t>
      </w:r>
      <w:r>
        <w:rPr>
          <w:color w:val="231F20"/>
        </w:rPr>
        <w:t>the financial</w:t>
      </w:r>
      <w:r>
        <w:rPr>
          <w:color w:val="231F20"/>
          <w:spacing w:val="-1"/>
        </w:rPr>
        <w:t> </w:t>
      </w:r>
      <w:r>
        <w:rPr>
          <w:color w:val="231F20"/>
        </w:rPr>
        <w:t>assets give rise</w:t>
      </w:r>
      <w:r>
        <w:rPr>
          <w:color w:val="231F20"/>
          <w:spacing w:val="-1"/>
        </w:rPr>
        <w:t> </w:t>
      </w:r>
      <w:r>
        <w:rPr>
          <w:color w:val="231F20"/>
        </w:rPr>
        <w:t>to cash</w:t>
      </w:r>
      <w:r>
        <w:rPr>
          <w:color w:val="231F20"/>
          <w:spacing w:val="-1"/>
        </w:rPr>
        <w:t> </w:t>
      </w:r>
      <w:r>
        <w:rPr>
          <w:color w:val="231F20"/>
        </w:rPr>
        <w:t>flows that are</w:t>
      </w:r>
      <w:r>
        <w:rPr>
          <w:color w:val="231F20"/>
          <w:spacing w:val="-1"/>
        </w:rPr>
        <w:t> </w:t>
      </w:r>
      <w:r>
        <w:rPr>
          <w:color w:val="231F20"/>
        </w:rPr>
        <w:t>solely payments</w:t>
      </w:r>
      <w:r>
        <w:rPr>
          <w:color w:val="231F20"/>
        </w:rPr>
        <w:t> of principal and interest on the principal amount outstanding.</w:t>
      </w:r>
      <w:r>
        <w:rPr/>
      </w:r>
    </w:p>
    <w:p>
      <w:pPr>
        <w:pStyle w:val="BodyText"/>
        <w:spacing w:line="240" w:lineRule="auto"/>
        <w:ind w:left="114" w:right="231"/>
        <w:jc w:val="left"/>
      </w:pPr>
      <w:r>
        <w:rPr>
          <w:color w:val="231F20"/>
        </w:rPr>
        <w:t>After initial recognition, these are measured at amortised cost using the effective interest method. Discounting is omitted where the effect of discounting is immaterial. The cash and cash equivalents,</w:t>
      </w:r>
      <w:r>
        <w:rPr>
          <w:color w:val="231F20"/>
          <w:spacing w:val="-1"/>
        </w:rPr>
        <w:t> </w:t>
      </w:r>
      <w:r>
        <w:rPr>
          <w:color w:val="231F20"/>
        </w:rPr>
        <w:t>trade and</w:t>
      </w:r>
      <w:r>
        <w:rPr>
          <w:color w:val="231F20"/>
          <w:spacing w:val="-1"/>
        </w:rPr>
        <w:t> </w:t>
      </w:r>
      <w:r>
        <w:rPr>
          <w:color w:val="231F20"/>
        </w:rPr>
        <w:t>other receivables</w:t>
      </w:r>
      <w:r>
        <w:rPr>
          <w:color w:val="231F20"/>
          <w:spacing w:val="-1"/>
        </w:rPr>
        <w:t> </w:t>
      </w:r>
      <w:r>
        <w:rPr>
          <w:color w:val="231F20"/>
        </w:rPr>
        <w:t>fall into</w:t>
      </w:r>
      <w:r>
        <w:rPr>
          <w:color w:val="231F20"/>
          <w:spacing w:val="-1"/>
        </w:rPr>
        <w:t> </w:t>
      </w:r>
      <w:r>
        <w:rPr>
          <w:color w:val="231F20"/>
        </w:rPr>
        <w:t>this category</w:t>
      </w:r>
      <w:r>
        <w:rPr>
          <w:color w:val="231F20"/>
          <w:spacing w:val="-1"/>
        </w:rPr>
        <w:t> </w:t>
      </w:r>
      <w:r>
        <w:rPr>
          <w:color w:val="231F20"/>
        </w:rPr>
        <w:t>of financial</w:t>
      </w:r>
      <w:r>
        <w:rPr>
          <w:color w:val="231F20"/>
          <w:spacing w:val="-1"/>
        </w:rPr>
        <w:t> </w:t>
      </w:r>
      <w:r>
        <w:rPr>
          <w:color w:val="231F20"/>
        </w:rPr>
        <w:t>instruments as</w:t>
      </w:r>
      <w:r>
        <w:rPr>
          <w:color w:val="231F20"/>
          <w:spacing w:val="-1"/>
        </w:rPr>
        <w:t> </w:t>
      </w:r>
      <w:r>
        <w:rPr>
          <w:color w:val="231F20"/>
        </w:rPr>
        <w:t>well as</w:t>
      </w:r>
      <w:r>
        <w:rPr>
          <w:color w:val="231F20"/>
        </w:rPr>
        <w:t> long-term</w:t>
      </w:r>
      <w:r>
        <w:rPr>
          <w:color w:val="231F20"/>
          <w:spacing w:val="-1"/>
        </w:rPr>
        <w:t> </w:t>
      </w:r>
      <w:r>
        <w:rPr>
          <w:color w:val="231F20"/>
        </w:rPr>
        <w:t>deposits</w:t>
      </w:r>
      <w:r>
        <w:rPr>
          <w:color w:val="231F20"/>
          <w:spacing w:val="-1"/>
        </w:rPr>
        <w:t> </w:t>
      </w:r>
      <w:r>
        <w:rPr>
          <w:color w:val="231F20"/>
        </w:rPr>
        <w:t>that</w:t>
      </w:r>
      <w:r>
        <w:rPr>
          <w:color w:val="231F20"/>
          <w:spacing w:val="-1"/>
        </w:rPr>
        <w:t> </w:t>
      </w:r>
      <w:r>
        <w:rPr>
          <w:color w:val="231F20"/>
        </w:rPr>
        <w:t>were</w:t>
      </w:r>
      <w:r>
        <w:rPr>
          <w:color w:val="231F20"/>
          <w:spacing w:val="-1"/>
        </w:rPr>
        <w:t> </w:t>
      </w:r>
      <w:r>
        <w:rPr>
          <w:color w:val="231F20"/>
        </w:rPr>
        <w:t>previously classified</w:t>
      </w:r>
      <w:r>
        <w:rPr>
          <w:color w:val="231F20"/>
          <w:spacing w:val="-1"/>
        </w:rPr>
        <w:t> </w:t>
      </w:r>
      <w:r>
        <w:rPr>
          <w:color w:val="231F20"/>
        </w:rPr>
        <w:t>as</w:t>
      </w:r>
      <w:r>
        <w:rPr>
          <w:color w:val="231F20"/>
          <w:spacing w:val="-1"/>
        </w:rPr>
        <w:t> </w:t>
      </w:r>
      <w:r>
        <w:rPr>
          <w:color w:val="231F20"/>
        </w:rPr>
        <w:t>held-to-maturity</w:t>
      </w:r>
      <w:r>
        <w:rPr>
          <w:color w:val="231F20"/>
          <w:spacing w:val="-1"/>
        </w:rPr>
        <w:t> </w:t>
      </w:r>
      <w:r>
        <w:rPr>
          <w:color w:val="231F20"/>
        </w:rPr>
        <w:t>under AASB</w:t>
      </w:r>
      <w:r>
        <w:rPr>
          <w:color w:val="231F20"/>
          <w:spacing w:val="-1"/>
        </w:rPr>
        <w:t> </w:t>
      </w:r>
      <w:r>
        <w:rPr>
          <w:color w:val="231F20"/>
        </w:rPr>
        <w:t>139.</w:t>
      </w:r>
      <w:r>
        <w:rPr/>
      </w:r>
    </w:p>
    <w:p>
      <w:pPr>
        <w:spacing w:line="240" w:lineRule="auto" w:before="0"/>
        <w:rPr>
          <w:rFonts w:ascii="Swis721 Lt BT" w:hAnsi="Swis721 Lt BT" w:cs="Swis721 Lt BT" w:eastAsia="Swis721 Lt BT"/>
          <w:sz w:val="18"/>
          <w:szCs w:val="18"/>
        </w:rPr>
      </w:pPr>
    </w:p>
    <w:p>
      <w:pPr>
        <w:pStyle w:val="Heading8"/>
        <w:spacing w:line="240" w:lineRule="auto"/>
        <w:ind w:left="113" w:right="0"/>
        <w:jc w:val="left"/>
      </w:pPr>
      <w:r>
        <w:rPr>
          <w:color w:val="00757A"/>
        </w:rPr>
        <w:t>Cash and cash equivalents</w:t>
      </w:r>
      <w:r>
        <w:rPr/>
      </w:r>
    </w:p>
    <w:p>
      <w:pPr>
        <w:pStyle w:val="BodyText"/>
        <w:spacing w:line="240" w:lineRule="auto" w:before="106"/>
        <w:ind w:left="113" w:right="295"/>
        <w:jc w:val="both"/>
      </w:pPr>
      <w:r>
        <w:rPr>
          <w:color w:val="231F20"/>
        </w:rPr>
        <w:t>Cash and cash equivalents comprise cash balances and call deposits with original maturities of three</w:t>
      </w:r>
      <w:r>
        <w:rPr>
          <w:color w:val="231F20"/>
          <w:spacing w:val="-1"/>
        </w:rPr>
        <w:t> </w:t>
      </w:r>
      <w:r>
        <w:rPr>
          <w:color w:val="231F20"/>
        </w:rPr>
        <w:t>months</w:t>
      </w:r>
      <w:r>
        <w:rPr>
          <w:color w:val="231F20"/>
          <w:spacing w:val="-1"/>
        </w:rPr>
        <w:t> </w:t>
      </w:r>
      <w:r>
        <w:rPr>
          <w:color w:val="231F20"/>
        </w:rPr>
        <w:t>or less</w:t>
      </w:r>
      <w:r>
        <w:rPr>
          <w:color w:val="231F20"/>
          <w:spacing w:val="-1"/>
        </w:rPr>
        <w:t> </w:t>
      </w:r>
      <w:r>
        <w:rPr>
          <w:color w:val="231F20"/>
        </w:rPr>
        <w:t>from acquisition</w:t>
      </w:r>
      <w:r>
        <w:rPr>
          <w:color w:val="231F20"/>
          <w:spacing w:val="-1"/>
        </w:rPr>
        <w:t> </w:t>
      </w:r>
      <w:r>
        <w:rPr>
          <w:color w:val="231F20"/>
        </w:rPr>
        <w:t>date,</w:t>
      </w:r>
      <w:r>
        <w:rPr>
          <w:color w:val="231F20"/>
          <w:spacing w:val="-1"/>
        </w:rPr>
        <w:t> </w:t>
      </w:r>
      <w:r>
        <w:rPr>
          <w:color w:val="231F20"/>
        </w:rPr>
        <w:t>that are</w:t>
      </w:r>
      <w:r>
        <w:rPr>
          <w:color w:val="231F20"/>
          <w:spacing w:val="-1"/>
        </w:rPr>
        <w:t> </w:t>
      </w:r>
      <w:r>
        <w:rPr>
          <w:color w:val="231F20"/>
        </w:rPr>
        <w:t>subject to</w:t>
      </w:r>
      <w:r>
        <w:rPr>
          <w:color w:val="231F20"/>
          <w:spacing w:val="-1"/>
        </w:rPr>
        <w:t> </w:t>
      </w:r>
      <w:r>
        <w:rPr>
          <w:color w:val="231F20"/>
        </w:rPr>
        <w:t>an insignificant</w:t>
      </w:r>
      <w:r>
        <w:rPr>
          <w:color w:val="231F20"/>
          <w:spacing w:val="-1"/>
        </w:rPr>
        <w:t> </w:t>
      </w:r>
      <w:r>
        <w:rPr>
          <w:color w:val="231F20"/>
        </w:rPr>
        <w:t>risk</w:t>
      </w:r>
      <w:r>
        <w:rPr>
          <w:color w:val="231F20"/>
          <w:spacing w:val="-1"/>
        </w:rPr>
        <w:t> </w:t>
      </w:r>
      <w:r>
        <w:rPr>
          <w:color w:val="231F20"/>
        </w:rPr>
        <w:t>of changes</w:t>
      </w:r>
      <w:r>
        <w:rPr>
          <w:color w:val="231F20"/>
          <w:spacing w:val="-1"/>
        </w:rPr>
        <w:t> </w:t>
      </w:r>
      <w:r>
        <w:rPr>
          <w:color w:val="231F20"/>
        </w:rPr>
        <w:t>in</w:t>
      </w:r>
      <w:r>
        <w:rPr>
          <w:color w:val="231F20"/>
        </w:rPr>
        <w:t> their fair value and are held by AITSL in the management of its </w:t>
      </w:r>
      <w:r>
        <w:rPr>
          <w:color w:val="231F20"/>
          <w:spacing w:val="-1"/>
        </w:rPr>
        <w:t>short-term</w:t>
      </w:r>
      <w:r>
        <w:rPr>
          <w:color w:val="231F20"/>
        </w:rPr>
        <w:t> commitments.</w:t>
      </w:r>
      <w:r>
        <w:rPr/>
      </w:r>
    </w:p>
    <w:p>
      <w:pPr>
        <w:spacing w:after="0" w:line="240" w:lineRule="auto"/>
        <w:jc w:val="both"/>
        <w:sectPr>
          <w:pgSz w:w="9980" w:h="14180"/>
          <w:pgMar w:header="0" w:footer="452" w:top="360" w:bottom="640" w:left="1020" w:right="740"/>
        </w:sectPr>
      </w:pPr>
    </w:p>
    <w:p>
      <w:pPr>
        <w:spacing w:line="240" w:lineRule="auto" w:before="8"/>
        <w:rPr>
          <w:rFonts w:ascii="Swis721 Lt BT" w:hAnsi="Swis721 Lt BT" w:cs="Swis721 Lt BT" w:eastAsia="Swis721 Lt BT"/>
          <w:sz w:val="6"/>
          <w:szCs w:val="6"/>
        </w:rPr>
      </w:pPr>
      <w:r>
        <w:rPr/>
        <w:pict>
          <v:shape style="position:absolute;margin-left:42.669701pt;margin-top:499.039124pt;width:399.7pt;height:87.1pt;mso-position-horizontal-relative:page;mso-position-vertical-relative:page;z-index:-181168" type="#_x0000_t202" filled="false" stroked="true" strokeweight=".3pt" strokecolor="#71797f">
            <v:textbox inset="0,0,0,0">
              <w:txbxContent>
                <w:p>
                  <w:pPr>
                    <w:spacing w:before="75"/>
                    <w:ind w:left="110" w:right="0" w:firstLine="0"/>
                    <w:jc w:val="left"/>
                    <w:rPr>
                      <w:rFonts w:ascii="Swis721 Md BT" w:hAnsi="Swis721 Md BT" w:cs="Swis721 Md BT" w:eastAsia="Swis721 Md BT"/>
                      <w:sz w:val="22"/>
                      <w:szCs w:val="22"/>
                    </w:rPr>
                  </w:pPr>
                  <w:r>
                    <w:rPr>
                      <w:rFonts w:ascii="Swis721 Md BT"/>
                      <w:color w:val="00757A"/>
                      <w:sz w:val="22"/>
                    </w:rPr>
                    <w:t>Accounting </w:t>
                  </w:r>
                  <w:r>
                    <w:rPr>
                      <w:rFonts w:ascii="Swis721 Md BT"/>
                      <w:color w:val="00757A"/>
                      <w:spacing w:val="-1"/>
                      <w:sz w:val="22"/>
                    </w:rPr>
                    <w:t>Policy</w:t>
                  </w:r>
                  <w:r>
                    <w:rPr>
                      <w:rFonts w:ascii="Swis721 Md BT"/>
                      <w:sz w:val="22"/>
                    </w:rPr>
                  </w:r>
                </w:p>
                <w:p>
                  <w:pPr>
                    <w:spacing w:line="240" w:lineRule="auto" w:before="4"/>
                    <w:rPr>
                      <w:rFonts w:ascii="Swis721 Lt BT" w:hAnsi="Swis721 Lt BT" w:cs="Swis721 Lt BT" w:eastAsia="Swis721 Lt BT"/>
                      <w:sz w:val="17"/>
                      <w:szCs w:val="17"/>
                    </w:rPr>
                  </w:pPr>
                </w:p>
                <w:p>
                  <w:pPr>
                    <w:pStyle w:val="BodyText"/>
                    <w:spacing w:line="240" w:lineRule="auto" w:before="0"/>
                    <w:ind w:right="0"/>
                    <w:jc w:val="left"/>
                    <w:rPr>
                      <w:rFonts w:ascii="Swis721 Md BT" w:hAnsi="Swis721 Md BT" w:cs="Swis721 Md BT" w:eastAsia="Swis721 Md BT"/>
                    </w:rPr>
                  </w:pPr>
                  <w:r>
                    <w:rPr>
                      <w:rFonts w:ascii="Swis721 Md BT"/>
                      <w:color w:val="303B41"/>
                    </w:rPr>
                    <w:t>Commitments</w:t>
                  </w:r>
                  <w:r>
                    <w:rPr>
                      <w:rFonts w:ascii="Swis721 Md BT"/>
                    </w:rPr>
                  </w:r>
                </w:p>
                <w:p>
                  <w:pPr>
                    <w:pStyle w:val="BodyText"/>
                    <w:spacing w:line="240" w:lineRule="auto"/>
                    <w:ind w:right="204"/>
                    <w:jc w:val="left"/>
                  </w:pPr>
                  <w:r>
                    <w:rPr>
                      <w:color w:val="231F20"/>
                    </w:rPr>
                    <w:t>Commitments include those operating, capital and other outsourcing commitments arising from non-cancellable contractual or statutory sources and are disclosed at their nominal value inclusive of GST payable or receivable.</w:t>
                  </w:r>
                  <w:r>
                    <w:rPr/>
                  </w:r>
                </w:p>
              </w:txbxContent>
            </v:textbox>
            <w10:wrap type="none"/>
          </v:shape>
        </w:pict>
      </w:r>
    </w:p>
    <w:tbl>
      <w:tblPr>
        <w:tblW w:w="0" w:type="auto"/>
        <w:jc w:val="left"/>
        <w:tblInd w:w="170" w:type="dxa"/>
        <w:tblLayout w:type="fixed"/>
        <w:tblCellMar>
          <w:top w:w="0" w:type="dxa"/>
          <w:left w:w="0" w:type="dxa"/>
          <w:bottom w:w="0" w:type="dxa"/>
          <w:right w:w="0" w:type="dxa"/>
        </w:tblCellMar>
        <w:tblLook w:val="01E0"/>
      </w:tblPr>
      <w:tblGrid>
        <w:gridCol w:w="5499"/>
        <w:gridCol w:w="1373"/>
        <w:gridCol w:w="1121"/>
      </w:tblGrid>
      <w:tr>
        <w:trPr>
          <w:trHeight w:val="600" w:hRule="exact"/>
        </w:trPr>
        <w:tc>
          <w:tcPr>
            <w:tcW w:w="5499" w:type="dxa"/>
            <w:tcBorders>
              <w:top w:val="nil" w:sz="6" w:space="0" w:color="auto"/>
              <w:left w:val="nil" w:sz="6" w:space="0" w:color="auto"/>
              <w:bottom w:val="nil" w:sz="6" w:space="0" w:color="auto"/>
              <w:right w:val="nil" w:sz="6" w:space="0" w:color="auto"/>
            </w:tcBorders>
          </w:tcPr>
          <w:p>
            <w:pPr>
              <w:pStyle w:val="TableParagraph"/>
              <w:spacing w:line="240" w:lineRule="auto" w:before="61"/>
              <w:ind w:left="-1" w:right="0"/>
              <w:jc w:val="left"/>
              <w:rPr>
                <w:rFonts w:ascii="Swis721 BT" w:hAnsi="Swis721 BT" w:cs="Swis721 BT" w:eastAsia="Swis721 BT"/>
                <w:sz w:val="24"/>
                <w:szCs w:val="24"/>
              </w:rPr>
            </w:pPr>
            <w:bookmarkStart w:name="NOTE 11. COMMITMENTS" w:id="38"/>
            <w:bookmarkEnd w:id="38"/>
            <w:r>
              <w:rPr/>
            </w:r>
            <w:r>
              <w:rPr>
                <w:rFonts w:ascii="Swis721 Hv BT"/>
                <w:b/>
                <w:color w:val="005E63"/>
                <w:sz w:val="24"/>
              </w:rPr>
              <w:t>NOTE</w:t>
            </w:r>
            <w:r>
              <w:rPr>
                <w:rFonts w:ascii="Swis721 Hv BT"/>
                <w:b/>
                <w:color w:val="005E63"/>
                <w:spacing w:val="-4"/>
                <w:sz w:val="24"/>
              </w:rPr>
              <w:t> </w:t>
            </w:r>
            <w:r>
              <w:rPr>
                <w:rFonts w:ascii="Swis721 Hv BT"/>
                <w:b/>
                <w:color w:val="005E63"/>
                <w:sz w:val="24"/>
              </w:rPr>
              <w:t>11.</w:t>
            </w:r>
            <w:r>
              <w:rPr>
                <w:rFonts w:ascii="Swis721 Hv BT"/>
                <w:b/>
                <w:color w:val="005E63"/>
                <w:spacing w:val="-9"/>
                <w:sz w:val="24"/>
              </w:rPr>
              <w:t> </w:t>
            </w:r>
            <w:r>
              <w:rPr>
                <w:rFonts w:ascii="Swis721 BT"/>
                <w:color w:val="005E63"/>
                <w:sz w:val="24"/>
              </w:rPr>
              <w:t>COMMITMENTS</w:t>
            </w:r>
            <w:r>
              <w:rPr>
                <w:rFonts w:ascii="Swis721 BT"/>
                <w:sz w:val="24"/>
              </w:rPr>
            </w:r>
          </w:p>
        </w:tc>
        <w:tc>
          <w:tcPr>
            <w:tcW w:w="2494" w:type="dxa"/>
            <w:gridSpan w:val="2"/>
            <w:tcBorders>
              <w:top w:val="nil" w:sz="6" w:space="0" w:color="auto"/>
              <w:left w:val="nil" w:sz="6" w:space="0" w:color="auto"/>
              <w:bottom w:val="nil" w:sz="6" w:space="0" w:color="auto"/>
              <w:right w:val="nil" w:sz="6" w:space="0" w:color="auto"/>
            </w:tcBorders>
          </w:tcPr>
          <w:p>
            <w:pPr/>
          </w:p>
        </w:tc>
      </w:tr>
      <w:tr>
        <w:trPr>
          <w:trHeight w:val="514" w:hRule="exact"/>
        </w:trPr>
        <w:tc>
          <w:tcPr>
            <w:tcW w:w="5499" w:type="dxa"/>
            <w:tcBorders>
              <w:top w:val="nil" w:sz="6" w:space="0" w:color="auto"/>
              <w:left w:val="nil" w:sz="6" w:space="0" w:color="auto"/>
              <w:bottom w:val="nil" w:sz="6" w:space="0" w:color="auto"/>
              <w:right w:val="single" w:sz="1" w:space="0" w:color="BFD22B"/>
            </w:tcBorders>
            <w:shd w:val="clear" w:color="auto" w:fill="BFD22B"/>
          </w:tcPr>
          <w:p>
            <w:pPr/>
          </w:p>
        </w:tc>
        <w:tc>
          <w:tcPr>
            <w:tcW w:w="1373" w:type="dxa"/>
            <w:tcBorders>
              <w:top w:val="nil" w:sz="6" w:space="0" w:color="auto"/>
              <w:left w:val="single" w:sz="1" w:space="0" w:color="BFD22B"/>
              <w:bottom w:val="nil" w:sz="6" w:space="0" w:color="auto"/>
              <w:right w:val="nil" w:sz="6" w:space="0" w:color="auto"/>
            </w:tcBorders>
            <w:shd w:val="clear" w:color="auto" w:fill="BFD22B"/>
          </w:tcPr>
          <w:p>
            <w:pPr>
              <w:pStyle w:val="TableParagraph"/>
              <w:spacing w:line="240" w:lineRule="auto" w:before="44"/>
              <w:ind w:right="204"/>
              <w:jc w:val="right"/>
              <w:rPr>
                <w:rFonts w:ascii="Swis721 Cn BT" w:hAnsi="Swis721 Cn BT" w:cs="Swis721 Cn BT" w:eastAsia="Swis721 Cn BT"/>
                <w:sz w:val="18"/>
                <w:szCs w:val="18"/>
              </w:rPr>
            </w:pPr>
            <w:r>
              <w:rPr>
                <w:rFonts w:ascii="Swis721 Cn BT"/>
                <w:color w:val="303B41"/>
                <w:w w:val="95"/>
                <w:sz w:val="18"/>
              </w:rPr>
              <w:t>2019</w:t>
            </w:r>
            <w:r>
              <w:rPr>
                <w:rFonts w:ascii="Swis721 Cn BT"/>
                <w:sz w:val="18"/>
              </w:rPr>
            </w:r>
          </w:p>
          <w:p>
            <w:pPr>
              <w:pStyle w:val="TableParagraph"/>
              <w:spacing w:line="240" w:lineRule="auto"/>
              <w:ind w:right="204"/>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c>
          <w:tcPr>
            <w:tcW w:w="1121"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44"/>
              <w:ind w:right="78"/>
              <w:jc w:val="right"/>
              <w:rPr>
                <w:rFonts w:ascii="Swis721 Cn BT" w:hAnsi="Swis721 Cn BT" w:cs="Swis721 Cn BT" w:eastAsia="Swis721 Cn BT"/>
                <w:sz w:val="18"/>
                <w:szCs w:val="18"/>
              </w:rPr>
            </w:pPr>
            <w:r>
              <w:rPr>
                <w:rFonts w:ascii="Swis721 Cn BT"/>
                <w:color w:val="303B41"/>
                <w:w w:val="95"/>
                <w:sz w:val="18"/>
              </w:rPr>
              <w:t>2018</w:t>
            </w:r>
            <w:r>
              <w:rPr>
                <w:rFonts w:ascii="Swis721 Cn BT"/>
                <w:sz w:val="18"/>
              </w:rPr>
            </w:r>
          </w:p>
          <w:p>
            <w:pPr>
              <w:pStyle w:val="TableParagraph"/>
              <w:spacing w:line="240" w:lineRule="auto"/>
              <w:ind w:right="78"/>
              <w:jc w:val="right"/>
              <w:rPr>
                <w:rFonts w:ascii="Swis721 Cn BT" w:hAnsi="Swis721 Cn BT" w:cs="Swis721 Cn BT" w:eastAsia="Swis721 Cn BT"/>
                <w:sz w:val="18"/>
                <w:szCs w:val="18"/>
              </w:rPr>
            </w:pPr>
            <w:r>
              <w:rPr>
                <w:rFonts w:ascii="Swis721 Cn BT"/>
                <w:color w:val="303B41"/>
                <w:w w:val="95"/>
                <w:sz w:val="18"/>
              </w:rPr>
              <w:t>$</w:t>
            </w:r>
            <w:r>
              <w:rPr>
                <w:rFonts w:ascii="Swis721 Cn BT"/>
                <w:sz w:val="18"/>
              </w:rPr>
            </w:r>
          </w:p>
        </w:tc>
      </w:tr>
      <w:tr>
        <w:trPr>
          <w:trHeight w:val="474" w:hRule="exact"/>
        </w:trPr>
        <w:tc>
          <w:tcPr>
            <w:tcW w:w="5499"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Swis721 Lt BT" w:hAnsi="Swis721 Lt BT" w:cs="Swis721 Lt BT" w:eastAsia="Swis721 Lt BT"/>
                <w:sz w:val="15"/>
                <w:szCs w:val="15"/>
              </w:rPr>
            </w:pPr>
          </w:p>
          <w:p>
            <w:pPr>
              <w:pStyle w:val="TableParagraph"/>
              <w:spacing w:line="240" w:lineRule="auto"/>
              <w:ind w:left="-1" w:right="0"/>
              <w:jc w:val="left"/>
              <w:rPr>
                <w:rFonts w:ascii="Swis721 Md BT" w:hAnsi="Swis721 Md BT" w:cs="Swis721 Md BT" w:eastAsia="Swis721 Md BT"/>
                <w:sz w:val="19"/>
                <w:szCs w:val="19"/>
              </w:rPr>
            </w:pPr>
            <w:r>
              <w:rPr>
                <w:rFonts w:ascii="Swis721 Md BT"/>
                <w:color w:val="303B41"/>
                <w:sz w:val="19"/>
              </w:rPr>
              <w:t>Commitments payable</w:t>
            </w:r>
            <w:r>
              <w:rPr>
                <w:rFonts w:ascii="Swis721 Md BT"/>
                <w:sz w:val="19"/>
              </w:rPr>
            </w:r>
          </w:p>
        </w:tc>
        <w:tc>
          <w:tcPr>
            <w:tcW w:w="1373"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r>
      <w:tr>
        <w:trPr>
          <w:trHeight w:val="309" w:hRule="exact"/>
        </w:trPr>
        <w:tc>
          <w:tcPr>
            <w:tcW w:w="5499"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1" w:right="0"/>
              <w:jc w:val="left"/>
              <w:rPr>
                <w:rFonts w:ascii="Swis721 Lt BT" w:hAnsi="Swis721 Lt BT" w:cs="Swis721 Lt BT" w:eastAsia="Swis721 Lt BT"/>
                <w:sz w:val="18"/>
                <w:szCs w:val="18"/>
              </w:rPr>
            </w:pPr>
            <w:r>
              <w:rPr>
                <w:rFonts w:ascii="Swis721 Lt BT"/>
                <w:color w:val="231F20"/>
                <w:sz w:val="18"/>
              </w:rPr>
              <w:t>Contracts for services</w:t>
            </w:r>
            <w:r>
              <w:rPr>
                <w:rFonts w:ascii="Swis721 Lt BT"/>
                <w:sz w:val="18"/>
              </w:rPr>
            </w:r>
          </w:p>
        </w:tc>
        <w:tc>
          <w:tcPr>
            <w:tcW w:w="1373"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394" w:right="0"/>
              <w:jc w:val="left"/>
              <w:rPr>
                <w:rFonts w:ascii="Swis721 Lt BT" w:hAnsi="Swis721 Lt BT" w:cs="Swis721 Lt BT" w:eastAsia="Swis721 Lt BT"/>
                <w:sz w:val="18"/>
                <w:szCs w:val="18"/>
              </w:rPr>
            </w:pPr>
            <w:r>
              <w:rPr>
                <w:rFonts w:ascii="Swis721 Lt BT"/>
                <w:color w:val="231F20"/>
                <w:sz w:val="18"/>
              </w:rPr>
              <w:t>2,313,518</w:t>
            </w:r>
            <w:r>
              <w:rPr>
                <w:rFonts w:ascii="Swis721 Lt BT"/>
                <w:sz w:val="18"/>
              </w:rPr>
            </w:r>
          </w:p>
        </w:tc>
        <w:tc>
          <w:tcPr>
            <w:tcW w:w="1121" w:type="dxa"/>
            <w:tcBorders>
              <w:top w:val="nil" w:sz="6" w:space="0" w:color="auto"/>
              <w:left w:val="nil" w:sz="6" w:space="0" w:color="auto"/>
              <w:bottom w:val="single" w:sz="2" w:space="0" w:color="848B91"/>
              <w:right w:val="nil" w:sz="6" w:space="0" w:color="auto"/>
            </w:tcBorders>
          </w:tcPr>
          <w:p>
            <w:pPr>
              <w:pStyle w:val="TableParagraph"/>
              <w:spacing w:line="240" w:lineRule="auto" w:before="45"/>
              <w:ind w:left="261" w:right="0"/>
              <w:jc w:val="left"/>
              <w:rPr>
                <w:rFonts w:ascii="Swis721 Lt BT" w:hAnsi="Swis721 Lt BT" w:cs="Swis721 Lt BT" w:eastAsia="Swis721 Lt BT"/>
                <w:sz w:val="18"/>
                <w:szCs w:val="18"/>
              </w:rPr>
            </w:pPr>
            <w:r>
              <w:rPr>
                <w:rFonts w:ascii="Swis721 Lt BT"/>
                <w:color w:val="231F20"/>
                <w:sz w:val="18"/>
              </w:rPr>
              <w:t>2,767,770</w:t>
            </w:r>
            <w:r>
              <w:rPr>
                <w:rFonts w:ascii="Swis721 Lt BT"/>
                <w:sz w:val="18"/>
              </w:rPr>
            </w:r>
          </w:p>
        </w:tc>
      </w:tr>
      <w:tr>
        <w:trPr>
          <w:trHeight w:val="341" w:hRule="exact"/>
        </w:trPr>
        <w:tc>
          <w:tcPr>
            <w:tcW w:w="5499"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 w:right="0"/>
              <w:jc w:val="left"/>
              <w:rPr>
                <w:rFonts w:ascii="Swis721 Lt BT" w:hAnsi="Swis721 Lt BT" w:cs="Swis721 Lt BT" w:eastAsia="Swis721 Lt BT"/>
                <w:sz w:val="18"/>
                <w:szCs w:val="18"/>
              </w:rPr>
            </w:pPr>
            <w:r>
              <w:rPr>
                <w:rFonts w:ascii="Swis721 Lt BT"/>
                <w:color w:val="231F20"/>
                <w:sz w:val="18"/>
              </w:rPr>
              <w:t>Operating Leases</w:t>
            </w:r>
            <w:r>
              <w:rPr>
                <w:rFonts w:ascii="Swis721 Lt BT"/>
                <w:sz w:val="18"/>
              </w:rPr>
            </w:r>
          </w:p>
        </w:tc>
        <w:tc>
          <w:tcPr>
            <w:tcW w:w="1373"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394" w:right="0"/>
              <w:jc w:val="left"/>
              <w:rPr>
                <w:rFonts w:ascii="Swis721 Lt BT" w:hAnsi="Swis721 Lt BT" w:cs="Swis721 Lt BT" w:eastAsia="Swis721 Lt BT"/>
                <w:sz w:val="18"/>
                <w:szCs w:val="18"/>
              </w:rPr>
            </w:pPr>
            <w:r>
              <w:rPr>
                <w:rFonts w:ascii="Swis721 Lt BT"/>
                <w:color w:val="231F20"/>
                <w:sz w:val="18"/>
              </w:rPr>
              <w:t>3,348,813</w:t>
            </w:r>
            <w:r>
              <w:rPr>
                <w:rFonts w:ascii="Swis721 Lt BT"/>
                <w:sz w:val="18"/>
              </w:rPr>
            </w:r>
          </w:p>
        </w:tc>
        <w:tc>
          <w:tcPr>
            <w:tcW w:w="1121"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261" w:right="0"/>
              <w:jc w:val="left"/>
              <w:rPr>
                <w:rFonts w:ascii="Swis721 Lt BT" w:hAnsi="Swis721 Lt BT" w:cs="Swis721 Lt BT" w:eastAsia="Swis721 Lt BT"/>
                <w:sz w:val="18"/>
                <w:szCs w:val="18"/>
              </w:rPr>
            </w:pPr>
            <w:r>
              <w:rPr>
                <w:rFonts w:ascii="Swis721 Lt BT"/>
                <w:color w:val="231F20"/>
                <w:sz w:val="18"/>
              </w:rPr>
              <w:t>4,048,062</w:t>
            </w:r>
            <w:r>
              <w:rPr>
                <w:rFonts w:ascii="Swis721 Lt BT"/>
                <w:sz w:val="18"/>
              </w:rPr>
            </w:r>
          </w:p>
        </w:tc>
      </w:tr>
      <w:tr>
        <w:trPr>
          <w:trHeight w:val="349" w:hRule="exact"/>
        </w:trPr>
        <w:tc>
          <w:tcPr>
            <w:tcW w:w="5499"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1" w:right="0"/>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commitments payable</w:t>
            </w:r>
            <w:r>
              <w:rPr>
                <w:rFonts w:ascii="Swis721 Md BT"/>
                <w:sz w:val="18"/>
              </w:rPr>
            </w:r>
          </w:p>
        </w:tc>
        <w:tc>
          <w:tcPr>
            <w:tcW w:w="1373"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358" w:right="0"/>
              <w:jc w:val="left"/>
              <w:rPr>
                <w:rFonts w:ascii="Swis721 Md BT" w:hAnsi="Swis721 Md BT" w:cs="Swis721 Md BT" w:eastAsia="Swis721 Md BT"/>
                <w:sz w:val="18"/>
                <w:szCs w:val="18"/>
              </w:rPr>
            </w:pPr>
            <w:r>
              <w:rPr>
                <w:rFonts w:ascii="Swis721 Md BT"/>
                <w:color w:val="231F20"/>
                <w:sz w:val="18"/>
              </w:rPr>
              <w:t>5,662,331</w:t>
            </w:r>
            <w:r>
              <w:rPr>
                <w:rFonts w:ascii="Swis721 Md BT"/>
                <w:sz w:val="18"/>
              </w:rPr>
            </w:r>
          </w:p>
        </w:tc>
        <w:tc>
          <w:tcPr>
            <w:tcW w:w="1121"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06" w:right="0"/>
              <w:jc w:val="left"/>
              <w:rPr>
                <w:rFonts w:ascii="Swis721 Md BT" w:hAnsi="Swis721 Md BT" w:cs="Swis721 Md BT" w:eastAsia="Swis721 Md BT"/>
                <w:sz w:val="18"/>
                <w:szCs w:val="18"/>
              </w:rPr>
            </w:pPr>
            <w:r>
              <w:rPr>
                <w:rFonts w:ascii="Swis721 Md BT"/>
                <w:color w:val="231F20"/>
                <w:sz w:val="18"/>
              </w:rPr>
              <w:t>6,815,832</w:t>
            </w:r>
            <w:r>
              <w:rPr>
                <w:rFonts w:ascii="Swis721 Md BT"/>
                <w:sz w:val="18"/>
              </w:rPr>
            </w:r>
          </w:p>
        </w:tc>
      </w:tr>
      <w:tr>
        <w:trPr>
          <w:trHeight w:val="641" w:hRule="exact"/>
        </w:trPr>
        <w:tc>
          <w:tcPr>
            <w:tcW w:w="5499" w:type="dxa"/>
            <w:tcBorders>
              <w:top w:val="single" w:sz="8" w:space="0" w:color="848B91"/>
              <w:left w:val="nil" w:sz="6" w:space="0" w:color="auto"/>
              <w:bottom w:val="nil" w:sz="6" w:space="0" w:color="auto"/>
              <w:right w:val="nil" w:sz="6" w:space="0" w:color="auto"/>
            </w:tcBorders>
          </w:tcPr>
          <w:p>
            <w:pPr>
              <w:pStyle w:val="TableParagraph"/>
              <w:spacing w:line="240" w:lineRule="auto" w:before="10"/>
              <w:ind w:right="0"/>
              <w:jc w:val="left"/>
              <w:rPr>
                <w:rFonts w:ascii="Swis721 Lt BT" w:hAnsi="Swis721 Lt BT" w:cs="Swis721 Lt BT" w:eastAsia="Swis721 Lt BT"/>
                <w:sz w:val="23"/>
                <w:szCs w:val="23"/>
              </w:rPr>
            </w:pPr>
          </w:p>
          <w:p>
            <w:pPr>
              <w:pStyle w:val="TableParagraph"/>
              <w:spacing w:line="240" w:lineRule="auto"/>
              <w:ind w:left="-1" w:right="0"/>
              <w:jc w:val="left"/>
              <w:rPr>
                <w:rFonts w:ascii="Swis721 Md BT" w:hAnsi="Swis721 Md BT" w:cs="Swis721 Md BT" w:eastAsia="Swis721 Md BT"/>
                <w:sz w:val="22"/>
                <w:szCs w:val="22"/>
              </w:rPr>
            </w:pPr>
            <w:r>
              <w:rPr>
                <w:rFonts w:ascii="Swis721 Md BT"/>
                <w:color w:val="00757A"/>
                <w:sz w:val="22"/>
              </w:rPr>
              <w:t>By maturity</w:t>
            </w:r>
            <w:r>
              <w:rPr>
                <w:rFonts w:ascii="Swis721 Md BT"/>
                <w:sz w:val="22"/>
              </w:rPr>
            </w:r>
          </w:p>
        </w:tc>
        <w:tc>
          <w:tcPr>
            <w:tcW w:w="1373" w:type="dxa"/>
            <w:tcBorders>
              <w:top w:val="single" w:sz="8" w:space="0" w:color="848B91"/>
              <w:left w:val="nil" w:sz="6" w:space="0" w:color="auto"/>
              <w:bottom w:val="nil" w:sz="6" w:space="0" w:color="auto"/>
              <w:right w:val="nil" w:sz="6" w:space="0" w:color="auto"/>
            </w:tcBorders>
          </w:tcPr>
          <w:p>
            <w:pPr/>
          </w:p>
        </w:tc>
        <w:tc>
          <w:tcPr>
            <w:tcW w:w="1121" w:type="dxa"/>
            <w:tcBorders>
              <w:top w:val="single" w:sz="8" w:space="0" w:color="848B91"/>
              <w:left w:val="nil" w:sz="6" w:space="0" w:color="auto"/>
              <w:bottom w:val="nil" w:sz="6" w:space="0" w:color="auto"/>
              <w:right w:val="nil" w:sz="6" w:space="0" w:color="auto"/>
            </w:tcBorders>
          </w:tcPr>
          <w:p>
            <w:pPr/>
          </w:p>
        </w:tc>
      </w:tr>
    </w:tbl>
    <w:p>
      <w:pPr>
        <w:pStyle w:val="BodyText"/>
        <w:spacing w:line="240" w:lineRule="auto" w:before="116"/>
        <w:ind w:left="170" w:right="0"/>
        <w:jc w:val="both"/>
        <w:rPr>
          <w:rFonts w:ascii="Swis721 Md BT" w:hAnsi="Swis721 Md BT" w:cs="Swis721 Md BT" w:eastAsia="Swis721 Md BT"/>
        </w:rPr>
      </w:pPr>
      <w:r>
        <w:rPr>
          <w:rFonts w:ascii="Swis721 Md BT"/>
          <w:color w:val="303B41"/>
        </w:rPr>
        <w:t>Operating lease commitments</w:t>
      </w:r>
      <w:r>
        <w:rPr>
          <w:rFonts w:ascii="Swis721 Md BT"/>
        </w:rPr>
      </w:r>
    </w:p>
    <w:p>
      <w:pPr>
        <w:pStyle w:val="BodyText"/>
        <w:spacing w:line="240" w:lineRule="auto"/>
        <w:ind w:left="170" w:right="153"/>
        <w:jc w:val="both"/>
      </w:pPr>
      <w:r>
        <w:rPr>
          <w:color w:val="231F20"/>
        </w:rPr>
        <w:t>AITSL leases premises at 440 Collins Street, Melbourne and does not have an option to purchase the premises at the expiry of the lease period. AITSL has provided a bank guarantee to the lessor of $419,234 in support of the lease commitment for the Melbourne </w:t>
      </w:r>
      <w:r>
        <w:rPr>
          <w:color w:val="231F20"/>
          <w:spacing w:val="-2"/>
        </w:rPr>
        <w:t>property.</w:t>
      </w:r>
      <w:r>
        <w:rPr/>
      </w:r>
    </w:p>
    <w:p>
      <w:pPr>
        <w:spacing w:line="240" w:lineRule="auto" w:before="1"/>
        <w:rPr>
          <w:rFonts w:ascii="Swis721 Lt BT" w:hAnsi="Swis721 Lt BT" w:cs="Swis721 Lt BT" w:eastAsia="Swis721 Lt BT"/>
          <w:sz w:val="12"/>
          <w:szCs w:val="12"/>
        </w:rPr>
      </w:pPr>
    </w:p>
    <w:tbl>
      <w:tblPr>
        <w:tblW w:w="0" w:type="auto"/>
        <w:jc w:val="left"/>
        <w:tblInd w:w="115" w:type="dxa"/>
        <w:tblLayout w:type="fixed"/>
        <w:tblCellMar>
          <w:top w:w="0" w:type="dxa"/>
          <w:left w:w="0" w:type="dxa"/>
          <w:bottom w:w="0" w:type="dxa"/>
          <w:right w:w="0" w:type="dxa"/>
        </w:tblCellMar>
        <w:tblLook w:val="01E0"/>
      </w:tblPr>
      <w:tblGrid>
        <w:gridCol w:w="4942"/>
        <w:gridCol w:w="1982"/>
        <w:gridCol w:w="1124"/>
      </w:tblGrid>
      <w:tr>
        <w:trPr>
          <w:trHeight w:val="673" w:hRule="exact"/>
        </w:trPr>
        <w:tc>
          <w:tcPr>
            <w:tcW w:w="4942" w:type="dxa"/>
            <w:tcBorders>
              <w:top w:val="nil" w:sz="6" w:space="0" w:color="auto"/>
              <w:left w:val="nil" w:sz="6" w:space="0" w:color="auto"/>
              <w:bottom w:val="single" w:sz="2" w:space="0" w:color="848B91"/>
              <w:right w:val="nil" w:sz="6" w:space="0" w:color="auto"/>
            </w:tcBorders>
          </w:tcPr>
          <w:p>
            <w:pPr>
              <w:pStyle w:val="TableParagraph"/>
              <w:spacing w:line="240" w:lineRule="auto" w:before="69"/>
              <w:ind w:left="55" w:right="0"/>
              <w:jc w:val="left"/>
              <w:rPr>
                <w:rFonts w:ascii="Swis721 Lt BT" w:hAnsi="Swis721 Lt BT" w:cs="Swis721 Lt BT" w:eastAsia="Swis721 Lt BT"/>
                <w:sz w:val="19"/>
                <w:szCs w:val="19"/>
              </w:rPr>
            </w:pPr>
            <w:r>
              <w:rPr>
                <w:rFonts w:ascii="Swis721 Lt BT"/>
                <w:color w:val="00757A"/>
                <w:spacing w:val="-1"/>
                <w:sz w:val="19"/>
              </w:rPr>
              <w:t>Payable</w:t>
            </w:r>
            <w:r>
              <w:rPr>
                <w:rFonts w:ascii="Swis721 Lt BT"/>
                <w:color w:val="00757A"/>
                <w:sz w:val="19"/>
              </w:rPr>
              <w:t> - minimum lease payments</w:t>
            </w:r>
            <w:r>
              <w:rPr>
                <w:rFonts w:ascii="Swis721 Lt BT"/>
                <w:sz w:val="19"/>
              </w:rPr>
            </w:r>
          </w:p>
          <w:p>
            <w:pPr>
              <w:pStyle w:val="TableParagraph"/>
              <w:spacing w:line="240" w:lineRule="auto" w:before="111"/>
              <w:ind w:left="55" w:right="0"/>
              <w:jc w:val="left"/>
              <w:rPr>
                <w:rFonts w:ascii="Swis721 Lt BT" w:hAnsi="Swis721 Lt BT" w:cs="Swis721 Lt BT" w:eastAsia="Swis721 Lt BT"/>
                <w:sz w:val="18"/>
                <w:szCs w:val="18"/>
              </w:rPr>
            </w:pPr>
            <w:r>
              <w:rPr>
                <w:rFonts w:ascii="Swis721 Lt BT"/>
                <w:color w:val="231F20"/>
                <w:sz w:val="18"/>
              </w:rPr>
              <w:t>- Not more than 12 months</w:t>
            </w:r>
            <w:r>
              <w:rPr>
                <w:rFonts w:ascii="Swis721 Lt BT"/>
                <w:sz w:val="18"/>
              </w:rPr>
            </w:r>
          </w:p>
        </w:tc>
        <w:tc>
          <w:tcPr>
            <w:tcW w:w="1982" w:type="dxa"/>
            <w:tcBorders>
              <w:top w:val="nil" w:sz="6" w:space="0" w:color="auto"/>
              <w:left w:val="nil" w:sz="6" w:space="0" w:color="auto"/>
              <w:bottom w:val="single" w:sz="2" w:space="0" w:color="848B91"/>
              <w:right w:val="nil" w:sz="6" w:space="0" w:color="auto"/>
            </w:tcBorders>
          </w:tcPr>
          <w:p>
            <w:pPr>
              <w:pStyle w:val="TableParagraph"/>
              <w:spacing w:line="240" w:lineRule="auto"/>
              <w:ind w:right="0"/>
              <w:jc w:val="left"/>
              <w:rPr>
                <w:rFonts w:ascii="Swis721 Lt BT" w:hAnsi="Swis721 Lt BT" w:cs="Swis721 Lt BT" w:eastAsia="Swis721 Lt BT"/>
                <w:sz w:val="18"/>
                <w:szCs w:val="18"/>
              </w:rPr>
            </w:pPr>
          </w:p>
          <w:p>
            <w:pPr>
              <w:pStyle w:val="TableParagraph"/>
              <w:spacing w:line="240" w:lineRule="auto" w:before="1"/>
              <w:ind w:right="0"/>
              <w:jc w:val="left"/>
              <w:rPr>
                <w:rFonts w:ascii="Swis721 Lt BT" w:hAnsi="Swis721 Lt BT" w:cs="Swis721 Lt BT" w:eastAsia="Swis721 Lt BT"/>
                <w:sz w:val="16"/>
                <w:szCs w:val="16"/>
              </w:rPr>
            </w:pPr>
          </w:p>
          <w:p>
            <w:pPr>
              <w:pStyle w:val="TableParagraph"/>
              <w:spacing w:line="240" w:lineRule="auto"/>
              <w:ind w:left="1150" w:right="0"/>
              <w:jc w:val="left"/>
              <w:rPr>
                <w:rFonts w:ascii="Swis721 Lt BT" w:hAnsi="Swis721 Lt BT" w:cs="Swis721 Lt BT" w:eastAsia="Swis721 Lt BT"/>
                <w:sz w:val="18"/>
                <w:szCs w:val="18"/>
              </w:rPr>
            </w:pPr>
            <w:r>
              <w:rPr>
                <w:rFonts w:ascii="Swis721 Lt BT"/>
                <w:color w:val="231F20"/>
                <w:sz w:val="18"/>
              </w:rPr>
              <w:t>643,540</w:t>
            </w:r>
            <w:r>
              <w:rPr>
                <w:rFonts w:ascii="Swis721 Lt BT"/>
                <w:sz w:val="18"/>
              </w:rPr>
            </w:r>
          </w:p>
        </w:tc>
        <w:tc>
          <w:tcPr>
            <w:tcW w:w="1124" w:type="dxa"/>
            <w:tcBorders>
              <w:top w:val="nil" w:sz="6" w:space="0" w:color="auto"/>
              <w:left w:val="nil" w:sz="6" w:space="0" w:color="auto"/>
              <w:bottom w:val="single" w:sz="2" w:space="0" w:color="848B91"/>
              <w:right w:val="nil" w:sz="6" w:space="0" w:color="auto"/>
            </w:tcBorders>
          </w:tcPr>
          <w:p>
            <w:pPr>
              <w:pStyle w:val="TableParagraph"/>
              <w:spacing w:line="240" w:lineRule="auto"/>
              <w:ind w:right="0"/>
              <w:jc w:val="left"/>
              <w:rPr>
                <w:rFonts w:ascii="Swis721 Lt BT" w:hAnsi="Swis721 Lt BT" w:cs="Swis721 Lt BT" w:eastAsia="Swis721 Lt BT"/>
                <w:sz w:val="18"/>
                <w:szCs w:val="18"/>
              </w:rPr>
            </w:pPr>
          </w:p>
          <w:p>
            <w:pPr>
              <w:pStyle w:val="TableParagraph"/>
              <w:spacing w:line="240" w:lineRule="auto" w:before="1"/>
              <w:ind w:right="0"/>
              <w:jc w:val="left"/>
              <w:rPr>
                <w:rFonts w:ascii="Swis721 Lt BT" w:hAnsi="Swis721 Lt BT" w:cs="Swis721 Lt BT" w:eastAsia="Swis721 Lt BT"/>
                <w:sz w:val="16"/>
                <w:szCs w:val="16"/>
              </w:rPr>
            </w:pPr>
          </w:p>
          <w:p>
            <w:pPr>
              <w:pStyle w:val="TableParagraph"/>
              <w:spacing w:line="240" w:lineRule="auto"/>
              <w:ind w:left="408" w:right="0"/>
              <w:jc w:val="left"/>
              <w:rPr>
                <w:rFonts w:ascii="Swis721 Lt BT" w:hAnsi="Swis721 Lt BT" w:cs="Swis721 Lt BT" w:eastAsia="Swis721 Lt BT"/>
                <w:sz w:val="18"/>
                <w:szCs w:val="18"/>
              </w:rPr>
            </w:pPr>
            <w:r>
              <w:rPr>
                <w:rFonts w:ascii="Swis721 Lt BT"/>
                <w:color w:val="231F20"/>
                <w:sz w:val="18"/>
              </w:rPr>
              <w:t>628,380</w:t>
            </w:r>
            <w:r>
              <w:rPr>
                <w:rFonts w:ascii="Swis721 Lt BT"/>
                <w:sz w:val="18"/>
              </w:rPr>
            </w:r>
          </w:p>
        </w:tc>
      </w:tr>
      <w:tr>
        <w:trPr>
          <w:trHeight w:val="329" w:hRule="exact"/>
        </w:trPr>
        <w:tc>
          <w:tcPr>
            <w:tcW w:w="494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z w:val="18"/>
              </w:rPr>
              <w:t>- Greater than 12 months but not later than 5 years</w:t>
            </w:r>
            <w:r>
              <w:rPr>
                <w:rFonts w:ascii="Swis721 Lt BT"/>
                <w:sz w:val="18"/>
              </w:rPr>
            </w:r>
          </w:p>
        </w:tc>
        <w:tc>
          <w:tcPr>
            <w:tcW w:w="1982"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1006" w:right="0"/>
              <w:jc w:val="left"/>
              <w:rPr>
                <w:rFonts w:ascii="Swis721 Lt BT" w:hAnsi="Swis721 Lt BT" w:cs="Swis721 Lt BT" w:eastAsia="Swis721 Lt BT"/>
                <w:sz w:val="18"/>
                <w:szCs w:val="18"/>
              </w:rPr>
            </w:pPr>
            <w:r>
              <w:rPr>
                <w:rFonts w:ascii="Swis721 Lt BT"/>
                <w:color w:val="231F20"/>
                <w:sz w:val="18"/>
              </w:rPr>
              <w:t>2,705,273</w:t>
            </w:r>
            <w:r>
              <w:rPr>
                <w:rFonts w:ascii="Swis721 Lt BT"/>
                <w:sz w:val="18"/>
              </w:rPr>
            </w:r>
          </w:p>
        </w:tc>
        <w:tc>
          <w:tcPr>
            <w:tcW w:w="1124" w:type="dxa"/>
            <w:tcBorders>
              <w:top w:val="single" w:sz="2" w:space="0" w:color="848B91"/>
              <w:left w:val="nil" w:sz="6" w:space="0" w:color="auto"/>
              <w:bottom w:val="single" w:sz="2" w:space="0" w:color="848B91"/>
              <w:right w:val="nil" w:sz="6" w:space="0" w:color="auto"/>
            </w:tcBorders>
          </w:tcPr>
          <w:p>
            <w:pPr>
              <w:pStyle w:val="TableParagraph"/>
              <w:spacing w:line="240" w:lineRule="auto" w:before="65"/>
              <w:ind w:left="264" w:right="0"/>
              <w:jc w:val="left"/>
              <w:rPr>
                <w:rFonts w:ascii="Swis721 Lt BT" w:hAnsi="Swis721 Lt BT" w:cs="Swis721 Lt BT" w:eastAsia="Swis721 Lt BT"/>
                <w:sz w:val="18"/>
                <w:szCs w:val="18"/>
              </w:rPr>
            </w:pPr>
            <w:r>
              <w:rPr>
                <w:rFonts w:ascii="Swis721 Lt BT"/>
                <w:color w:val="231F20"/>
                <w:sz w:val="18"/>
              </w:rPr>
              <w:t>2,802,968</w:t>
            </w:r>
            <w:r>
              <w:rPr>
                <w:rFonts w:ascii="Swis721 Lt BT"/>
                <w:sz w:val="18"/>
              </w:rPr>
            </w:r>
          </w:p>
        </w:tc>
      </w:tr>
      <w:tr>
        <w:trPr>
          <w:trHeight w:val="341" w:hRule="exact"/>
        </w:trPr>
        <w:tc>
          <w:tcPr>
            <w:tcW w:w="4942"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z w:val="18"/>
              </w:rPr>
              <w:t>- Greater than 5 years</w:t>
            </w:r>
            <w:r>
              <w:rPr>
                <w:rFonts w:ascii="Swis721 Lt BT"/>
                <w:sz w:val="18"/>
              </w:rPr>
            </w:r>
          </w:p>
        </w:tc>
        <w:tc>
          <w:tcPr>
            <w:tcW w:w="1982"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right="207"/>
              <w:jc w:val="right"/>
              <w:rPr>
                <w:rFonts w:ascii="Swis721 Lt BT" w:hAnsi="Swis721 Lt BT" w:cs="Swis721 Lt BT" w:eastAsia="Swis721 Lt BT"/>
                <w:sz w:val="18"/>
                <w:szCs w:val="18"/>
              </w:rPr>
            </w:pPr>
            <w:r>
              <w:rPr>
                <w:rFonts w:ascii="Swis721 Lt BT"/>
                <w:color w:val="231F20"/>
                <w:w w:val="95"/>
                <w:sz w:val="18"/>
              </w:rPr>
              <w:t>-</w:t>
            </w:r>
            <w:r>
              <w:rPr>
                <w:rFonts w:ascii="Swis721 Lt BT"/>
                <w:sz w:val="18"/>
              </w:rPr>
            </w:r>
          </w:p>
        </w:tc>
        <w:tc>
          <w:tcPr>
            <w:tcW w:w="1124"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408" w:right="0"/>
              <w:jc w:val="left"/>
              <w:rPr>
                <w:rFonts w:ascii="Swis721 Lt BT" w:hAnsi="Swis721 Lt BT" w:cs="Swis721 Lt BT" w:eastAsia="Swis721 Lt BT"/>
                <w:sz w:val="18"/>
                <w:szCs w:val="18"/>
              </w:rPr>
            </w:pPr>
            <w:r>
              <w:rPr>
                <w:rFonts w:ascii="Swis721 Lt BT"/>
                <w:color w:val="231F20"/>
                <w:sz w:val="18"/>
              </w:rPr>
              <w:t>616,714</w:t>
            </w:r>
            <w:r>
              <w:rPr>
                <w:rFonts w:ascii="Swis721 Lt BT"/>
                <w:sz w:val="18"/>
              </w:rPr>
            </w:r>
          </w:p>
        </w:tc>
      </w:tr>
      <w:tr>
        <w:trPr>
          <w:trHeight w:val="349" w:hRule="exact"/>
        </w:trPr>
        <w:tc>
          <w:tcPr>
            <w:tcW w:w="494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5" w:right="0"/>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operating lease commitments</w:t>
            </w:r>
            <w:r>
              <w:rPr>
                <w:rFonts w:ascii="Swis721 Md BT"/>
                <w:sz w:val="18"/>
              </w:rPr>
            </w:r>
          </w:p>
        </w:tc>
        <w:tc>
          <w:tcPr>
            <w:tcW w:w="198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970" w:right="0"/>
              <w:jc w:val="left"/>
              <w:rPr>
                <w:rFonts w:ascii="Swis721 Md BT" w:hAnsi="Swis721 Md BT" w:cs="Swis721 Md BT" w:eastAsia="Swis721 Md BT"/>
                <w:sz w:val="18"/>
                <w:szCs w:val="18"/>
              </w:rPr>
            </w:pPr>
            <w:r>
              <w:rPr>
                <w:rFonts w:ascii="Swis721 Md BT"/>
                <w:color w:val="231F20"/>
                <w:sz w:val="18"/>
              </w:rPr>
              <w:t>3,348,813</w:t>
            </w:r>
            <w:r>
              <w:rPr>
                <w:rFonts w:ascii="Swis721 Md BT"/>
                <w:sz w:val="18"/>
              </w:rPr>
            </w:r>
          </w:p>
        </w:tc>
        <w:tc>
          <w:tcPr>
            <w:tcW w:w="1124"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09" w:right="0"/>
              <w:jc w:val="left"/>
              <w:rPr>
                <w:rFonts w:ascii="Swis721 Md BT" w:hAnsi="Swis721 Md BT" w:cs="Swis721 Md BT" w:eastAsia="Swis721 Md BT"/>
                <w:sz w:val="18"/>
                <w:szCs w:val="18"/>
              </w:rPr>
            </w:pPr>
            <w:r>
              <w:rPr>
                <w:rFonts w:ascii="Swis721 Md BT"/>
                <w:color w:val="231F20"/>
                <w:sz w:val="18"/>
              </w:rPr>
              <w:t>4,048,062</w:t>
            </w:r>
            <w:r>
              <w:rPr>
                <w:rFonts w:ascii="Swis721 Md BT"/>
                <w:sz w:val="18"/>
              </w:rPr>
            </w:r>
          </w:p>
        </w:tc>
      </w:tr>
      <w:tr>
        <w:trPr>
          <w:trHeight w:val="349" w:hRule="exact"/>
        </w:trPr>
        <w:tc>
          <w:tcPr>
            <w:tcW w:w="494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5" w:right="0"/>
              <w:jc w:val="left"/>
              <w:rPr>
                <w:rFonts w:ascii="Swis721 Md BT" w:hAnsi="Swis721 Md BT" w:cs="Swis721 Md BT" w:eastAsia="Swis721 Md BT"/>
                <w:sz w:val="18"/>
                <w:szCs w:val="18"/>
              </w:rPr>
            </w:pPr>
            <w:r>
              <w:rPr>
                <w:rFonts w:ascii="Swis721 Md BT"/>
                <w:color w:val="231F20"/>
                <w:sz w:val="18"/>
              </w:rPr>
              <w:t>Net operating lease commitments</w:t>
            </w:r>
            <w:r>
              <w:rPr>
                <w:rFonts w:ascii="Swis721 Md BT"/>
                <w:sz w:val="18"/>
              </w:rPr>
            </w:r>
          </w:p>
        </w:tc>
        <w:tc>
          <w:tcPr>
            <w:tcW w:w="198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970" w:right="0"/>
              <w:jc w:val="left"/>
              <w:rPr>
                <w:rFonts w:ascii="Swis721 Md BT" w:hAnsi="Swis721 Md BT" w:cs="Swis721 Md BT" w:eastAsia="Swis721 Md BT"/>
                <w:sz w:val="18"/>
                <w:szCs w:val="18"/>
              </w:rPr>
            </w:pPr>
            <w:r>
              <w:rPr>
                <w:rFonts w:ascii="Swis721 Md BT"/>
                <w:color w:val="231F20"/>
                <w:sz w:val="18"/>
              </w:rPr>
              <w:t>3,348,813</w:t>
            </w:r>
            <w:r>
              <w:rPr>
                <w:rFonts w:ascii="Swis721 Md BT"/>
                <w:sz w:val="18"/>
              </w:rPr>
            </w:r>
          </w:p>
        </w:tc>
        <w:tc>
          <w:tcPr>
            <w:tcW w:w="1124"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09" w:right="0"/>
              <w:jc w:val="left"/>
              <w:rPr>
                <w:rFonts w:ascii="Swis721 Md BT" w:hAnsi="Swis721 Md BT" w:cs="Swis721 Md BT" w:eastAsia="Swis721 Md BT"/>
                <w:sz w:val="18"/>
                <w:szCs w:val="18"/>
              </w:rPr>
            </w:pPr>
            <w:r>
              <w:rPr>
                <w:rFonts w:ascii="Swis721 Md BT"/>
                <w:color w:val="231F20"/>
                <w:sz w:val="18"/>
              </w:rPr>
              <w:t>4,048,062</w:t>
            </w:r>
            <w:r>
              <w:rPr>
                <w:rFonts w:ascii="Swis721 Md BT"/>
                <w:sz w:val="18"/>
              </w:rPr>
            </w:r>
          </w:p>
        </w:tc>
      </w:tr>
      <w:tr>
        <w:trPr>
          <w:trHeight w:val="761" w:hRule="exact"/>
        </w:trPr>
        <w:tc>
          <w:tcPr>
            <w:tcW w:w="4942" w:type="dxa"/>
            <w:tcBorders>
              <w:top w:val="single" w:sz="8" w:space="0" w:color="848B91"/>
              <w:left w:val="nil" w:sz="6" w:space="0" w:color="auto"/>
              <w:bottom w:val="single" w:sz="2" w:space="0" w:color="848B91"/>
              <w:right w:val="nil" w:sz="6" w:space="0" w:color="auto"/>
            </w:tcBorders>
          </w:tcPr>
          <w:p>
            <w:pPr>
              <w:pStyle w:val="TableParagraph"/>
              <w:spacing w:line="240" w:lineRule="auto" w:before="157"/>
              <w:ind w:left="55" w:right="0"/>
              <w:jc w:val="left"/>
              <w:rPr>
                <w:rFonts w:ascii="Swis721 Md BT" w:hAnsi="Swis721 Md BT" w:cs="Swis721 Md BT" w:eastAsia="Swis721 Md BT"/>
                <w:sz w:val="19"/>
                <w:szCs w:val="19"/>
              </w:rPr>
            </w:pPr>
            <w:r>
              <w:rPr>
                <w:rFonts w:ascii="Swis721 Md BT"/>
                <w:color w:val="303B41"/>
                <w:sz w:val="19"/>
              </w:rPr>
              <w:t>Contracts for services</w:t>
            </w:r>
            <w:r>
              <w:rPr>
                <w:rFonts w:ascii="Swis721 Md BT"/>
                <w:sz w:val="19"/>
              </w:rPr>
            </w:r>
          </w:p>
          <w:p>
            <w:pPr>
              <w:pStyle w:val="TableParagraph"/>
              <w:spacing w:line="240" w:lineRule="auto" w:before="111"/>
              <w:ind w:left="55" w:right="0"/>
              <w:jc w:val="left"/>
              <w:rPr>
                <w:rFonts w:ascii="Swis721 Lt BT" w:hAnsi="Swis721 Lt BT" w:cs="Swis721 Lt BT" w:eastAsia="Swis721 Lt BT"/>
                <w:sz w:val="18"/>
                <w:szCs w:val="18"/>
              </w:rPr>
            </w:pPr>
            <w:r>
              <w:rPr>
                <w:rFonts w:ascii="Swis721 Lt BT"/>
                <w:color w:val="231F20"/>
                <w:sz w:val="18"/>
              </w:rPr>
              <w:t>- Not more than 12 months</w:t>
            </w:r>
            <w:r>
              <w:rPr>
                <w:rFonts w:ascii="Swis721 Lt BT"/>
                <w:sz w:val="18"/>
              </w:rPr>
            </w:r>
          </w:p>
        </w:tc>
        <w:tc>
          <w:tcPr>
            <w:tcW w:w="1982" w:type="dxa"/>
            <w:tcBorders>
              <w:top w:val="single" w:sz="8" w:space="0" w:color="848B91"/>
              <w:left w:val="nil" w:sz="6" w:space="0" w:color="auto"/>
              <w:bottom w:val="single" w:sz="2" w:space="0" w:color="848B91"/>
              <w:right w:val="nil" w:sz="6" w:space="0" w:color="auto"/>
            </w:tcBorders>
          </w:tcPr>
          <w:p>
            <w:pPr>
              <w:pStyle w:val="TableParagraph"/>
              <w:spacing w:line="240" w:lineRule="auto"/>
              <w:ind w:right="0"/>
              <w:jc w:val="left"/>
              <w:rPr>
                <w:rFonts w:ascii="Swis721 Lt BT" w:hAnsi="Swis721 Lt BT" w:cs="Swis721 Lt BT" w:eastAsia="Swis721 Lt BT"/>
                <w:sz w:val="18"/>
                <w:szCs w:val="18"/>
              </w:rPr>
            </w:pPr>
          </w:p>
          <w:p>
            <w:pPr>
              <w:pStyle w:val="TableParagraph"/>
              <w:spacing w:line="240" w:lineRule="auto" w:before="5"/>
              <w:ind w:right="0"/>
              <w:jc w:val="left"/>
              <w:rPr>
                <w:rFonts w:ascii="Swis721 Lt BT" w:hAnsi="Swis721 Lt BT" w:cs="Swis721 Lt BT" w:eastAsia="Swis721 Lt BT"/>
                <w:sz w:val="23"/>
                <w:szCs w:val="23"/>
              </w:rPr>
            </w:pPr>
          </w:p>
          <w:p>
            <w:pPr>
              <w:pStyle w:val="TableParagraph"/>
              <w:spacing w:line="240" w:lineRule="auto"/>
              <w:ind w:left="1006" w:right="0"/>
              <w:jc w:val="left"/>
              <w:rPr>
                <w:rFonts w:ascii="Swis721 Lt BT" w:hAnsi="Swis721 Lt BT" w:cs="Swis721 Lt BT" w:eastAsia="Swis721 Lt BT"/>
                <w:sz w:val="18"/>
                <w:szCs w:val="18"/>
              </w:rPr>
            </w:pPr>
            <w:r>
              <w:rPr>
                <w:rFonts w:ascii="Swis721 Lt BT"/>
                <w:color w:val="231F20"/>
                <w:sz w:val="18"/>
              </w:rPr>
              <w:t>1,720,669</w:t>
            </w:r>
            <w:r>
              <w:rPr>
                <w:rFonts w:ascii="Swis721 Lt BT"/>
                <w:sz w:val="18"/>
              </w:rPr>
            </w:r>
          </w:p>
        </w:tc>
        <w:tc>
          <w:tcPr>
            <w:tcW w:w="1124" w:type="dxa"/>
            <w:tcBorders>
              <w:top w:val="single" w:sz="8" w:space="0" w:color="848B91"/>
              <w:left w:val="nil" w:sz="6" w:space="0" w:color="auto"/>
              <w:bottom w:val="single" w:sz="2" w:space="0" w:color="848B91"/>
              <w:right w:val="nil" w:sz="6" w:space="0" w:color="auto"/>
            </w:tcBorders>
          </w:tcPr>
          <w:p>
            <w:pPr>
              <w:pStyle w:val="TableParagraph"/>
              <w:spacing w:line="240" w:lineRule="auto"/>
              <w:ind w:right="0"/>
              <w:jc w:val="left"/>
              <w:rPr>
                <w:rFonts w:ascii="Swis721 Lt BT" w:hAnsi="Swis721 Lt BT" w:cs="Swis721 Lt BT" w:eastAsia="Swis721 Lt BT"/>
                <w:sz w:val="18"/>
                <w:szCs w:val="18"/>
              </w:rPr>
            </w:pPr>
          </w:p>
          <w:p>
            <w:pPr>
              <w:pStyle w:val="TableParagraph"/>
              <w:spacing w:line="240" w:lineRule="auto" w:before="5"/>
              <w:ind w:right="0"/>
              <w:jc w:val="left"/>
              <w:rPr>
                <w:rFonts w:ascii="Swis721 Lt BT" w:hAnsi="Swis721 Lt BT" w:cs="Swis721 Lt BT" w:eastAsia="Swis721 Lt BT"/>
                <w:sz w:val="23"/>
                <w:szCs w:val="23"/>
              </w:rPr>
            </w:pPr>
          </w:p>
          <w:p>
            <w:pPr>
              <w:pStyle w:val="TableParagraph"/>
              <w:spacing w:line="240" w:lineRule="auto"/>
              <w:ind w:left="264" w:right="0"/>
              <w:jc w:val="left"/>
              <w:rPr>
                <w:rFonts w:ascii="Swis721 Lt BT" w:hAnsi="Swis721 Lt BT" w:cs="Swis721 Lt BT" w:eastAsia="Swis721 Lt BT"/>
                <w:sz w:val="18"/>
                <w:szCs w:val="18"/>
              </w:rPr>
            </w:pPr>
            <w:r>
              <w:rPr>
                <w:rFonts w:ascii="Swis721 Lt BT"/>
                <w:color w:val="231F20"/>
                <w:sz w:val="18"/>
              </w:rPr>
              <w:t>1,666,072</w:t>
            </w:r>
            <w:r>
              <w:rPr>
                <w:rFonts w:ascii="Swis721 Lt BT"/>
                <w:sz w:val="18"/>
              </w:rPr>
            </w:r>
          </w:p>
        </w:tc>
      </w:tr>
      <w:tr>
        <w:trPr>
          <w:trHeight w:val="341" w:hRule="exact"/>
        </w:trPr>
        <w:tc>
          <w:tcPr>
            <w:tcW w:w="4942"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55" w:right="0"/>
              <w:jc w:val="left"/>
              <w:rPr>
                <w:rFonts w:ascii="Swis721 Lt BT" w:hAnsi="Swis721 Lt BT" w:cs="Swis721 Lt BT" w:eastAsia="Swis721 Lt BT"/>
                <w:sz w:val="18"/>
                <w:szCs w:val="18"/>
              </w:rPr>
            </w:pPr>
            <w:r>
              <w:rPr>
                <w:rFonts w:ascii="Swis721 Lt BT"/>
                <w:color w:val="231F20"/>
                <w:sz w:val="18"/>
              </w:rPr>
              <w:t>- Greater than 12 months but not later than 5 years</w:t>
            </w:r>
            <w:r>
              <w:rPr>
                <w:rFonts w:ascii="Swis721 Lt BT"/>
                <w:sz w:val="18"/>
              </w:rPr>
            </w:r>
          </w:p>
        </w:tc>
        <w:tc>
          <w:tcPr>
            <w:tcW w:w="1982"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1150" w:right="0"/>
              <w:jc w:val="left"/>
              <w:rPr>
                <w:rFonts w:ascii="Swis721 Lt BT" w:hAnsi="Swis721 Lt BT" w:cs="Swis721 Lt BT" w:eastAsia="Swis721 Lt BT"/>
                <w:sz w:val="18"/>
                <w:szCs w:val="18"/>
              </w:rPr>
            </w:pPr>
            <w:r>
              <w:rPr>
                <w:rFonts w:ascii="Swis721 Lt BT"/>
                <w:color w:val="231F20"/>
                <w:sz w:val="18"/>
              </w:rPr>
              <w:t>592,849</w:t>
            </w:r>
            <w:r>
              <w:rPr>
                <w:rFonts w:ascii="Swis721 Lt BT"/>
                <w:sz w:val="18"/>
              </w:rPr>
            </w:r>
          </w:p>
        </w:tc>
        <w:tc>
          <w:tcPr>
            <w:tcW w:w="1124" w:type="dxa"/>
            <w:tcBorders>
              <w:top w:val="single" w:sz="2" w:space="0" w:color="848B91"/>
              <w:left w:val="nil" w:sz="6" w:space="0" w:color="auto"/>
              <w:bottom w:val="single" w:sz="8" w:space="0" w:color="848B91"/>
              <w:right w:val="nil" w:sz="6" w:space="0" w:color="auto"/>
            </w:tcBorders>
          </w:tcPr>
          <w:p>
            <w:pPr>
              <w:pStyle w:val="TableParagraph"/>
              <w:spacing w:line="240" w:lineRule="auto" w:before="65"/>
              <w:ind w:left="264" w:right="0"/>
              <w:jc w:val="left"/>
              <w:rPr>
                <w:rFonts w:ascii="Swis721 Lt BT" w:hAnsi="Swis721 Lt BT" w:cs="Swis721 Lt BT" w:eastAsia="Swis721 Lt BT"/>
                <w:sz w:val="18"/>
                <w:szCs w:val="18"/>
              </w:rPr>
            </w:pPr>
            <w:r>
              <w:rPr>
                <w:rFonts w:ascii="Swis721 Lt BT"/>
                <w:color w:val="231F20"/>
                <w:sz w:val="18"/>
              </w:rPr>
              <w:t>1,101,698</w:t>
            </w:r>
            <w:r>
              <w:rPr>
                <w:rFonts w:ascii="Swis721 Lt BT"/>
                <w:sz w:val="18"/>
              </w:rPr>
            </w:r>
          </w:p>
        </w:tc>
      </w:tr>
      <w:tr>
        <w:trPr>
          <w:trHeight w:val="349" w:hRule="exact"/>
        </w:trPr>
        <w:tc>
          <w:tcPr>
            <w:tcW w:w="494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5" w:right="0"/>
              <w:jc w:val="left"/>
              <w:rPr>
                <w:rFonts w:ascii="Swis721 Md BT" w:hAnsi="Swis721 Md BT" w:cs="Swis721 Md BT" w:eastAsia="Swis721 Md BT"/>
                <w:sz w:val="18"/>
                <w:szCs w:val="18"/>
              </w:rPr>
            </w:pPr>
            <w:r>
              <w:rPr>
                <w:rFonts w:ascii="Swis721 Md BT"/>
                <w:color w:val="231F20"/>
                <w:spacing w:val="-5"/>
                <w:sz w:val="18"/>
              </w:rPr>
              <w:t>Total</w:t>
            </w:r>
            <w:r>
              <w:rPr>
                <w:rFonts w:ascii="Swis721 Md BT"/>
                <w:color w:val="231F20"/>
                <w:sz w:val="18"/>
              </w:rPr>
              <w:t> Contracts for services commitments</w:t>
            </w:r>
            <w:r>
              <w:rPr>
                <w:rFonts w:ascii="Swis721 Md BT"/>
                <w:sz w:val="18"/>
              </w:rPr>
            </w:r>
          </w:p>
        </w:tc>
        <w:tc>
          <w:tcPr>
            <w:tcW w:w="198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970" w:right="0"/>
              <w:jc w:val="left"/>
              <w:rPr>
                <w:rFonts w:ascii="Swis721 Md BT" w:hAnsi="Swis721 Md BT" w:cs="Swis721 Md BT" w:eastAsia="Swis721 Md BT"/>
                <w:sz w:val="18"/>
                <w:szCs w:val="18"/>
              </w:rPr>
            </w:pPr>
            <w:r>
              <w:rPr>
                <w:rFonts w:ascii="Swis721 Md BT"/>
                <w:color w:val="231F20"/>
                <w:sz w:val="18"/>
              </w:rPr>
              <w:t>2,313,518</w:t>
            </w:r>
            <w:r>
              <w:rPr>
                <w:rFonts w:ascii="Swis721 Md BT"/>
                <w:sz w:val="18"/>
              </w:rPr>
            </w:r>
          </w:p>
        </w:tc>
        <w:tc>
          <w:tcPr>
            <w:tcW w:w="1124"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09" w:right="0"/>
              <w:jc w:val="left"/>
              <w:rPr>
                <w:rFonts w:ascii="Swis721 Md BT" w:hAnsi="Swis721 Md BT" w:cs="Swis721 Md BT" w:eastAsia="Swis721 Md BT"/>
                <w:sz w:val="18"/>
                <w:szCs w:val="18"/>
              </w:rPr>
            </w:pPr>
            <w:r>
              <w:rPr>
                <w:rFonts w:ascii="Swis721 Md BT"/>
                <w:color w:val="231F20"/>
                <w:sz w:val="18"/>
              </w:rPr>
              <w:t>2,767,770</w:t>
            </w:r>
            <w:r>
              <w:rPr>
                <w:rFonts w:ascii="Swis721 Md BT"/>
                <w:sz w:val="18"/>
              </w:rPr>
            </w:r>
          </w:p>
        </w:tc>
      </w:tr>
      <w:tr>
        <w:trPr>
          <w:trHeight w:val="349" w:hRule="exact"/>
        </w:trPr>
        <w:tc>
          <w:tcPr>
            <w:tcW w:w="494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55" w:right="0"/>
              <w:jc w:val="left"/>
              <w:rPr>
                <w:rFonts w:ascii="Swis721 Md BT" w:hAnsi="Swis721 Md BT" w:cs="Swis721 Md BT" w:eastAsia="Swis721 Md BT"/>
                <w:sz w:val="18"/>
                <w:szCs w:val="18"/>
              </w:rPr>
            </w:pPr>
            <w:r>
              <w:rPr>
                <w:rFonts w:ascii="Swis721 Md BT"/>
                <w:color w:val="231F20"/>
                <w:sz w:val="18"/>
              </w:rPr>
              <w:t>Net Contracts for services commitments</w:t>
            </w:r>
            <w:r>
              <w:rPr>
                <w:rFonts w:ascii="Swis721 Md BT"/>
                <w:sz w:val="18"/>
              </w:rPr>
            </w:r>
          </w:p>
        </w:tc>
        <w:tc>
          <w:tcPr>
            <w:tcW w:w="1982"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970" w:right="0"/>
              <w:jc w:val="left"/>
              <w:rPr>
                <w:rFonts w:ascii="Swis721 Md BT" w:hAnsi="Swis721 Md BT" w:cs="Swis721 Md BT" w:eastAsia="Swis721 Md BT"/>
                <w:sz w:val="18"/>
                <w:szCs w:val="18"/>
              </w:rPr>
            </w:pPr>
            <w:r>
              <w:rPr>
                <w:rFonts w:ascii="Swis721 Md BT"/>
                <w:color w:val="231F20"/>
                <w:sz w:val="18"/>
              </w:rPr>
              <w:t>2,313,518</w:t>
            </w:r>
            <w:r>
              <w:rPr>
                <w:rFonts w:ascii="Swis721 Md BT"/>
                <w:sz w:val="18"/>
              </w:rPr>
            </w:r>
          </w:p>
        </w:tc>
        <w:tc>
          <w:tcPr>
            <w:tcW w:w="1124" w:type="dxa"/>
            <w:tcBorders>
              <w:top w:val="single" w:sz="8" w:space="0" w:color="848B91"/>
              <w:left w:val="nil" w:sz="6" w:space="0" w:color="auto"/>
              <w:bottom w:val="single" w:sz="8" w:space="0" w:color="848B91"/>
              <w:right w:val="nil" w:sz="6" w:space="0" w:color="auto"/>
            </w:tcBorders>
          </w:tcPr>
          <w:p>
            <w:pPr>
              <w:pStyle w:val="TableParagraph"/>
              <w:spacing w:line="240" w:lineRule="auto" w:before="53"/>
              <w:ind w:left="209" w:right="0"/>
              <w:jc w:val="left"/>
              <w:rPr>
                <w:rFonts w:ascii="Swis721 Md BT" w:hAnsi="Swis721 Md BT" w:cs="Swis721 Md BT" w:eastAsia="Swis721 Md BT"/>
                <w:sz w:val="18"/>
                <w:szCs w:val="18"/>
              </w:rPr>
            </w:pPr>
            <w:r>
              <w:rPr>
                <w:rFonts w:ascii="Swis721 Md BT"/>
                <w:color w:val="231F20"/>
                <w:sz w:val="18"/>
              </w:rPr>
              <w:t>2,767,770</w:t>
            </w:r>
            <w:r>
              <w:rPr>
                <w:rFonts w:ascii="Swis721 Md BT"/>
                <w:sz w:val="18"/>
              </w:rPr>
            </w:r>
          </w:p>
        </w:tc>
      </w:tr>
      <w:tr>
        <w:trPr>
          <w:trHeight w:val="595" w:hRule="exact"/>
        </w:trPr>
        <w:tc>
          <w:tcPr>
            <w:tcW w:w="4942" w:type="dxa"/>
            <w:tcBorders>
              <w:top w:val="single" w:sz="8" w:space="0" w:color="848B91"/>
              <w:left w:val="nil" w:sz="6" w:space="0" w:color="auto"/>
              <w:bottom w:val="single" w:sz="2" w:space="0" w:color="71797F"/>
              <w:right w:val="nil" w:sz="6" w:space="0" w:color="auto"/>
            </w:tcBorders>
          </w:tcPr>
          <w:p>
            <w:pPr>
              <w:pStyle w:val="TableParagraph"/>
              <w:spacing w:line="240" w:lineRule="auto" w:before="49"/>
              <w:ind w:left="55" w:right="0"/>
              <w:jc w:val="left"/>
              <w:rPr>
                <w:rFonts w:ascii="Swis721 Lt BT" w:hAnsi="Swis721 Lt BT" w:cs="Swis721 Lt BT" w:eastAsia="Swis721 Lt BT"/>
                <w:sz w:val="16"/>
                <w:szCs w:val="16"/>
              </w:rPr>
            </w:pPr>
            <w:r>
              <w:rPr>
                <w:rFonts w:ascii="Swis721 Lt BT"/>
                <w:i/>
                <w:color w:val="231F20"/>
                <w:sz w:val="16"/>
              </w:rPr>
              <w:t>Note: Commitments are GST inclusive where relevant.</w:t>
            </w:r>
            <w:r>
              <w:rPr>
                <w:rFonts w:ascii="Swis721 Lt BT"/>
                <w:sz w:val="16"/>
              </w:rPr>
            </w:r>
          </w:p>
        </w:tc>
        <w:tc>
          <w:tcPr>
            <w:tcW w:w="1982" w:type="dxa"/>
            <w:tcBorders>
              <w:top w:val="single" w:sz="8" w:space="0" w:color="848B91"/>
              <w:left w:val="nil" w:sz="6" w:space="0" w:color="auto"/>
              <w:bottom w:val="single" w:sz="2" w:space="0" w:color="71797F"/>
              <w:right w:val="nil" w:sz="6" w:space="0" w:color="auto"/>
            </w:tcBorders>
          </w:tcPr>
          <w:p>
            <w:pPr/>
          </w:p>
        </w:tc>
        <w:tc>
          <w:tcPr>
            <w:tcW w:w="1124" w:type="dxa"/>
            <w:tcBorders>
              <w:top w:val="single" w:sz="8" w:space="0" w:color="848B91"/>
              <w:left w:val="nil" w:sz="6" w:space="0" w:color="auto"/>
              <w:bottom w:val="single" w:sz="2" w:space="0" w:color="71797F"/>
              <w:right w:val="nil" w:sz="6" w:space="0" w:color="auto"/>
            </w:tcBorders>
          </w:tcPr>
          <w:p>
            <w:pPr/>
          </w:p>
        </w:tc>
      </w:tr>
    </w:tbl>
    <w:p>
      <w:pPr>
        <w:spacing w:after="0"/>
        <w:sectPr>
          <w:pgSz w:w="9980" w:h="14180"/>
          <w:pgMar w:header="0" w:footer="452" w:top="940" w:bottom="640" w:left="680" w:right="1020"/>
        </w:sectPr>
      </w:pPr>
    </w:p>
    <w:p>
      <w:pPr>
        <w:spacing w:before="58"/>
        <w:ind w:left="0" w:right="108" w:firstLine="0"/>
        <w:jc w:val="right"/>
        <w:rPr>
          <w:rFonts w:ascii="Swis721 Lt BT" w:hAnsi="Swis721 Lt BT" w:cs="Swis721 Lt BT" w:eastAsia="Swis721 Lt BT"/>
          <w:sz w:val="14"/>
          <w:szCs w:val="14"/>
        </w:rPr>
      </w:pPr>
      <w:bookmarkStart w:name="NOTE 12. EXPLANATIONS OF MAJOR BUDGET VA" w:id="39"/>
      <w:bookmarkEnd w:id="39"/>
      <w:r>
        <w:rPr/>
      </w: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16"/>
          <w:szCs w:val="16"/>
        </w:rPr>
      </w:pPr>
    </w:p>
    <w:p>
      <w:pPr>
        <w:pStyle w:val="Heading6"/>
        <w:spacing w:line="240" w:lineRule="auto" w:before="61"/>
        <w:ind w:left="113" w:right="0"/>
        <w:jc w:val="left"/>
        <w:rPr>
          <w:rFonts w:ascii="Swis721 BT" w:hAnsi="Swis721 BT" w:cs="Swis721 BT" w:eastAsia="Swis721 BT"/>
        </w:rPr>
      </w:pPr>
      <w:r>
        <w:rPr>
          <w:rFonts w:ascii="Swis721 Hv BT"/>
          <w:b/>
          <w:color w:val="005E63"/>
        </w:rPr>
        <w:t>NOTE</w:t>
      </w:r>
      <w:r>
        <w:rPr>
          <w:rFonts w:ascii="Swis721 Hv BT"/>
          <w:b/>
          <w:color w:val="005E63"/>
          <w:spacing w:val="-2"/>
        </w:rPr>
        <w:t> </w:t>
      </w:r>
      <w:r>
        <w:rPr>
          <w:rFonts w:ascii="Swis721 Hv BT"/>
          <w:b/>
          <w:color w:val="005E63"/>
        </w:rPr>
        <w:t>12.</w:t>
      </w:r>
      <w:r>
        <w:rPr>
          <w:rFonts w:ascii="Swis721 Hv BT"/>
          <w:b/>
          <w:color w:val="005E63"/>
          <w:spacing w:val="-7"/>
        </w:rPr>
        <w:t> </w:t>
      </w:r>
      <w:r>
        <w:rPr>
          <w:rFonts w:ascii="Swis721 BT"/>
          <w:color w:val="005E63"/>
          <w:spacing w:val="-1"/>
        </w:rPr>
        <w:t>EXPLANATIONS </w:t>
      </w:r>
      <w:r>
        <w:rPr>
          <w:rFonts w:ascii="Swis721 BT"/>
          <w:color w:val="005E63"/>
        </w:rPr>
        <w:t>OF</w:t>
      </w:r>
      <w:r>
        <w:rPr>
          <w:rFonts w:ascii="Swis721 BT"/>
          <w:color w:val="005E63"/>
          <w:spacing w:val="-1"/>
        </w:rPr>
        <w:t> </w:t>
      </w:r>
      <w:r>
        <w:rPr>
          <w:rFonts w:ascii="Swis721 BT"/>
          <w:color w:val="005E63"/>
        </w:rPr>
        <w:t>MAJOR</w:t>
      </w:r>
      <w:r>
        <w:rPr>
          <w:rFonts w:ascii="Swis721 BT"/>
          <w:color w:val="005E63"/>
          <w:spacing w:val="-1"/>
        </w:rPr>
        <w:t> </w:t>
      </w:r>
      <w:r>
        <w:rPr>
          <w:rFonts w:ascii="Swis721 BT"/>
          <w:color w:val="005E63"/>
        </w:rPr>
        <w:t>BUDGET</w:t>
      </w:r>
      <w:r>
        <w:rPr>
          <w:rFonts w:ascii="Swis721 BT"/>
          <w:color w:val="005E63"/>
          <w:spacing w:val="-1"/>
        </w:rPr>
        <w:t> VARIANCES</w:t>
      </w:r>
      <w:r>
        <w:rPr>
          <w:rFonts w:ascii="Swis721 BT"/>
        </w:rPr>
      </w:r>
    </w:p>
    <w:p>
      <w:pPr>
        <w:pStyle w:val="BodyText"/>
        <w:spacing w:line="240" w:lineRule="auto" w:before="215"/>
        <w:ind w:left="113" w:right="221"/>
        <w:jc w:val="left"/>
      </w:pPr>
      <w:r>
        <w:rPr>
          <w:color w:val="231F20"/>
        </w:rPr>
        <w:t>The following tables provide explanations of variances between the original budget as presented in</w:t>
      </w:r>
      <w:r>
        <w:rPr>
          <w:color w:val="231F20"/>
          <w:spacing w:val="-1"/>
        </w:rPr>
        <w:t> </w:t>
      </w:r>
      <w:r>
        <w:rPr>
          <w:color w:val="231F20"/>
        </w:rPr>
        <w:t>the 2018–19 </w:t>
      </w:r>
      <w:r>
        <w:rPr>
          <w:color w:val="231F20"/>
          <w:spacing w:val="-1"/>
        </w:rPr>
        <w:t>Portfolio </w:t>
      </w:r>
      <w:r>
        <w:rPr>
          <w:color w:val="231F20"/>
        </w:rPr>
        <w:t>Budget Statements (PBS) and</w:t>
      </w:r>
      <w:r>
        <w:rPr>
          <w:color w:val="231F20"/>
          <w:spacing w:val="-1"/>
        </w:rPr>
        <w:t> </w:t>
      </w:r>
      <w:r>
        <w:rPr>
          <w:color w:val="231F20"/>
        </w:rPr>
        <w:t>the 2018–19 final outcome</w:t>
      </w:r>
      <w:r>
        <w:rPr>
          <w:color w:val="231F20"/>
          <w:spacing w:val="-1"/>
        </w:rPr>
        <w:t> </w:t>
      </w:r>
      <w:r>
        <w:rPr>
          <w:color w:val="231F20"/>
        </w:rPr>
        <w:t>as presented</w:t>
      </w:r>
      <w:r>
        <w:rPr>
          <w:color w:val="231F20"/>
          <w:spacing w:val="26"/>
        </w:rPr>
        <w:t> </w:t>
      </w:r>
      <w:r>
        <w:rPr>
          <w:color w:val="231F20"/>
        </w:rPr>
        <w:t>in accordance with Australian Accounting Standards for AITSL. The Budget is not audited.</w:t>
      </w:r>
      <w:r>
        <w:rPr/>
      </w:r>
    </w:p>
    <w:p>
      <w:pPr>
        <w:pStyle w:val="BodyText"/>
        <w:spacing w:line="240" w:lineRule="auto"/>
        <w:ind w:left="113" w:right="0"/>
        <w:jc w:val="left"/>
      </w:pPr>
      <w:r>
        <w:rPr>
          <w:color w:val="231F20"/>
          <w:spacing w:val="-1"/>
        </w:rPr>
        <w:t>Variances</w:t>
      </w:r>
      <w:r>
        <w:rPr>
          <w:color w:val="231F20"/>
        </w:rPr>
        <w:t> are considered to be major based on the following criteria:</w:t>
      </w:r>
      <w:r>
        <w:rPr/>
      </w:r>
    </w:p>
    <w:p>
      <w:pPr>
        <w:pStyle w:val="BodyText"/>
        <w:spacing w:line="240" w:lineRule="auto"/>
        <w:ind w:left="340" w:right="445" w:hanging="227"/>
        <w:jc w:val="both"/>
      </w:pPr>
      <w:r>
        <w:rPr>
          <w:rFonts w:ascii="Arial" w:hAnsi="Arial"/>
          <w:color w:val="00757A"/>
        </w:rPr>
        <w:t>ϐ</w:t>
      </w:r>
      <w:r>
        <w:rPr>
          <w:rFonts w:ascii="Arial" w:hAnsi="Arial"/>
          <w:color w:val="00757A"/>
          <w:spacing w:val="7"/>
        </w:rPr>
        <w:t> </w:t>
      </w:r>
      <w:r>
        <w:rPr>
          <w:color w:val="231F20"/>
        </w:rPr>
        <w:t>the variance between the P</w:t>
      </w:r>
      <w:r>
        <w:rPr>
          <w:color w:val="231F20"/>
          <w:spacing w:val="3"/>
        </w:rPr>
        <w:t>B</w:t>
      </w:r>
      <w:r>
        <w:rPr>
          <w:color w:val="231F20"/>
        </w:rPr>
        <w:t>S and the final result is greater than 10% of the original</w:t>
      </w:r>
      <w:r>
        <w:rPr>
          <w:color w:val="231F20"/>
          <w:spacing w:val="1"/>
        </w:rPr>
        <w:t> </w:t>
      </w:r>
      <w:r>
        <w:rPr>
          <w:color w:val="231F20"/>
        </w:rPr>
        <w:t>budget</w:t>
      </w:r>
      <w:r>
        <w:rPr>
          <w:color w:val="231F20"/>
        </w:rPr>
        <w:t> for a line item; and</w:t>
      </w:r>
      <w:r>
        <w:rPr/>
      </w:r>
    </w:p>
    <w:p>
      <w:pPr>
        <w:pStyle w:val="BodyText"/>
        <w:spacing w:line="240" w:lineRule="auto"/>
        <w:ind w:left="114" w:right="0"/>
        <w:jc w:val="left"/>
      </w:pPr>
      <w:r>
        <w:rPr>
          <w:rFonts w:ascii="Arial" w:hAnsi="Arial"/>
          <w:color w:val="00757A"/>
        </w:rPr>
        <w:t>ϐ </w:t>
      </w:r>
      <w:r>
        <w:rPr>
          <w:rFonts w:ascii="Arial" w:hAnsi="Arial"/>
          <w:color w:val="00757A"/>
          <w:spacing w:val="7"/>
        </w:rPr>
        <w:t> </w:t>
      </w:r>
      <w:r>
        <w:rPr>
          <w:color w:val="231F20"/>
        </w:rPr>
        <w:t>the variance between the P</w:t>
      </w:r>
      <w:r>
        <w:rPr>
          <w:color w:val="231F20"/>
          <w:spacing w:val="3"/>
        </w:rPr>
        <w:t>B</w:t>
      </w:r>
      <w:r>
        <w:rPr>
          <w:color w:val="231F20"/>
        </w:rPr>
        <w:t>S and the final result is greater than $300,000;</w:t>
      </w:r>
      <w:r>
        <w:rPr>
          <w:color w:val="231F20"/>
          <w:spacing w:val="1"/>
        </w:rPr>
        <w:t> </w:t>
      </w:r>
      <w:r>
        <w:rPr>
          <w:color w:val="231F20"/>
        </w:rPr>
        <w:t>or</w:t>
      </w:r>
      <w:r>
        <w:rPr/>
      </w:r>
    </w:p>
    <w:p>
      <w:pPr>
        <w:pStyle w:val="BodyText"/>
        <w:spacing w:line="240" w:lineRule="auto"/>
        <w:ind w:left="341" w:right="516" w:hanging="227"/>
        <w:jc w:val="both"/>
      </w:pPr>
      <w:r>
        <w:rPr>
          <w:rFonts w:ascii="Arial" w:hAnsi="Arial" w:cs="Arial" w:eastAsia="Arial"/>
          <w:color w:val="00757A"/>
        </w:rPr>
        <w:t>ϐ</w:t>
      </w:r>
      <w:r>
        <w:rPr>
          <w:rFonts w:ascii="Arial" w:hAnsi="Arial" w:cs="Arial" w:eastAsia="Arial"/>
          <w:color w:val="00757A"/>
          <w:spacing w:val="7"/>
        </w:rPr>
        <w:t> </w:t>
      </w:r>
      <w:r>
        <w:rPr>
          <w:color w:val="231F20"/>
        </w:rPr>
        <w:t>the item</w:t>
      </w:r>
      <w:r>
        <w:rPr>
          <w:color w:val="231F20"/>
          <w:spacing w:val="1"/>
        </w:rPr>
        <w:t> </w:t>
      </w:r>
      <w:r>
        <w:rPr>
          <w:color w:val="231F20"/>
        </w:rPr>
        <w:t>is below the threshold</w:t>
      </w:r>
      <w:r>
        <w:rPr>
          <w:color w:val="231F20"/>
          <w:spacing w:val="1"/>
        </w:rPr>
        <w:t> </w:t>
      </w:r>
      <w:r>
        <w:rPr>
          <w:color w:val="231F20"/>
        </w:rPr>
        <w:t>but is considered</w:t>
      </w:r>
      <w:r>
        <w:rPr>
          <w:color w:val="231F20"/>
          <w:spacing w:val="1"/>
        </w:rPr>
        <w:t> </w:t>
      </w:r>
      <w:r>
        <w:rPr>
          <w:color w:val="231F20"/>
        </w:rPr>
        <w:t>important for the reader’s</w:t>
      </w:r>
      <w:r>
        <w:rPr>
          <w:color w:val="231F20"/>
          <w:spacing w:val="1"/>
        </w:rPr>
        <w:t> </w:t>
      </w:r>
      <w:r>
        <w:rPr>
          <w:color w:val="231F20"/>
        </w:rPr>
        <w:t>understanding</w:t>
      </w:r>
      <w:r>
        <w:rPr>
          <w:color w:val="231F20"/>
        </w:rPr>
        <w:t> or is relevant to an assessment of the discharge of accountability and to an analysis of the company’s performance.</w:t>
      </w:r>
      <w:r>
        <w:rPr/>
      </w:r>
    </w:p>
    <w:p>
      <w:pPr>
        <w:spacing w:line="240" w:lineRule="auto" w:before="0"/>
        <w:rPr>
          <w:rFonts w:ascii="Swis721 Lt BT" w:hAnsi="Swis721 Lt BT" w:cs="Swis721 Lt BT" w:eastAsia="Swis721 Lt BT"/>
          <w:sz w:val="20"/>
          <w:szCs w:val="20"/>
        </w:rPr>
      </w:pPr>
    </w:p>
    <w:p>
      <w:pPr>
        <w:spacing w:line="240" w:lineRule="auto" w:before="5"/>
        <w:rPr>
          <w:rFonts w:ascii="Swis721 Lt BT" w:hAnsi="Swis721 Lt BT" w:cs="Swis721 Lt BT" w:eastAsia="Swis721 Lt BT"/>
          <w:sz w:val="10"/>
          <w:szCs w:val="10"/>
        </w:rPr>
      </w:pPr>
    </w:p>
    <w:tbl>
      <w:tblPr>
        <w:tblW w:w="0" w:type="auto"/>
        <w:jc w:val="left"/>
        <w:tblInd w:w="116" w:type="dxa"/>
        <w:tblLayout w:type="fixed"/>
        <w:tblCellMar>
          <w:top w:w="0" w:type="dxa"/>
          <w:left w:w="0" w:type="dxa"/>
          <w:bottom w:w="0" w:type="dxa"/>
          <w:right w:w="0" w:type="dxa"/>
        </w:tblCellMar>
        <w:tblLook w:val="01E0"/>
      </w:tblPr>
      <w:tblGrid>
        <w:gridCol w:w="3994"/>
        <w:gridCol w:w="3994"/>
      </w:tblGrid>
      <w:tr>
        <w:trPr>
          <w:trHeight w:val="379" w:hRule="exact"/>
        </w:trPr>
        <w:tc>
          <w:tcPr>
            <w:tcW w:w="3994" w:type="dxa"/>
            <w:tcBorders>
              <w:top w:val="nil" w:sz="6" w:space="0" w:color="auto"/>
              <w:left w:val="nil" w:sz="6" w:space="0" w:color="auto"/>
              <w:bottom w:val="nil" w:sz="6" w:space="0" w:color="auto"/>
              <w:right w:val="single" w:sz="1" w:space="0" w:color="BFD22B"/>
            </w:tcBorders>
            <w:shd w:val="clear" w:color="auto" w:fill="BFD22B"/>
          </w:tcPr>
          <w:p>
            <w:pPr>
              <w:pStyle w:val="TableParagraph"/>
              <w:spacing w:line="240" w:lineRule="auto" w:before="83"/>
              <w:ind w:left="113" w:right="0"/>
              <w:jc w:val="left"/>
              <w:rPr>
                <w:rFonts w:ascii="Swis721 Md BT" w:hAnsi="Swis721 Md BT" w:cs="Swis721 Md BT" w:eastAsia="Swis721 Md BT"/>
                <w:sz w:val="19"/>
                <w:szCs w:val="19"/>
              </w:rPr>
            </w:pPr>
            <w:r>
              <w:rPr>
                <w:rFonts w:ascii="Swis721 Md BT"/>
                <w:color w:val="231F20"/>
                <w:sz w:val="19"/>
              </w:rPr>
              <w:t>Explanation of major variances</w:t>
            </w:r>
            <w:r>
              <w:rPr>
                <w:rFonts w:ascii="Swis721 Md BT"/>
                <w:sz w:val="19"/>
              </w:rPr>
            </w:r>
          </w:p>
        </w:tc>
        <w:tc>
          <w:tcPr>
            <w:tcW w:w="3994" w:type="dxa"/>
            <w:tcBorders>
              <w:top w:val="nil" w:sz="6" w:space="0" w:color="auto"/>
              <w:left w:val="single" w:sz="1" w:space="0" w:color="BFD22B"/>
              <w:bottom w:val="nil" w:sz="6" w:space="0" w:color="auto"/>
              <w:right w:val="nil" w:sz="6" w:space="0" w:color="auto"/>
            </w:tcBorders>
            <w:shd w:val="clear" w:color="auto" w:fill="BFD22B"/>
          </w:tcPr>
          <w:p>
            <w:pPr>
              <w:pStyle w:val="TableParagraph"/>
              <w:spacing w:line="240" w:lineRule="auto" w:before="83"/>
              <w:ind w:left="112" w:right="0"/>
              <w:jc w:val="left"/>
              <w:rPr>
                <w:rFonts w:ascii="Swis721 Md BT" w:hAnsi="Swis721 Md BT" w:cs="Swis721 Md BT" w:eastAsia="Swis721 Md BT"/>
                <w:sz w:val="19"/>
                <w:szCs w:val="19"/>
              </w:rPr>
            </w:pPr>
            <w:r>
              <w:rPr>
                <w:rFonts w:ascii="Swis721 Md BT"/>
                <w:color w:val="231F20"/>
                <w:sz w:val="19"/>
              </w:rPr>
              <w:t>Affected statement line items</w:t>
            </w:r>
            <w:r>
              <w:rPr>
                <w:rFonts w:ascii="Swis721 Md BT"/>
                <w:sz w:val="19"/>
              </w:rPr>
            </w:r>
          </w:p>
        </w:tc>
      </w:tr>
      <w:tr>
        <w:trPr>
          <w:trHeight w:val="372" w:hRule="exact"/>
        </w:trPr>
        <w:tc>
          <w:tcPr>
            <w:tcW w:w="3994" w:type="dxa"/>
            <w:tcBorders>
              <w:top w:val="nil" w:sz="6" w:space="0" w:color="auto"/>
              <w:left w:val="nil" w:sz="6" w:space="0" w:color="auto"/>
              <w:bottom w:val="nil" w:sz="6" w:space="0" w:color="auto"/>
              <w:right w:val="single" w:sz="1" w:space="0" w:color="EBF0C9"/>
            </w:tcBorders>
            <w:shd w:val="clear" w:color="auto" w:fill="EBF0C9"/>
          </w:tcPr>
          <w:p>
            <w:pPr>
              <w:pStyle w:val="TableParagraph"/>
              <w:spacing w:line="240" w:lineRule="auto" w:before="75"/>
              <w:ind w:left="113" w:right="0"/>
              <w:jc w:val="left"/>
              <w:rPr>
                <w:rFonts w:ascii="Swis721 BT" w:hAnsi="Swis721 BT" w:cs="Swis721 BT" w:eastAsia="Swis721 BT"/>
                <w:sz w:val="19"/>
                <w:szCs w:val="19"/>
              </w:rPr>
            </w:pPr>
            <w:r>
              <w:rPr>
                <w:rFonts w:ascii="Swis721 BT"/>
                <w:color w:val="231F20"/>
                <w:sz w:val="19"/>
              </w:rPr>
              <w:t>Government funding</w:t>
            </w:r>
            <w:r>
              <w:rPr>
                <w:rFonts w:ascii="Swis721 BT"/>
                <w:sz w:val="19"/>
              </w:rPr>
            </w:r>
          </w:p>
        </w:tc>
        <w:tc>
          <w:tcPr>
            <w:tcW w:w="3994" w:type="dxa"/>
            <w:tcBorders>
              <w:top w:val="nil" w:sz="6" w:space="0" w:color="auto"/>
              <w:left w:val="single" w:sz="1" w:space="0" w:color="EBF0C9"/>
              <w:bottom w:val="nil" w:sz="6" w:space="0" w:color="auto"/>
              <w:right w:val="nil" w:sz="6" w:space="0" w:color="auto"/>
            </w:tcBorders>
            <w:shd w:val="clear" w:color="auto" w:fill="EBF0C9"/>
          </w:tcPr>
          <w:p>
            <w:pPr/>
          </w:p>
        </w:tc>
      </w:tr>
    </w:tbl>
    <w:p>
      <w:pPr>
        <w:spacing w:after="0"/>
        <w:sectPr>
          <w:pgSz w:w="9980" w:h="14180"/>
          <w:pgMar w:header="0" w:footer="452" w:top="360" w:bottom="640" w:left="1020" w:right="740"/>
        </w:sectPr>
      </w:pPr>
    </w:p>
    <w:p>
      <w:pPr>
        <w:spacing w:before="84"/>
        <w:ind w:left="230" w:right="610" w:firstLine="0"/>
        <w:jc w:val="left"/>
        <w:rPr>
          <w:rFonts w:ascii="Swis721 Lt BT" w:hAnsi="Swis721 Lt BT" w:cs="Swis721 Lt BT" w:eastAsia="Swis721 Lt BT"/>
          <w:sz w:val="18"/>
          <w:szCs w:val="18"/>
        </w:rPr>
      </w:pPr>
      <w:r>
        <w:rPr>
          <w:rFonts w:ascii="Swis721 Lt BT"/>
          <w:color w:val="231F20"/>
          <w:sz w:val="18"/>
        </w:rPr>
        <w:t>The government funding was varied by agreement during the </w:t>
      </w:r>
      <w:r>
        <w:rPr>
          <w:rFonts w:ascii="Swis721 Lt BT"/>
          <w:color w:val="231F20"/>
          <w:spacing w:val="-4"/>
          <w:sz w:val="18"/>
        </w:rPr>
        <w:t>year.</w:t>
      </w:r>
      <w:r>
        <w:rPr>
          <w:rFonts w:ascii="Swis721 Lt BT"/>
          <w:sz w:val="18"/>
        </w:rPr>
      </w:r>
    </w:p>
    <w:p>
      <w:pPr>
        <w:spacing w:before="113"/>
        <w:ind w:left="230" w:right="150" w:firstLine="0"/>
        <w:jc w:val="left"/>
        <w:rPr>
          <w:rFonts w:ascii="Swis721 Lt BT" w:hAnsi="Swis721 Lt BT" w:cs="Swis721 Lt BT" w:eastAsia="Swis721 Lt BT"/>
          <w:sz w:val="18"/>
          <w:szCs w:val="18"/>
        </w:rPr>
      </w:pPr>
      <w:r>
        <w:rPr>
          <w:rFonts w:ascii="Swis721 Lt BT" w:hAnsi="Swis721 Lt BT" w:cs="Swis721 Lt BT" w:eastAsia="Swis721 Lt BT"/>
          <w:color w:val="231F20"/>
          <w:sz w:val="18"/>
          <w:szCs w:val="18"/>
        </w:rPr>
        <w:t>This variation resulted in a further $5,986,000 being received in the 2018–19 </w:t>
      </w:r>
      <w:r>
        <w:rPr>
          <w:rFonts w:ascii="Swis721 Lt BT" w:hAnsi="Swis721 Lt BT" w:cs="Swis721 Lt BT" w:eastAsia="Swis721 Lt BT"/>
          <w:color w:val="231F20"/>
          <w:spacing w:val="-4"/>
          <w:sz w:val="18"/>
          <w:szCs w:val="18"/>
        </w:rPr>
        <w:t>year.</w:t>
      </w:r>
      <w:r>
        <w:rPr>
          <w:rFonts w:ascii="Swis721 Lt BT" w:hAnsi="Swis721 Lt BT" w:cs="Swis721 Lt BT" w:eastAsia="Swis721 Lt BT"/>
          <w:sz w:val="18"/>
          <w:szCs w:val="18"/>
        </w:rPr>
      </w:r>
    </w:p>
    <w:p>
      <w:pPr>
        <w:spacing w:before="113"/>
        <w:ind w:left="230" w:right="0" w:firstLine="0"/>
        <w:jc w:val="left"/>
        <w:rPr>
          <w:rFonts w:ascii="Swis721 Lt BT" w:hAnsi="Swis721 Lt BT" w:cs="Swis721 Lt BT" w:eastAsia="Swis721 Lt BT"/>
          <w:sz w:val="18"/>
          <w:szCs w:val="18"/>
        </w:rPr>
      </w:pPr>
      <w:r>
        <w:rPr>
          <w:rFonts w:ascii="Swis721 Lt BT"/>
          <w:color w:val="231F20"/>
          <w:spacing w:val="-1"/>
          <w:sz w:val="18"/>
        </w:rPr>
        <w:t>Funding</w:t>
      </w:r>
      <w:r>
        <w:rPr>
          <w:rFonts w:ascii="Swis721 Lt BT"/>
          <w:color w:val="231F20"/>
          <w:sz w:val="18"/>
        </w:rPr>
        <w:t> received for the current year has been</w:t>
      </w:r>
      <w:r>
        <w:rPr>
          <w:rFonts w:ascii="Swis721 Lt BT"/>
          <w:color w:val="231F20"/>
          <w:spacing w:val="22"/>
          <w:sz w:val="18"/>
        </w:rPr>
        <w:t> </w:t>
      </w:r>
      <w:r>
        <w:rPr>
          <w:rFonts w:ascii="Swis721 Lt BT"/>
          <w:color w:val="231F20"/>
          <w:sz w:val="18"/>
        </w:rPr>
        <w:t>remitted without the inclusion of Goods and</w:t>
      </w:r>
      <w:r>
        <w:rPr>
          <w:rFonts w:ascii="Swis721 Lt BT"/>
          <w:color w:val="231F20"/>
          <w:sz w:val="18"/>
        </w:rPr>
        <w:t> Services </w:t>
      </w:r>
      <w:r>
        <w:rPr>
          <w:rFonts w:ascii="Swis721 Lt BT"/>
          <w:color w:val="231F20"/>
          <w:spacing w:val="-9"/>
          <w:sz w:val="18"/>
        </w:rPr>
        <w:t>Tax</w:t>
      </w:r>
      <w:r>
        <w:rPr>
          <w:rFonts w:ascii="Swis721 Lt BT"/>
          <w:color w:val="231F20"/>
          <w:sz w:val="18"/>
        </w:rPr>
        <w:t> (GST). The budget had included</w:t>
      </w:r>
      <w:r>
        <w:rPr>
          <w:rFonts w:ascii="Swis721 Lt BT"/>
          <w:color w:val="231F20"/>
          <w:spacing w:val="22"/>
          <w:sz w:val="18"/>
        </w:rPr>
        <w:t> </w:t>
      </w:r>
      <w:r>
        <w:rPr>
          <w:rFonts w:ascii="Swis721 Lt BT"/>
          <w:color w:val="231F20"/>
          <w:sz w:val="18"/>
        </w:rPr>
        <w:t>the receipt of $1,176,000 of </w:t>
      </w:r>
      <w:r>
        <w:rPr>
          <w:rFonts w:ascii="Swis721 Lt BT"/>
          <w:color w:val="231F20"/>
          <w:spacing w:val="-7"/>
          <w:sz w:val="18"/>
        </w:rPr>
        <w:t>GST.</w:t>
      </w:r>
      <w:r>
        <w:rPr>
          <w:rFonts w:ascii="Swis721 Lt BT"/>
          <w:sz w:val="18"/>
        </w:rPr>
      </w:r>
    </w:p>
    <w:p>
      <w:pPr>
        <w:pStyle w:val="BodyText"/>
        <w:spacing w:line="240" w:lineRule="auto" w:before="83"/>
        <w:ind w:left="230" w:right="0"/>
        <w:jc w:val="left"/>
      </w:pPr>
      <w:r>
        <w:rPr/>
        <w:br w:type="column"/>
      </w:r>
      <w:r>
        <w:rPr>
          <w:color w:val="00757A"/>
        </w:rPr>
        <w:t>Statement of Comprehensive Income</w:t>
      </w:r>
      <w:r>
        <w:rPr/>
      </w:r>
    </w:p>
    <w:p>
      <w:pPr>
        <w:pStyle w:val="BodyText"/>
        <w:spacing w:line="240" w:lineRule="auto"/>
        <w:ind w:left="230" w:right="0"/>
        <w:jc w:val="left"/>
      </w:pPr>
      <w:r>
        <w:rPr>
          <w:rFonts w:ascii="Arial" w:hAnsi="Arial"/>
          <w:color w:val="00757A"/>
        </w:rPr>
        <w:t>ϐ </w:t>
      </w:r>
      <w:r>
        <w:rPr>
          <w:rFonts w:ascii="Arial" w:hAnsi="Arial"/>
          <w:color w:val="00757A"/>
          <w:spacing w:val="10"/>
        </w:rPr>
        <w:t> </w:t>
      </w:r>
      <w:r>
        <w:rPr>
          <w:color w:val="231F20"/>
        </w:rPr>
        <w:t>Government</w:t>
      </w:r>
      <w:r>
        <w:rPr>
          <w:color w:val="231F20"/>
          <w:spacing w:val="1"/>
        </w:rPr>
        <w:t> </w:t>
      </w:r>
      <w:r>
        <w:rPr>
          <w:color w:val="231F20"/>
        </w:rPr>
        <w:t>funding</w:t>
      </w:r>
      <w:r>
        <w:rPr/>
      </w:r>
    </w:p>
    <w:p>
      <w:pPr>
        <w:spacing w:line="240" w:lineRule="auto" w:before="11"/>
        <w:rPr>
          <w:rFonts w:ascii="Swis721 Lt BT" w:hAnsi="Swis721 Lt BT" w:cs="Swis721 Lt BT" w:eastAsia="Swis721 Lt BT"/>
          <w:sz w:val="17"/>
          <w:szCs w:val="17"/>
        </w:rPr>
      </w:pPr>
    </w:p>
    <w:p>
      <w:pPr>
        <w:pStyle w:val="BodyText"/>
        <w:spacing w:line="240" w:lineRule="auto" w:before="0"/>
        <w:ind w:left="230" w:right="0"/>
        <w:jc w:val="left"/>
      </w:pPr>
      <w:r>
        <w:rPr>
          <w:color w:val="00757A"/>
        </w:rPr>
        <w:t>Statement of Cash Flows</w:t>
      </w:r>
      <w:r>
        <w:rPr/>
      </w:r>
    </w:p>
    <w:p>
      <w:pPr>
        <w:pStyle w:val="BodyText"/>
        <w:spacing w:line="240" w:lineRule="auto"/>
        <w:ind w:left="230" w:right="0"/>
        <w:jc w:val="left"/>
      </w:pPr>
      <w:r>
        <w:rPr>
          <w:rFonts w:ascii="Arial" w:hAnsi="Arial"/>
          <w:color w:val="00757A"/>
        </w:rPr>
        <w:t>ϐ </w:t>
      </w:r>
      <w:r>
        <w:rPr>
          <w:rFonts w:ascii="Arial" w:hAnsi="Arial"/>
          <w:color w:val="00757A"/>
          <w:spacing w:val="10"/>
        </w:rPr>
        <w:t> </w:t>
      </w:r>
      <w:r>
        <w:rPr>
          <w:color w:val="231F20"/>
        </w:rPr>
        <w:t>Government</w:t>
      </w:r>
      <w:r>
        <w:rPr>
          <w:color w:val="231F20"/>
          <w:spacing w:val="1"/>
        </w:rPr>
        <w:t> </w:t>
      </w:r>
      <w:r>
        <w:rPr>
          <w:color w:val="231F20"/>
        </w:rPr>
        <w:t>funding</w:t>
      </w:r>
      <w:r>
        <w:rPr/>
      </w:r>
    </w:p>
    <w:p>
      <w:pPr>
        <w:pStyle w:val="BodyText"/>
        <w:spacing w:line="240" w:lineRule="auto" w:before="0"/>
        <w:ind w:left="457" w:right="111" w:hanging="227"/>
        <w:jc w:val="left"/>
      </w:pPr>
      <w:r>
        <w:rPr>
          <w:rFonts w:ascii="Arial" w:hAnsi="Arial"/>
          <w:color w:val="00757A"/>
        </w:rPr>
        <w:t>ϐ </w:t>
      </w:r>
      <w:r>
        <w:rPr>
          <w:rFonts w:ascii="Arial" w:hAnsi="Arial"/>
          <w:color w:val="00757A"/>
          <w:spacing w:val="8"/>
        </w:rPr>
        <w:t> </w:t>
      </w:r>
      <w:r>
        <w:rPr>
          <w:color w:val="231F20"/>
        </w:rPr>
        <w:t>Net GST</w:t>
      </w:r>
      <w:r>
        <w:rPr>
          <w:color w:val="231F20"/>
          <w:spacing w:val="1"/>
        </w:rPr>
        <w:t> </w:t>
      </w:r>
      <w:r>
        <w:rPr>
          <w:color w:val="231F20"/>
        </w:rPr>
        <w:t>paid to</w:t>
      </w:r>
      <w:r>
        <w:rPr>
          <w:color w:val="231F20"/>
          <w:spacing w:val="1"/>
        </w:rPr>
        <w:t> </w:t>
      </w:r>
      <w:r>
        <w:rPr>
          <w:color w:val="231F20"/>
        </w:rPr>
        <w:t>the Australian</w:t>
      </w:r>
      <w:r>
        <w:rPr>
          <w:color w:val="231F20"/>
          <w:spacing w:val="1"/>
        </w:rPr>
        <w:t> </w:t>
      </w:r>
      <w:r>
        <w:rPr>
          <w:color w:val="231F20"/>
          <w:spacing w:val="-26"/>
        </w:rPr>
        <w:t>T</w:t>
      </w:r>
      <w:r>
        <w:rPr>
          <w:color w:val="231F20"/>
        </w:rPr>
        <w:t>axation</w:t>
      </w:r>
      <w:r>
        <w:rPr>
          <w:color w:val="231F20"/>
        </w:rPr>
        <w:t> Office</w:t>
      </w:r>
      <w:r>
        <w:rPr/>
      </w:r>
    </w:p>
    <w:p>
      <w:pPr>
        <w:spacing w:after="0" w:line="240" w:lineRule="auto"/>
        <w:jc w:val="left"/>
        <w:sectPr>
          <w:type w:val="continuous"/>
          <w:pgSz w:w="9980" w:h="14180"/>
          <w:pgMar w:top="0" w:bottom="280" w:left="1020" w:right="740"/>
          <w:cols w:num="2" w:equalWidth="0">
            <w:col w:w="3853" w:space="141"/>
            <w:col w:w="4226"/>
          </w:cols>
        </w:sectPr>
      </w:pPr>
    </w:p>
    <w:p>
      <w:pPr>
        <w:spacing w:line="240" w:lineRule="auto" w:before="10"/>
        <w:rPr>
          <w:rFonts w:ascii="Swis721 Lt BT" w:hAnsi="Swis721 Lt BT" w:cs="Swis721 Lt BT" w:eastAsia="Swis721 Lt BT"/>
          <w:sz w:val="5"/>
          <w:szCs w:val="5"/>
        </w:rPr>
      </w:pPr>
    </w:p>
    <w:p>
      <w:pPr>
        <w:spacing w:line="200" w:lineRule="atLeast"/>
        <w:ind w:left="116"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399.4pt;height:18.7pt;mso-position-horizontal-relative:char;mso-position-vertical-relative:line" coordorigin="0,0" coordsize="7988,374">
            <v:group style="position:absolute;left:0;top:1;width:3994;height:372" coordorigin="0,1" coordsize="3994,372">
              <v:shape style="position:absolute;left:0;top:1;width:3994;height:372" coordorigin="0,1" coordsize="3994,372" path="m3994,1l0,1,0,373,3994,373,3994,1xe" filled="true" fillcolor="#ebf0c9" stroked="false">
                <v:path arrowok="t"/>
                <v:fill type="solid"/>
              </v:shape>
            </v:group>
            <v:group style="position:absolute;left:3994;top:1;width:2;height:372" coordorigin="3994,1" coordsize="2,372">
              <v:shape style="position:absolute;left:3994;top:1;width:2;height:372" coordorigin="3994,1" coordsize="0,372" path="m3994,1l3994,373e" filled="false" stroked="true" strokeweight=".101pt" strokecolor="#ebf0c9">
                <v:path arrowok="t"/>
              </v:shape>
            </v:group>
            <v:group style="position:absolute;left:3994;top:1;width:3994;height:372" coordorigin="3994,1" coordsize="3994,372">
              <v:shape style="position:absolute;left:3994;top:1;width:3994;height:372" coordorigin="3994,1" coordsize="3994,372" path="m7988,1l3994,1,3994,373,7988,373,7988,1xe" filled="true" fillcolor="#ebf0c9" stroked="false">
                <v:path arrowok="t"/>
                <v:fill type="solid"/>
              </v:shape>
              <v:shape style="position:absolute;left:0;top:0;width:7988;height:374" type="#_x0000_t202" filled="false" stroked="false">
                <v:textbox inset="0,0,0,0">
                  <w:txbxContent>
                    <w:p>
                      <w:pPr>
                        <w:spacing w:before="76"/>
                        <w:ind w:left="113" w:right="0" w:firstLine="0"/>
                        <w:jc w:val="left"/>
                        <w:rPr>
                          <w:rFonts w:ascii="Swis721 BT" w:hAnsi="Swis721 BT" w:cs="Swis721 BT" w:eastAsia="Swis721 BT"/>
                          <w:sz w:val="19"/>
                          <w:szCs w:val="19"/>
                        </w:rPr>
                      </w:pPr>
                      <w:r>
                        <w:rPr>
                          <w:rFonts w:ascii="Swis721 BT"/>
                          <w:color w:val="231F20"/>
                          <w:sz w:val="19"/>
                        </w:rPr>
                        <w:t>Expenses</w:t>
                      </w:r>
                      <w:r>
                        <w:rPr>
                          <w:rFonts w:ascii="Swis721 BT"/>
                          <w:sz w:val="19"/>
                        </w:rPr>
                      </w:r>
                    </w:p>
                  </w:txbxContent>
                </v:textbox>
                <w10:wrap type="none"/>
              </v:shape>
            </v:group>
          </v:group>
        </w:pict>
      </w:r>
      <w:r>
        <w:rPr>
          <w:rFonts w:ascii="Swis721 Lt BT" w:hAnsi="Swis721 Lt BT" w:cs="Swis721 Lt BT" w:eastAsia="Swis721 Lt BT"/>
          <w:sz w:val="20"/>
          <w:szCs w:val="20"/>
        </w:rPr>
      </w:r>
    </w:p>
    <w:p>
      <w:pPr>
        <w:spacing w:after="0" w:line="200" w:lineRule="atLeast"/>
        <w:rPr>
          <w:rFonts w:ascii="Swis721 Lt BT" w:hAnsi="Swis721 Lt BT" w:cs="Swis721 Lt BT" w:eastAsia="Swis721 Lt BT"/>
          <w:sz w:val="20"/>
          <w:szCs w:val="20"/>
        </w:rPr>
        <w:sectPr>
          <w:type w:val="continuous"/>
          <w:pgSz w:w="9980" w:h="14180"/>
          <w:pgMar w:top="0" w:bottom="280" w:left="1020" w:right="740"/>
        </w:sectPr>
      </w:pPr>
    </w:p>
    <w:p>
      <w:pPr>
        <w:spacing w:before="83"/>
        <w:ind w:left="230" w:right="317" w:firstLine="0"/>
        <w:jc w:val="left"/>
        <w:rPr>
          <w:rFonts w:ascii="Swis721 Lt BT" w:hAnsi="Swis721 Lt BT" w:cs="Swis721 Lt BT" w:eastAsia="Swis721 Lt BT"/>
          <w:sz w:val="18"/>
          <w:szCs w:val="18"/>
        </w:rPr>
      </w:pPr>
      <w:r>
        <w:rPr>
          <w:rFonts w:ascii="Swis721 Lt BT" w:hAnsi="Swis721 Lt BT" w:cs="Swis721 Lt BT" w:eastAsia="Swis721 Lt BT"/>
          <w:color w:val="231F20"/>
          <w:sz w:val="18"/>
          <w:szCs w:val="18"/>
        </w:rPr>
        <w:t>The AITSL Financial Report for the 2017–18 year included a surplus for the year of</w:t>
      </w:r>
      <w:r>
        <w:rPr>
          <w:rFonts w:ascii="Swis721 Lt BT" w:hAnsi="Swis721 Lt BT" w:cs="Swis721 Lt BT" w:eastAsia="Swis721 Lt BT"/>
          <w:sz w:val="18"/>
          <w:szCs w:val="18"/>
        </w:rPr>
      </w:r>
    </w:p>
    <w:p>
      <w:pPr>
        <w:spacing w:before="0"/>
        <w:ind w:left="230" w:right="0" w:firstLine="0"/>
        <w:jc w:val="left"/>
        <w:rPr>
          <w:rFonts w:ascii="Swis721 Lt BT" w:hAnsi="Swis721 Lt BT" w:cs="Swis721 Lt BT" w:eastAsia="Swis721 Lt BT"/>
          <w:sz w:val="18"/>
          <w:szCs w:val="18"/>
        </w:rPr>
      </w:pPr>
      <w:r>
        <w:rPr>
          <w:rFonts w:ascii="Swis721 Lt BT" w:hAnsi="Swis721 Lt BT" w:cs="Swis721 Lt BT" w:eastAsia="Swis721 Lt BT"/>
          <w:color w:val="231F20"/>
          <w:sz w:val="18"/>
          <w:szCs w:val="18"/>
        </w:rPr>
        <w:t>$1,604,649 against a break even budget. The underspend was carried over to the 2018–19 year to complete the agreed workplans. </w:t>
      </w:r>
      <w:r>
        <w:rPr>
          <w:rFonts w:ascii="Swis721 Lt BT" w:hAnsi="Swis721 Lt BT" w:cs="Swis721 Lt BT" w:eastAsia="Swis721 Lt BT"/>
          <w:color w:val="231F20"/>
          <w:spacing w:val="-1"/>
          <w:sz w:val="18"/>
          <w:szCs w:val="18"/>
        </w:rPr>
        <w:t>Further</w:t>
      </w:r>
      <w:r>
        <w:rPr>
          <w:rFonts w:ascii="Swis721 Lt BT" w:hAnsi="Swis721 Lt BT" w:cs="Swis721 Lt BT" w:eastAsia="Swis721 Lt BT"/>
          <w:color w:val="231F20"/>
          <w:spacing w:val="22"/>
          <w:sz w:val="18"/>
          <w:szCs w:val="18"/>
        </w:rPr>
        <w:t> </w:t>
      </w:r>
      <w:r>
        <w:rPr>
          <w:rFonts w:ascii="Swis721 Lt BT" w:hAnsi="Swis721 Lt BT" w:cs="Swis721 Lt BT" w:eastAsia="Swis721 Lt BT"/>
          <w:color w:val="231F20"/>
          <w:sz w:val="18"/>
          <w:szCs w:val="18"/>
        </w:rPr>
        <w:t>expenditure was also incurred as a result of</w:t>
      </w:r>
      <w:r>
        <w:rPr>
          <w:rFonts w:ascii="Swis721 Lt BT" w:hAnsi="Swis721 Lt BT" w:cs="Swis721 Lt BT" w:eastAsia="Swis721 Lt BT"/>
          <w:color w:val="231F20"/>
          <w:sz w:val="18"/>
          <w:szCs w:val="18"/>
        </w:rPr>
        <w:t> workplan variations associated with the further government funding in the current </w:t>
      </w:r>
      <w:r>
        <w:rPr>
          <w:rFonts w:ascii="Swis721 Lt BT" w:hAnsi="Swis721 Lt BT" w:cs="Swis721 Lt BT" w:eastAsia="Swis721 Lt BT"/>
          <w:color w:val="231F20"/>
          <w:spacing w:val="-4"/>
          <w:sz w:val="18"/>
          <w:szCs w:val="18"/>
        </w:rPr>
        <w:t>year.</w:t>
      </w:r>
      <w:r>
        <w:rPr>
          <w:rFonts w:ascii="Swis721 Lt BT" w:hAnsi="Swis721 Lt BT" w:cs="Swis721 Lt BT" w:eastAsia="Swis721 Lt BT"/>
          <w:sz w:val="18"/>
          <w:szCs w:val="18"/>
        </w:rPr>
      </w:r>
    </w:p>
    <w:p>
      <w:pPr>
        <w:pStyle w:val="BodyText"/>
        <w:spacing w:line="240" w:lineRule="auto" w:before="82"/>
        <w:ind w:left="230" w:right="0"/>
        <w:jc w:val="left"/>
      </w:pPr>
      <w:r>
        <w:rPr/>
        <w:br w:type="column"/>
      </w:r>
      <w:r>
        <w:rPr>
          <w:color w:val="00757A"/>
        </w:rPr>
        <w:t>Statement of Comprehensive Income</w:t>
      </w:r>
      <w:r>
        <w:rPr/>
      </w:r>
    </w:p>
    <w:p>
      <w:pPr>
        <w:pStyle w:val="BodyText"/>
        <w:spacing w:line="240" w:lineRule="auto"/>
        <w:ind w:left="230" w:right="0"/>
        <w:jc w:val="left"/>
      </w:pPr>
      <w:r>
        <w:rPr>
          <w:rFonts w:ascii="Arial" w:hAnsi="Arial"/>
          <w:color w:val="00757A"/>
        </w:rPr>
        <w:t>ϐ </w:t>
      </w:r>
      <w:r>
        <w:rPr>
          <w:rFonts w:ascii="Arial" w:hAnsi="Arial"/>
          <w:color w:val="00757A"/>
          <w:spacing w:val="5"/>
        </w:rPr>
        <w:t> </w:t>
      </w:r>
      <w:r>
        <w:rPr>
          <w:color w:val="231F20"/>
        </w:rPr>
        <w:t>Employee</w:t>
      </w:r>
      <w:r>
        <w:rPr>
          <w:color w:val="231F20"/>
          <w:spacing w:val="-1"/>
        </w:rPr>
        <w:t> </w:t>
      </w:r>
      <w:r>
        <w:rPr>
          <w:color w:val="231F20"/>
        </w:rPr>
        <w:t>benefits</w:t>
      </w:r>
      <w:r>
        <w:rPr/>
      </w:r>
    </w:p>
    <w:p>
      <w:pPr>
        <w:pStyle w:val="BodyText"/>
        <w:spacing w:line="240" w:lineRule="auto" w:before="0"/>
        <w:ind w:left="230" w:right="0"/>
        <w:jc w:val="left"/>
      </w:pPr>
      <w:r>
        <w:rPr>
          <w:rFonts w:ascii="Arial" w:hAnsi="Arial"/>
          <w:color w:val="00757A"/>
        </w:rPr>
        <w:t>ϐ </w:t>
      </w:r>
      <w:r>
        <w:rPr>
          <w:rFonts w:ascii="Arial" w:hAnsi="Arial"/>
          <w:color w:val="00757A"/>
          <w:spacing w:val="11"/>
        </w:rPr>
        <w:t> </w:t>
      </w:r>
      <w:r>
        <w:rPr>
          <w:color w:val="231F20"/>
        </w:rPr>
        <w:t>Programs</w:t>
      </w:r>
      <w:r>
        <w:rPr/>
      </w:r>
    </w:p>
    <w:p>
      <w:pPr>
        <w:spacing w:line="240" w:lineRule="auto" w:before="11"/>
        <w:rPr>
          <w:rFonts w:ascii="Swis721 Lt BT" w:hAnsi="Swis721 Lt BT" w:cs="Swis721 Lt BT" w:eastAsia="Swis721 Lt BT"/>
          <w:sz w:val="17"/>
          <w:szCs w:val="17"/>
        </w:rPr>
      </w:pPr>
    </w:p>
    <w:p>
      <w:pPr>
        <w:pStyle w:val="BodyText"/>
        <w:spacing w:line="222" w:lineRule="exact" w:before="0"/>
        <w:ind w:left="230" w:right="0"/>
        <w:jc w:val="left"/>
      </w:pPr>
      <w:r>
        <w:rPr>
          <w:color w:val="00757A"/>
        </w:rPr>
        <w:t>Statement of Cash Flows</w:t>
      </w:r>
      <w:r>
        <w:rPr/>
      </w:r>
    </w:p>
    <w:p>
      <w:pPr>
        <w:pStyle w:val="BodyText"/>
        <w:spacing w:line="222" w:lineRule="exact" w:before="0"/>
        <w:ind w:left="230" w:right="0"/>
        <w:jc w:val="left"/>
      </w:pPr>
      <w:r>
        <w:rPr>
          <w:color w:val="00757A"/>
        </w:rPr>
        <w:t>Cash used in operating activities</w:t>
      </w:r>
      <w:r>
        <w:rPr/>
      </w:r>
    </w:p>
    <w:p>
      <w:pPr>
        <w:pStyle w:val="BodyText"/>
        <w:spacing w:line="240" w:lineRule="auto"/>
        <w:ind w:left="230" w:right="0"/>
        <w:jc w:val="left"/>
      </w:pPr>
      <w:r>
        <w:rPr>
          <w:rFonts w:ascii="Arial" w:hAnsi="Arial"/>
          <w:color w:val="00757A"/>
        </w:rPr>
        <w:t>ϐ </w:t>
      </w:r>
      <w:r>
        <w:rPr>
          <w:rFonts w:ascii="Arial" w:hAnsi="Arial"/>
          <w:color w:val="00757A"/>
          <w:spacing w:val="11"/>
        </w:rPr>
        <w:t> </w:t>
      </w:r>
      <w:r>
        <w:rPr>
          <w:color w:val="231F20"/>
        </w:rPr>
        <w:t>Employees</w:t>
      </w:r>
      <w:r>
        <w:rPr/>
      </w:r>
    </w:p>
    <w:p>
      <w:pPr>
        <w:pStyle w:val="BodyText"/>
        <w:spacing w:line="240" w:lineRule="auto" w:before="0"/>
        <w:ind w:left="230" w:right="0"/>
        <w:jc w:val="left"/>
      </w:pPr>
      <w:r>
        <w:rPr>
          <w:rFonts w:ascii="Arial" w:hAnsi="Arial"/>
          <w:color w:val="00757A"/>
        </w:rPr>
        <w:t>ϐ </w:t>
      </w:r>
      <w:r>
        <w:rPr>
          <w:rFonts w:ascii="Arial" w:hAnsi="Arial"/>
          <w:color w:val="00757A"/>
          <w:spacing w:val="11"/>
        </w:rPr>
        <w:t> </w:t>
      </w:r>
      <w:r>
        <w:rPr>
          <w:color w:val="231F20"/>
        </w:rPr>
        <w:t>Suppliers</w:t>
      </w:r>
      <w:r>
        <w:rPr/>
      </w:r>
    </w:p>
    <w:p>
      <w:pPr>
        <w:spacing w:after="0" w:line="240" w:lineRule="auto"/>
        <w:jc w:val="left"/>
        <w:sectPr>
          <w:type w:val="continuous"/>
          <w:pgSz w:w="9980" w:h="14180"/>
          <w:pgMar w:top="0" w:bottom="280" w:left="1020" w:right="740"/>
          <w:cols w:num="2" w:equalWidth="0">
            <w:col w:w="3902" w:space="92"/>
            <w:col w:w="4226"/>
          </w:cols>
        </w:sectPr>
      </w:pPr>
    </w:p>
    <w:p>
      <w:pPr>
        <w:spacing w:line="240" w:lineRule="auto" w:before="8"/>
        <w:rPr>
          <w:rFonts w:ascii="Swis721 Lt BT" w:hAnsi="Swis721 Lt BT" w:cs="Swis721 Lt BT" w:eastAsia="Swis721 Lt BT"/>
          <w:sz w:val="5"/>
          <w:szCs w:val="5"/>
        </w:rPr>
      </w:pPr>
    </w:p>
    <w:p>
      <w:pPr>
        <w:spacing w:line="200" w:lineRule="atLeast"/>
        <w:ind w:left="116"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399.4pt;height:18.7pt;mso-position-horizontal-relative:char;mso-position-vertical-relative:line" coordorigin="0,0" coordsize="7988,374">
            <v:group style="position:absolute;left:0;top:1;width:3994;height:372" coordorigin="0,1" coordsize="3994,372">
              <v:shape style="position:absolute;left:0;top:1;width:3994;height:372" coordorigin="0,1" coordsize="3994,372" path="m3994,1l0,1,0,373,3994,373,3994,1xe" filled="true" fillcolor="#ebf0c9" stroked="false">
                <v:path arrowok="t"/>
                <v:fill type="solid"/>
              </v:shape>
            </v:group>
            <v:group style="position:absolute;left:3994;top:1;width:2;height:372" coordorigin="3994,1" coordsize="2,372">
              <v:shape style="position:absolute;left:3994;top:1;width:2;height:372" coordorigin="3994,1" coordsize="0,372" path="m3994,1l3994,373e" filled="false" stroked="true" strokeweight=".101pt" strokecolor="#ebf0c9">
                <v:path arrowok="t"/>
              </v:shape>
            </v:group>
            <v:group style="position:absolute;left:3994;top:1;width:3994;height:372" coordorigin="3994,1" coordsize="3994,372">
              <v:shape style="position:absolute;left:3994;top:1;width:3994;height:372" coordorigin="3994,1" coordsize="3994,372" path="m7988,1l3994,1,3994,373,7988,373,7988,1xe" filled="true" fillcolor="#ebf0c9" stroked="false">
                <v:path arrowok="t"/>
                <v:fill type="solid"/>
              </v:shape>
              <v:shape style="position:absolute;left:0;top:0;width:7988;height:374" type="#_x0000_t202" filled="false" stroked="false">
                <v:textbox inset="0,0,0,0">
                  <w:txbxContent>
                    <w:p>
                      <w:pPr>
                        <w:spacing w:before="76"/>
                        <w:ind w:left="113" w:right="0" w:firstLine="0"/>
                        <w:jc w:val="left"/>
                        <w:rPr>
                          <w:rFonts w:ascii="Swis721 BT" w:hAnsi="Swis721 BT" w:cs="Swis721 BT" w:eastAsia="Swis721 BT"/>
                          <w:sz w:val="19"/>
                          <w:szCs w:val="19"/>
                        </w:rPr>
                      </w:pPr>
                      <w:r>
                        <w:rPr>
                          <w:rFonts w:ascii="Swis721 BT"/>
                          <w:color w:val="231F20"/>
                          <w:sz w:val="19"/>
                        </w:rPr>
                        <w:t>Cash and Investments</w:t>
                      </w:r>
                      <w:r>
                        <w:rPr>
                          <w:rFonts w:ascii="Swis721 BT"/>
                          <w:sz w:val="19"/>
                        </w:rPr>
                      </w:r>
                    </w:p>
                  </w:txbxContent>
                </v:textbox>
                <w10:wrap type="none"/>
              </v:shape>
            </v:group>
          </v:group>
        </w:pict>
      </w:r>
      <w:r>
        <w:rPr>
          <w:rFonts w:ascii="Swis721 Lt BT" w:hAnsi="Swis721 Lt BT" w:cs="Swis721 Lt BT" w:eastAsia="Swis721 Lt BT"/>
          <w:sz w:val="20"/>
          <w:szCs w:val="20"/>
        </w:rPr>
      </w:r>
    </w:p>
    <w:p>
      <w:pPr>
        <w:spacing w:after="0" w:line="200" w:lineRule="atLeast"/>
        <w:rPr>
          <w:rFonts w:ascii="Swis721 Lt BT" w:hAnsi="Swis721 Lt BT" w:cs="Swis721 Lt BT" w:eastAsia="Swis721 Lt BT"/>
          <w:sz w:val="20"/>
          <w:szCs w:val="20"/>
        </w:rPr>
        <w:sectPr>
          <w:type w:val="continuous"/>
          <w:pgSz w:w="9980" w:h="14180"/>
          <w:pgMar w:top="0" w:bottom="280" w:left="1020" w:right="740"/>
        </w:sectPr>
      </w:pPr>
    </w:p>
    <w:p>
      <w:pPr>
        <w:spacing w:before="83"/>
        <w:ind w:left="230" w:right="0" w:firstLine="0"/>
        <w:jc w:val="left"/>
        <w:rPr>
          <w:rFonts w:ascii="Swis721 Lt BT" w:hAnsi="Swis721 Lt BT" w:cs="Swis721 Lt BT" w:eastAsia="Swis721 Lt BT"/>
          <w:sz w:val="18"/>
          <w:szCs w:val="18"/>
        </w:rPr>
      </w:pPr>
      <w:r>
        <w:rPr>
          <w:rFonts w:ascii="Swis721 Lt BT"/>
          <w:color w:val="231F20"/>
          <w:sz w:val="18"/>
        </w:rPr>
        <w:t>AITSL has agreement that the majority of its additional government funding will be carried over and utilised in subsequent years. These funds of approximately $5.1 million are held in the bank account and bank term deposits.</w:t>
      </w:r>
      <w:r>
        <w:rPr>
          <w:rFonts w:ascii="Swis721 Lt BT"/>
          <w:sz w:val="18"/>
        </w:rPr>
      </w:r>
    </w:p>
    <w:p>
      <w:pPr>
        <w:pStyle w:val="BodyText"/>
        <w:spacing w:line="240" w:lineRule="auto" w:before="82"/>
        <w:ind w:left="230" w:right="0"/>
        <w:jc w:val="left"/>
      </w:pPr>
      <w:r>
        <w:rPr/>
        <w:br w:type="column"/>
      </w:r>
      <w:r>
        <w:rPr>
          <w:color w:val="00757A"/>
        </w:rPr>
        <w:t>Statement of Financial </w:t>
      </w:r>
      <w:r>
        <w:rPr>
          <w:color w:val="00757A"/>
          <w:spacing w:val="-1"/>
        </w:rPr>
        <w:t>Position</w:t>
      </w:r>
      <w:r>
        <w:rPr/>
      </w:r>
    </w:p>
    <w:p>
      <w:pPr>
        <w:pStyle w:val="BodyText"/>
        <w:spacing w:line="227" w:lineRule="exact"/>
        <w:ind w:left="230" w:right="0"/>
        <w:jc w:val="left"/>
      </w:pPr>
      <w:r>
        <w:rPr>
          <w:rFonts w:ascii="Arial" w:hAnsi="Arial"/>
          <w:color w:val="00757A"/>
        </w:rPr>
        <w:t>ϐ </w:t>
      </w:r>
      <w:r>
        <w:rPr>
          <w:rFonts w:ascii="Arial" w:hAnsi="Arial"/>
          <w:color w:val="00757A"/>
          <w:spacing w:val="8"/>
        </w:rPr>
        <w:t> </w:t>
      </w:r>
      <w:r>
        <w:rPr>
          <w:color w:val="231F20"/>
        </w:rPr>
        <w:t>Cash</w:t>
      </w:r>
      <w:r>
        <w:rPr>
          <w:color w:val="231F20"/>
          <w:spacing w:val="1"/>
        </w:rPr>
        <w:t> </w:t>
      </w:r>
      <w:r>
        <w:rPr>
          <w:color w:val="231F20"/>
        </w:rPr>
        <w:t>and</w:t>
      </w:r>
      <w:r>
        <w:rPr>
          <w:color w:val="231F20"/>
          <w:spacing w:val="1"/>
        </w:rPr>
        <w:t> </w:t>
      </w:r>
      <w:r>
        <w:rPr>
          <w:color w:val="231F20"/>
        </w:rPr>
        <w:t>cash</w:t>
      </w:r>
      <w:r>
        <w:rPr>
          <w:color w:val="231F20"/>
          <w:spacing w:val="1"/>
        </w:rPr>
        <w:t> </w:t>
      </w:r>
      <w:r>
        <w:rPr>
          <w:color w:val="231F20"/>
        </w:rPr>
        <w:t>equivalents</w:t>
      </w:r>
      <w:r>
        <w:rPr/>
      </w:r>
    </w:p>
    <w:p>
      <w:pPr>
        <w:spacing w:line="215" w:lineRule="exact" w:before="0"/>
        <w:ind w:left="230" w:right="0" w:firstLine="0"/>
        <w:jc w:val="left"/>
        <w:rPr>
          <w:rFonts w:ascii="Swis721 Lt BT" w:hAnsi="Swis721 Lt BT" w:cs="Swis721 Lt BT" w:eastAsia="Swis721 Lt BT"/>
          <w:sz w:val="18"/>
          <w:szCs w:val="18"/>
        </w:rPr>
      </w:pPr>
      <w:r>
        <w:rPr>
          <w:rFonts w:ascii="Arial" w:hAnsi="Arial"/>
          <w:color w:val="00757A"/>
          <w:sz w:val="18"/>
        </w:rPr>
        <w:t>ϐ </w:t>
      </w:r>
      <w:r>
        <w:rPr>
          <w:rFonts w:ascii="Arial" w:hAnsi="Arial"/>
          <w:color w:val="00757A"/>
          <w:spacing w:val="20"/>
          <w:sz w:val="18"/>
        </w:rPr>
        <w:t> </w:t>
      </w:r>
      <w:r>
        <w:rPr>
          <w:rFonts w:ascii="Swis721 Lt BT" w:hAnsi="Swis721 Lt BT"/>
          <w:color w:val="231F20"/>
          <w:sz w:val="18"/>
        </w:rPr>
        <w:t>Financial</w:t>
      </w:r>
      <w:r>
        <w:rPr>
          <w:rFonts w:ascii="Swis721 Lt BT" w:hAnsi="Swis721 Lt BT"/>
          <w:color w:val="231F20"/>
          <w:spacing w:val="1"/>
          <w:sz w:val="18"/>
        </w:rPr>
        <w:t> </w:t>
      </w:r>
      <w:r>
        <w:rPr>
          <w:rFonts w:ascii="Swis721 Lt BT" w:hAnsi="Swis721 Lt BT"/>
          <w:color w:val="231F20"/>
          <w:sz w:val="18"/>
        </w:rPr>
        <w:t>assets at</w:t>
      </w:r>
      <w:r>
        <w:rPr>
          <w:rFonts w:ascii="Swis721 Lt BT" w:hAnsi="Swis721 Lt BT"/>
          <w:color w:val="231F20"/>
          <w:spacing w:val="1"/>
          <w:sz w:val="18"/>
        </w:rPr>
        <w:t> </w:t>
      </w:r>
      <w:r>
        <w:rPr>
          <w:rFonts w:ascii="Swis721 Lt BT" w:hAnsi="Swis721 Lt BT"/>
          <w:color w:val="231F20"/>
          <w:sz w:val="18"/>
        </w:rPr>
        <w:t>amortised</w:t>
      </w:r>
      <w:r>
        <w:rPr>
          <w:rFonts w:ascii="Swis721 Lt BT" w:hAnsi="Swis721 Lt BT"/>
          <w:color w:val="231F20"/>
          <w:spacing w:val="1"/>
          <w:sz w:val="18"/>
        </w:rPr>
        <w:t> </w:t>
      </w:r>
      <w:r>
        <w:rPr>
          <w:rFonts w:ascii="Swis721 Lt BT" w:hAnsi="Swis721 Lt BT"/>
          <w:color w:val="231F20"/>
          <w:sz w:val="18"/>
        </w:rPr>
        <w:t>cost</w:t>
      </w:r>
      <w:r>
        <w:rPr>
          <w:rFonts w:ascii="Swis721 Lt BT" w:hAnsi="Swis721 Lt BT"/>
          <w:sz w:val="18"/>
        </w:rPr>
      </w:r>
    </w:p>
    <w:p>
      <w:pPr>
        <w:spacing w:line="240" w:lineRule="auto" w:before="12"/>
        <w:rPr>
          <w:rFonts w:ascii="Swis721 Lt BT" w:hAnsi="Swis721 Lt BT" w:cs="Swis721 Lt BT" w:eastAsia="Swis721 Lt BT"/>
          <w:sz w:val="18"/>
          <w:szCs w:val="18"/>
        </w:rPr>
      </w:pPr>
    </w:p>
    <w:p>
      <w:pPr>
        <w:pStyle w:val="BodyText"/>
        <w:spacing w:line="216" w:lineRule="exact" w:before="0"/>
        <w:ind w:left="230" w:right="1941"/>
        <w:jc w:val="left"/>
      </w:pPr>
      <w:r>
        <w:rPr>
          <w:color w:val="00757A"/>
        </w:rPr>
        <w:t>Statement of Cash Flows Investing activities</w:t>
      </w:r>
      <w:r>
        <w:rPr/>
      </w:r>
    </w:p>
    <w:p>
      <w:pPr>
        <w:pStyle w:val="BodyText"/>
        <w:spacing w:line="240" w:lineRule="auto" w:before="115"/>
        <w:ind w:left="230" w:right="0"/>
        <w:jc w:val="left"/>
      </w:pPr>
      <w:r>
        <w:rPr>
          <w:rFonts w:ascii="Arial" w:hAnsi="Arial"/>
          <w:color w:val="00757A"/>
        </w:rPr>
        <w:t>ϐ </w:t>
      </w:r>
      <w:r>
        <w:rPr>
          <w:rFonts w:ascii="Arial" w:hAnsi="Arial"/>
          <w:color w:val="00757A"/>
          <w:spacing w:val="6"/>
        </w:rPr>
        <w:t> </w:t>
      </w:r>
      <w:r>
        <w:rPr>
          <w:color w:val="231F20"/>
        </w:rPr>
        <w:t>Purchase</w:t>
      </w:r>
      <w:r>
        <w:rPr>
          <w:color w:val="231F20"/>
          <w:spacing w:val="-1"/>
        </w:rPr>
        <w:t> </w:t>
      </w:r>
      <w:r>
        <w:rPr>
          <w:color w:val="231F20"/>
        </w:rPr>
        <w:t>of financial</w:t>
      </w:r>
      <w:r>
        <w:rPr>
          <w:color w:val="231F20"/>
          <w:spacing w:val="-1"/>
        </w:rPr>
        <w:t> </w:t>
      </w:r>
      <w:r>
        <w:rPr>
          <w:color w:val="231F20"/>
        </w:rPr>
        <w:t>assets</w:t>
      </w:r>
      <w:r>
        <w:rPr/>
      </w:r>
    </w:p>
    <w:p>
      <w:pPr>
        <w:spacing w:after="0" w:line="240" w:lineRule="auto"/>
        <w:jc w:val="left"/>
        <w:sectPr>
          <w:type w:val="continuous"/>
          <w:pgSz w:w="9980" w:h="14180"/>
          <w:pgMar w:top="0" w:bottom="280" w:left="1020" w:right="740"/>
          <w:cols w:num="2" w:equalWidth="0">
            <w:col w:w="3786" w:space="208"/>
            <w:col w:w="4226"/>
          </w:cols>
        </w:sectPr>
      </w:pPr>
    </w:p>
    <w:p>
      <w:pPr>
        <w:spacing w:line="240" w:lineRule="auto" w:before="6"/>
        <w:rPr>
          <w:rFonts w:ascii="Swis721 Lt BT" w:hAnsi="Swis721 Lt BT" w:cs="Swis721 Lt BT" w:eastAsia="Swis721 Lt BT"/>
          <w:sz w:val="5"/>
          <w:szCs w:val="5"/>
        </w:rPr>
      </w:pPr>
    </w:p>
    <w:p>
      <w:pPr>
        <w:spacing w:line="20" w:lineRule="atLeast"/>
        <w:ind w:left="113"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399.7pt;height:.3pt;mso-position-horizontal-relative:char;mso-position-vertical-relative:line" coordorigin="0,0" coordsize="7994,6">
            <v:group style="position:absolute;left:3;top:3;width:7988;height:2" coordorigin="3,3" coordsize="7988,2">
              <v:shape style="position:absolute;left:3;top:3;width:7988;height:2" coordorigin="3,3" coordsize="7988,0" path="m3,3l7991,3e" filled="false" stroked="true" strokeweight=".3pt" strokecolor="#71797f">
                <v:path arrowok="t"/>
              </v:shape>
            </v:group>
          </v:group>
        </w:pict>
      </w:r>
      <w:r>
        <w:rPr>
          <w:rFonts w:ascii="Swis721 Lt BT" w:hAnsi="Swis721 Lt BT" w:cs="Swis721 Lt BT" w:eastAsia="Swis721 Lt BT"/>
          <w:sz w:val="2"/>
          <w:szCs w:val="2"/>
        </w:rPr>
      </w:r>
    </w:p>
    <w:p>
      <w:pPr>
        <w:spacing w:after="0" w:line="20" w:lineRule="atLeast"/>
        <w:rPr>
          <w:rFonts w:ascii="Swis721 Lt BT" w:hAnsi="Swis721 Lt BT" w:cs="Swis721 Lt BT" w:eastAsia="Swis721 Lt BT"/>
          <w:sz w:val="2"/>
          <w:szCs w:val="2"/>
        </w:rPr>
        <w:sectPr>
          <w:type w:val="continuous"/>
          <w:pgSz w:w="9980" w:h="14180"/>
          <w:pgMar w:top="0" w:bottom="280" w:left="1020" w:right="740"/>
        </w:sectPr>
      </w:pPr>
    </w:p>
    <w:p>
      <w:pPr>
        <w:pStyle w:val="Heading6"/>
        <w:spacing w:line="240" w:lineRule="auto" w:before="42"/>
        <w:ind w:left="110" w:right="0"/>
        <w:jc w:val="left"/>
        <w:rPr>
          <w:rFonts w:ascii="Swis721 BT" w:hAnsi="Swis721 BT" w:cs="Swis721 BT" w:eastAsia="Swis721 BT"/>
        </w:rPr>
      </w:pPr>
      <w:bookmarkStart w:name="NOTE 13. MEMBER’S GUARANTEE" w:id="40"/>
      <w:bookmarkEnd w:id="40"/>
      <w:r>
        <w:rPr/>
      </w:r>
      <w:bookmarkStart w:name="NOTE 14. ENTITY DETAILS" w:id="41"/>
      <w:bookmarkEnd w:id="41"/>
      <w:r>
        <w:rPr/>
      </w:r>
      <w:r>
        <w:rPr>
          <w:rFonts w:ascii="Swis721 Hv BT"/>
          <w:b/>
          <w:color w:val="005E63"/>
        </w:rPr>
        <w:t>NOTE</w:t>
      </w:r>
      <w:r>
        <w:rPr>
          <w:rFonts w:ascii="Swis721 Hv BT"/>
          <w:b/>
          <w:color w:val="005E63"/>
          <w:spacing w:val="-2"/>
        </w:rPr>
        <w:t> </w:t>
      </w:r>
      <w:r>
        <w:rPr>
          <w:rFonts w:ascii="Swis721 Hv BT"/>
          <w:b/>
          <w:color w:val="005E63"/>
        </w:rPr>
        <w:t>12.</w:t>
      </w:r>
      <w:r>
        <w:rPr>
          <w:rFonts w:ascii="Swis721 Hv BT"/>
          <w:b/>
          <w:color w:val="005E63"/>
          <w:spacing w:val="-7"/>
        </w:rPr>
        <w:t> </w:t>
      </w:r>
      <w:r>
        <w:rPr>
          <w:rFonts w:ascii="Swis721 BT"/>
          <w:color w:val="005E63"/>
          <w:spacing w:val="-1"/>
        </w:rPr>
        <w:t>EXPLANATIONS </w:t>
      </w:r>
      <w:r>
        <w:rPr>
          <w:rFonts w:ascii="Swis721 BT"/>
          <w:color w:val="005E63"/>
        </w:rPr>
        <w:t>OF</w:t>
      </w:r>
      <w:r>
        <w:rPr>
          <w:rFonts w:ascii="Swis721 BT"/>
          <w:color w:val="005E63"/>
          <w:spacing w:val="-1"/>
        </w:rPr>
        <w:t> </w:t>
      </w:r>
      <w:r>
        <w:rPr>
          <w:rFonts w:ascii="Swis721 BT"/>
          <w:color w:val="005E63"/>
        </w:rPr>
        <w:t>MAJOR</w:t>
      </w:r>
      <w:r>
        <w:rPr>
          <w:rFonts w:ascii="Swis721 BT"/>
          <w:color w:val="005E63"/>
          <w:spacing w:val="-1"/>
        </w:rPr>
        <w:t> </w:t>
      </w:r>
      <w:r>
        <w:rPr>
          <w:rFonts w:ascii="Swis721 BT"/>
          <w:color w:val="005E63"/>
        </w:rPr>
        <w:t>BUDGET</w:t>
      </w:r>
      <w:r>
        <w:rPr>
          <w:rFonts w:ascii="Swis721 BT"/>
          <w:color w:val="005E63"/>
          <w:spacing w:val="-1"/>
        </w:rPr>
        <w:t> VARIANCES</w:t>
      </w:r>
      <w:r>
        <w:rPr>
          <w:rFonts w:ascii="Swis721 BT"/>
        </w:rPr>
      </w:r>
    </w:p>
    <w:p>
      <w:pPr>
        <w:spacing w:before="2"/>
        <w:ind w:left="110" w:right="0" w:firstLine="0"/>
        <w:jc w:val="left"/>
        <w:rPr>
          <w:rFonts w:ascii="Swis721 Lt BT" w:hAnsi="Swis721 Lt BT" w:cs="Swis721 Lt BT" w:eastAsia="Swis721 Lt BT"/>
          <w:sz w:val="24"/>
          <w:szCs w:val="24"/>
        </w:rPr>
      </w:pPr>
      <w:r>
        <w:rPr>
          <w:rFonts w:ascii="Swis721 Lt BT"/>
          <w:color w:val="005E63"/>
          <w:sz w:val="24"/>
        </w:rPr>
        <w:t>CONTINUED</w:t>
      </w:r>
      <w:r>
        <w:rPr>
          <w:rFonts w:ascii="Swis721 Lt BT"/>
          <w:sz w:val="24"/>
        </w:rPr>
      </w:r>
    </w:p>
    <w:p>
      <w:pPr>
        <w:spacing w:line="240" w:lineRule="auto" w:before="11"/>
        <w:rPr>
          <w:rFonts w:ascii="Swis721 Lt BT" w:hAnsi="Swis721 Lt BT" w:cs="Swis721 Lt BT" w:eastAsia="Swis721 Lt BT"/>
          <w:sz w:val="20"/>
          <w:szCs w:val="20"/>
        </w:rPr>
      </w:pPr>
    </w:p>
    <w:tbl>
      <w:tblPr>
        <w:tblW w:w="0" w:type="auto"/>
        <w:jc w:val="left"/>
        <w:tblInd w:w="113" w:type="dxa"/>
        <w:tblLayout w:type="fixed"/>
        <w:tblCellMar>
          <w:top w:w="0" w:type="dxa"/>
          <w:left w:w="0" w:type="dxa"/>
          <w:bottom w:w="0" w:type="dxa"/>
          <w:right w:w="0" w:type="dxa"/>
        </w:tblCellMar>
        <w:tblLook w:val="01E0"/>
      </w:tblPr>
      <w:tblGrid>
        <w:gridCol w:w="3994"/>
        <w:gridCol w:w="3994"/>
      </w:tblGrid>
      <w:tr>
        <w:trPr>
          <w:trHeight w:val="379" w:hRule="exact"/>
        </w:trPr>
        <w:tc>
          <w:tcPr>
            <w:tcW w:w="3994" w:type="dxa"/>
            <w:tcBorders>
              <w:top w:val="nil" w:sz="6" w:space="0" w:color="auto"/>
              <w:left w:val="nil" w:sz="6" w:space="0" w:color="auto"/>
              <w:bottom w:val="nil" w:sz="6" w:space="0" w:color="auto"/>
              <w:right w:val="single" w:sz="1" w:space="0" w:color="BFD22B"/>
            </w:tcBorders>
            <w:shd w:val="clear" w:color="auto" w:fill="BFD22B"/>
          </w:tcPr>
          <w:p>
            <w:pPr>
              <w:pStyle w:val="TableParagraph"/>
              <w:spacing w:line="240" w:lineRule="auto" w:before="83"/>
              <w:ind w:left="113" w:right="0"/>
              <w:jc w:val="left"/>
              <w:rPr>
                <w:rFonts w:ascii="Swis721 Md BT" w:hAnsi="Swis721 Md BT" w:cs="Swis721 Md BT" w:eastAsia="Swis721 Md BT"/>
                <w:sz w:val="19"/>
                <w:szCs w:val="19"/>
              </w:rPr>
            </w:pPr>
            <w:r>
              <w:rPr>
                <w:rFonts w:ascii="Swis721 Md BT"/>
                <w:color w:val="231F20"/>
                <w:sz w:val="19"/>
              </w:rPr>
              <w:t>Explanation of major variances</w:t>
            </w:r>
            <w:r>
              <w:rPr>
                <w:rFonts w:ascii="Swis721 Md BT"/>
                <w:sz w:val="19"/>
              </w:rPr>
            </w:r>
          </w:p>
        </w:tc>
        <w:tc>
          <w:tcPr>
            <w:tcW w:w="3994" w:type="dxa"/>
            <w:tcBorders>
              <w:top w:val="nil" w:sz="6" w:space="0" w:color="auto"/>
              <w:left w:val="single" w:sz="1" w:space="0" w:color="BFD22B"/>
              <w:bottom w:val="nil" w:sz="6" w:space="0" w:color="auto"/>
              <w:right w:val="nil" w:sz="6" w:space="0" w:color="auto"/>
            </w:tcBorders>
            <w:shd w:val="clear" w:color="auto" w:fill="BFD22B"/>
          </w:tcPr>
          <w:p>
            <w:pPr>
              <w:pStyle w:val="TableParagraph"/>
              <w:spacing w:line="240" w:lineRule="auto" w:before="83"/>
              <w:ind w:left="112" w:right="0"/>
              <w:jc w:val="left"/>
              <w:rPr>
                <w:rFonts w:ascii="Swis721 Md BT" w:hAnsi="Swis721 Md BT" w:cs="Swis721 Md BT" w:eastAsia="Swis721 Md BT"/>
                <w:sz w:val="19"/>
                <w:szCs w:val="19"/>
              </w:rPr>
            </w:pPr>
            <w:r>
              <w:rPr>
                <w:rFonts w:ascii="Swis721 Md BT"/>
                <w:color w:val="231F20"/>
                <w:sz w:val="19"/>
              </w:rPr>
              <w:t>Affected line items (and statement)</w:t>
            </w:r>
            <w:r>
              <w:rPr>
                <w:rFonts w:ascii="Swis721 Md BT"/>
                <w:sz w:val="19"/>
              </w:rPr>
            </w:r>
          </w:p>
        </w:tc>
      </w:tr>
      <w:tr>
        <w:trPr>
          <w:trHeight w:val="588" w:hRule="exact"/>
        </w:trPr>
        <w:tc>
          <w:tcPr>
            <w:tcW w:w="3994" w:type="dxa"/>
            <w:tcBorders>
              <w:top w:val="nil" w:sz="6" w:space="0" w:color="auto"/>
              <w:left w:val="nil" w:sz="6" w:space="0" w:color="auto"/>
              <w:bottom w:val="nil" w:sz="6" w:space="0" w:color="auto"/>
              <w:right w:val="single" w:sz="1" w:space="0" w:color="EBF0C9"/>
            </w:tcBorders>
            <w:shd w:val="clear" w:color="auto" w:fill="EBF0C9"/>
          </w:tcPr>
          <w:p>
            <w:pPr>
              <w:pStyle w:val="TableParagraph"/>
              <w:spacing w:line="216" w:lineRule="exact" w:before="86"/>
              <w:ind w:left="113" w:right="238"/>
              <w:jc w:val="left"/>
              <w:rPr>
                <w:rFonts w:ascii="Swis721 BT" w:hAnsi="Swis721 BT" w:cs="Swis721 BT" w:eastAsia="Swis721 BT"/>
                <w:sz w:val="19"/>
                <w:szCs w:val="19"/>
              </w:rPr>
            </w:pPr>
            <w:r>
              <w:rPr>
                <w:rFonts w:ascii="Swis721 BT"/>
                <w:color w:val="231F20"/>
                <w:spacing w:val="-1"/>
                <w:sz w:val="19"/>
              </w:rPr>
              <w:t>Furniture,</w:t>
            </w:r>
            <w:r>
              <w:rPr>
                <w:rFonts w:ascii="Swis721 BT"/>
                <w:color w:val="231F20"/>
                <w:sz w:val="19"/>
              </w:rPr>
              <w:t> equipment, software and cultural</w:t>
            </w:r>
            <w:r>
              <w:rPr>
                <w:rFonts w:ascii="Swis721 BT"/>
                <w:color w:val="231F20"/>
                <w:spacing w:val="25"/>
                <w:sz w:val="19"/>
              </w:rPr>
              <w:t> </w:t>
            </w:r>
            <w:r>
              <w:rPr>
                <w:rFonts w:ascii="Swis721 BT"/>
                <w:color w:val="231F20"/>
                <w:sz w:val="19"/>
              </w:rPr>
              <w:t>assets</w:t>
            </w:r>
            <w:r>
              <w:rPr>
                <w:rFonts w:ascii="Swis721 BT"/>
                <w:sz w:val="19"/>
              </w:rPr>
            </w:r>
          </w:p>
        </w:tc>
        <w:tc>
          <w:tcPr>
            <w:tcW w:w="3994" w:type="dxa"/>
            <w:tcBorders>
              <w:top w:val="nil" w:sz="6" w:space="0" w:color="auto"/>
              <w:left w:val="single" w:sz="1" w:space="0" w:color="EBF0C9"/>
              <w:bottom w:val="nil" w:sz="6" w:space="0" w:color="auto"/>
              <w:right w:val="nil" w:sz="6" w:space="0" w:color="auto"/>
            </w:tcBorders>
            <w:shd w:val="clear" w:color="auto" w:fill="EBF0C9"/>
          </w:tcPr>
          <w:p>
            <w:pPr/>
          </w:p>
        </w:tc>
      </w:tr>
    </w:tbl>
    <w:p>
      <w:pPr>
        <w:spacing w:after="0"/>
        <w:sectPr>
          <w:pgSz w:w="9980" w:h="14180"/>
          <w:pgMar w:header="0" w:footer="452" w:top="1040" w:bottom="640" w:left="740" w:right="1020"/>
        </w:sectPr>
      </w:pPr>
    </w:p>
    <w:p>
      <w:pPr>
        <w:spacing w:before="84"/>
        <w:ind w:left="226" w:right="0" w:firstLine="0"/>
        <w:jc w:val="left"/>
        <w:rPr>
          <w:rFonts w:ascii="Swis721 Lt BT" w:hAnsi="Swis721 Lt BT" w:cs="Swis721 Lt BT" w:eastAsia="Swis721 Lt BT"/>
          <w:sz w:val="18"/>
          <w:szCs w:val="18"/>
        </w:rPr>
      </w:pPr>
      <w:r>
        <w:rPr>
          <w:rFonts w:ascii="Swis721 Lt BT"/>
          <w:color w:val="231F20"/>
          <w:sz w:val="18"/>
        </w:rPr>
        <w:t>At the time of the budget preparation AITSL had made</w:t>
      </w:r>
      <w:r>
        <w:rPr>
          <w:rFonts w:ascii="Swis721 Lt BT"/>
          <w:color w:val="231F20"/>
          <w:spacing w:val="-1"/>
          <w:sz w:val="18"/>
        </w:rPr>
        <w:t> </w:t>
      </w:r>
      <w:r>
        <w:rPr>
          <w:rFonts w:ascii="Swis721 Lt BT"/>
          <w:color w:val="231F20"/>
          <w:sz w:val="18"/>
        </w:rPr>
        <w:t>an</w:t>
      </w:r>
      <w:r>
        <w:rPr>
          <w:rFonts w:ascii="Swis721 Lt BT"/>
          <w:color w:val="231F20"/>
          <w:spacing w:val="-1"/>
          <w:sz w:val="18"/>
        </w:rPr>
        <w:t> </w:t>
      </w:r>
      <w:r>
        <w:rPr>
          <w:rFonts w:ascii="Swis721 Lt BT"/>
          <w:color w:val="231F20"/>
          <w:sz w:val="18"/>
        </w:rPr>
        <w:t>in principle</w:t>
      </w:r>
      <w:r>
        <w:rPr>
          <w:rFonts w:ascii="Swis721 Lt BT"/>
          <w:color w:val="231F20"/>
          <w:spacing w:val="-1"/>
          <w:sz w:val="18"/>
        </w:rPr>
        <w:t> </w:t>
      </w:r>
      <w:r>
        <w:rPr>
          <w:rFonts w:ascii="Swis721 Lt BT"/>
          <w:color w:val="231F20"/>
          <w:sz w:val="18"/>
        </w:rPr>
        <w:t>decision to</w:t>
      </w:r>
      <w:r>
        <w:rPr>
          <w:rFonts w:ascii="Swis721 Lt BT"/>
          <w:color w:val="231F20"/>
          <w:spacing w:val="-1"/>
          <w:sz w:val="18"/>
        </w:rPr>
        <w:t> </w:t>
      </w:r>
      <w:r>
        <w:rPr>
          <w:rFonts w:ascii="Swis721 Lt BT"/>
          <w:color w:val="231F20"/>
          <w:sz w:val="18"/>
        </w:rPr>
        <w:t>move its</w:t>
      </w:r>
      <w:r>
        <w:rPr>
          <w:rFonts w:ascii="Swis721 Lt BT"/>
          <w:color w:val="231F20"/>
          <w:spacing w:val="-1"/>
          <w:sz w:val="18"/>
        </w:rPr>
        <w:t> </w:t>
      </w:r>
      <w:r>
        <w:rPr>
          <w:rFonts w:ascii="Swis721 Lt BT"/>
          <w:color w:val="231F20"/>
          <w:sz w:val="18"/>
        </w:rPr>
        <w:t>office</w:t>
      </w:r>
      <w:r>
        <w:rPr>
          <w:rFonts w:ascii="Swis721 Lt BT"/>
          <w:color w:val="231F20"/>
          <w:w w:val="99"/>
          <w:sz w:val="18"/>
        </w:rPr>
        <w:t> </w:t>
      </w:r>
      <w:r>
        <w:rPr>
          <w:rFonts w:ascii="Swis721 Lt BT"/>
          <w:color w:val="231F20"/>
          <w:sz w:val="18"/>
        </w:rPr>
        <w:t>location in Melbourne. The budget included</w:t>
      </w:r>
      <w:r>
        <w:rPr>
          <w:rFonts w:ascii="Swis721 Lt BT"/>
          <w:sz w:val="18"/>
        </w:rPr>
      </w:r>
    </w:p>
    <w:p>
      <w:pPr>
        <w:spacing w:before="0"/>
        <w:ind w:left="226" w:right="66" w:firstLine="0"/>
        <w:jc w:val="left"/>
        <w:rPr>
          <w:rFonts w:ascii="Swis721 Lt BT" w:hAnsi="Swis721 Lt BT" w:cs="Swis721 Lt BT" w:eastAsia="Swis721 Lt BT"/>
          <w:sz w:val="18"/>
          <w:szCs w:val="18"/>
        </w:rPr>
      </w:pPr>
      <w:r>
        <w:rPr>
          <w:rFonts w:ascii="Swis721 Lt BT"/>
          <w:color w:val="231F20"/>
          <w:sz w:val="18"/>
        </w:rPr>
        <w:t>a write-off of existing assets of $260,000. A decision to not proceed with the move resulted in that expense not being incurred. A program to</w:t>
      </w:r>
      <w:r>
        <w:rPr>
          <w:rFonts w:ascii="Swis721 Lt BT"/>
          <w:color w:val="231F20"/>
          <w:spacing w:val="-1"/>
          <w:sz w:val="18"/>
        </w:rPr>
        <w:t> </w:t>
      </w:r>
      <w:r>
        <w:rPr>
          <w:rFonts w:ascii="Swis721 Lt BT"/>
          <w:color w:val="231F20"/>
          <w:sz w:val="18"/>
        </w:rPr>
        <w:t>update</w:t>
      </w:r>
      <w:r>
        <w:rPr>
          <w:rFonts w:ascii="Swis721 Lt BT"/>
          <w:color w:val="231F20"/>
          <w:spacing w:val="-1"/>
          <w:sz w:val="18"/>
        </w:rPr>
        <w:t> </w:t>
      </w:r>
      <w:r>
        <w:rPr>
          <w:rFonts w:ascii="Swis721 Lt BT"/>
          <w:color w:val="231F20"/>
          <w:sz w:val="18"/>
        </w:rPr>
        <w:t>the</w:t>
      </w:r>
      <w:r>
        <w:rPr>
          <w:rFonts w:ascii="Swis721 Lt BT"/>
          <w:color w:val="231F20"/>
          <w:spacing w:val="-1"/>
          <w:sz w:val="18"/>
        </w:rPr>
        <w:t> </w:t>
      </w:r>
      <w:r>
        <w:rPr>
          <w:rFonts w:ascii="Swis721 Lt BT"/>
          <w:color w:val="231F20"/>
          <w:sz w:val="18"/>
        </w:rPr>
        <w:t>computer hardware</w:t>
      </w:r>
      <w:r>
        <w:rPr>
          <w:rFonts w:ascii="Swis721 Lt BT"/>
          <w:color w:val="231F20"/>
          <w:spacing w:val="-1"/>
          <w:sz w:val="18"/>
        </w:rPr>
        <w:t> </w:t>
      </w:r>
      <w:r>
        <w:rPr>
          <w:rFonts w:ascii="Swis721 Lt BT"/>
          <w:color w:val="231F20"/>
          <w:sz w:val="18"/>
        </w:rPr>
        <w:t>and</w:t>
      </w:r>
      <w:r>
        <w:rPr>
          <w:rFonts w:ascii="Swis721 Lt BT"/>
          <w:color w:val="231F20"/>
          <w:spacing w:val="-1"/>
          <w:sz w:val="18"/>
        </w:rPr>
        <w:t> </w:t>
      </w:r>
      <w:r>
        <w:rPr>
          <w:rFonts w:ascii="Swis721 Lt BT"/>
          <w:color w:val="231F20"/>
          <w:sz w:val="18"/>
        </w:rPr>
        <w:t>office</w:t>
      </w:r>
      <w:r>
        <w:rPr>
          <w:rFonts w:ascii="Swis721 Lt BT"/>
          <w:color w:val="231F20"/>
          <w:w w:val="99"/>
          <w:sz w:val="18"/>
        </w:rPr>
        <w:t> </w:t>
      </w:r>
      <w:r>
        <w:rPr>
          <w:rFonts w:ascii="Swis721 Lt BT"/>
          <w:color w:val="231F20"/>
          <w:sz w:val="18"/>
        </w:rPr>
        <w:t>facilities for AITSL and its employees has been</w:t>
      </w:r>
      <w:r>
        <w:rPr>
          <w:rFonts w:ascii="Swis721 Lt BT"/>
          <w:color w:val="231F20"/>
          <w:sz w:val="18"/>
        </w:rPr>
        <w:t> undertaken at a cost in excess of $300,000.</w:t>
      </w:r>
      <w:r>
        <w:rPr>
          <w:rFonts w:ascii="Swis721 Lt BT"/>
          <w:sz w:val="18"/>
        </w:rPr>
      </w:r>
    </w:p>
    <w:p>
      <w:pPr>
        <w:pStyle w:val="BodyText"/>
        <w:spacing w:line="216" w:lineRule="exact" w:before="93"/>
        <w:ind w:left="226" w:right="111"/>
        <w:jc w:val="left"/>
      </w:pPr>
      <w:r>
        <w:rPr/>
        <w:br w:type="column"/>
      </w:r>
      <w:r>
        <w:rPr>
          <w:color w:val="00757A"/>
        </w:rPr>
        <w:t>Statement of Financial </w:t>
      </w:r>
      <w:r>
        <w:rPr>
          <w:color w:val="00757A"/>
          <w:spacing w:val="-1"/>
        </w:rPr>
        <w:t>Position</w:t>
      </w:r>
      <w:r>
        <w:rPr>
          <w:color w:val="00757A"/>
        </w:rPr>
        <w:t> Non current</w:t>
      </w:r>
      <w:r>
        <w:rPr>
          <w:color w:val="00757A"/>
          <w:spacing w:val="22"/>
        </w:rPr>
        <w:t> </w:t>
      </w:r>
      <w:r>
        <w:rPr>
          <w:color w:val="00757A"/>
        </w:rPr>
        <w:t>assets</w:t>
      </w:r>
      <w:r>
        <w:rPr/>
      </w:r>
    </w:p>
    <w:p>
      <w:pPr>
        <w:pStyle w:val="BodyText"/>
        <w:spacing w:line="240" w:lineRule="auto" w:before="115"/>
        <w:ind w:left="226" w:right="0"/>
        <w:jc w:val="left"/>
      </w:pPr>
      <w:r>
        <w:rPr>
          <w:rFonts w:ascii="Arial" w:hAnsi="Arial"/>
          <w:color w:val="00757A"/>
        </w:rPr>
        <w:t>ϐ </w:t>
      </w:r>
      <w:r>
        <w:rPr>
          <w:rFonts w:ascii="Arial" w:hAnsi="Arial"/>
          <w:color w:val="00757A"/>
          <w:spacing w:val="8"/>
        </w:rPr>
        <w:t> </w:t>
      </w:r>
      <w:r>
        <w:rPr>
          <w:color w:val="231F20"/>
          <w:spacing w:val="-1"/>
        </w:rPr>
        <w:t>Furniture,</w:t>
      </w:r>
      <w:r>
        <w:rPr>
          <w:color w:val="231F20"/>
          <w:spacing w:val="1"/>
        </w:rPr>
        <w:t> </w:t>
      </w:r>
      <w:r>
        <w:rPr>
          <w:color w:val="231F20"/>
        </w:rPr>
        <w:t>equipment, software</w:t>
      </w:r>
      <w:r>
        <w:rPr>
          <w:color w:val="231F20"/>
          <w:spacing w:val="1"/>
        </w:rPr>
        <w:t> </w:t>
      </w:r>
      <w:r>
        <w:rPr>
          <w:color w:val="231F20"/>
        </w:rPr>
        <w:t>and</w:t>
      </w:r>
      <w:r>
        <w:rPr>
          <w:color w:val="231F20"/>
          <w:spacing w:val="1"/>
        </w:rPr>
        <w:t> </w:t>
      </w:r>
      <w:r>
        <w:rPr>
          <w:color w:val="231F20"/>
        </w:rPr>
        <w:t>cultural</w:t>
      </w:r>
      <w:r>
        <w:rPr/>
      </w:r>
    </w:p>
    <w:p>
      <w:pPr>
        <w:spacing w:line="240" w:lineRule="auto" w:before="11"/>
        <w:rPr>
          <w:rFonts w:ascii="Swis721 Lt BT" w:hAnsi="Swis721 Lt BT" w:cs="Swis721 Lt BT" w:eastAsia="Swis721 Lt BT"/>
          <w:sz w:val="17"/>
          <w:szCs w:val="17"/>
        </w:rPr>
      </w:pPr>
    </w:p>
    <w:p>
      <w:pPr>
        <w:pStyle w:val="BodyText"/>
        <w:spacing w:line="240" w:lineRule="auto" w:before="0"/>
        <w:ind w:left="226" w:right="0"/>
        <w:jc w:val="left"/>
      </w:pPr>
      <w:r>
        <w:rPr>
          <w:color w:val="00757A"/>
        </w:rPr>
        <w:t>Statement of Comprehensive Income</w:t>
      </w:r>
      <w:r>
        <w:rPr/>
      </w:r>
    </w:p>
    <w:p>
      <w:pPr>
        <w:pStyle w:val="BodyText"/>
        <w:spacing w:line="240" w:lineRule="auto"/>
        <w:ind w:left="226" w:right="0"/>
        <w:jc w:val="left"/>
      </w:pPr>
      <w:r>
        <w:rPr>
          <w:rFonts w:ascii="Arial" w:hAnsi="Arial"/>
          <w:color w:val="00757A"/>
        </w:rPr>
        <w:t>ϐ </w:t>
      </w:r>
      <w:r>
        <w:rPr>
          <w:rFonts w:ascii="Arial" w:hAnsi="Arial"/>
          <w:color w:val="00757A"/>
          <w:spacing w:val="9"/>
        </w:rPr>
        <w:t> </w:t>
      </w:r>
      <w:r>
        <w:rPr>
          <w:color w:val="231F20"/>
        </w:rPr>
        <w:t>Depreciation</w:t>
      </w:r>
      <w:r>
        <w:rPr>
          <w:color w:val="231F20"/>
          <w:spacing w:val="1"/>
        </w:rPr>
        <w:t> </w:t>
      </w:r>
      <w:r>
        <w:rPr>
          <w:color w:val="231F20"/>
        </w:rPr>
        <w:t>and</w:t>
      </w:r>
      <w:r>
        <w:rPr>
          <w:color w:val="231F20"/>
          <w:spacing w:val="1"/>
        </w:rPr>
        <w:t> </w:t>
      </w:r>
      <w:r>
        <w:rPr>
          <w:color w:val="231F20"/>
        </w:rPr>
        <w:t>amortisation</w:t>
      </w:r>
      <w:r>
        <w:rPr/>
      </w:r>
    </w:p>
    <w:p>
      <w:pPr>
        <w:spacing w:line="240" w:lineRule="auto" w:before="11"/>
        <w:rPr>
          <w:rFonts w:ascii="Swis721 Lt BT" w:hAnsi="Swis721 Lt BT" w:cs="Swis721 Lt BT" w:eastAsia="Swis721 Lt BT"/>
          <w:sz w:val="17"/>
          <w:szCs w:val="17"/>
        </w:rPr>
      </w:pPr>
    </w:p>
    <w:p>
      <w:pPr>
        <w:pStyle w:val="BodyText"/>
        <w:spacing w:line="240" w:lineRule="auto" w:before="0"/>
        <w:ind w:left="226" w:right="0"/>
        <w:jc w:val="left"/>
      </w:pPr>
      <w:r>
        <w:rPr>
          <w:color w:val="00757A"/>
        </w:rPr>
        <w:t>Statement of Cash Flows Investing activities</w:t>
      </w:r>
      <w:r>
        <w:rPr/>
      </w:r>
    </w:p>
    <w:p>
      <w:pPr>
        <w:pStyle w:val="BodyText"/>
        <w:spacing w:line="240" w:lineRule="auto"/>
        <w:ind w:left="226" w:right="0"/>
        <w:jc w:val="left"/>
      </w:pPr>
      <w:r>
        <w:rPr>
          <w:rFonts w:ascii="Arial" w:hAnsi="Arial"/>
          <w:color w:val="00757A"/>
        </w:rPr>
        <w:t>ϐ </w:t>
      </w:r>
      <w:r>
        <w:rPr>
          <w:rFonts w:ascii="Arial" w:hAnsi="Arial"/>
          <w:color w:val="00757A"/>
          <w:spacing w:val="8"/>
        </w:rPr>
        <w:t> </w:t>
      </w:r>
      <w:r>
        <w:rPr>
          <w:color w:val="231F20"/>
        </w:rPr>
        <w:t>Purchase</w:t>
      </w:r>
      <w:r>
        <w:rPr>
          <w:color w:val="231F20"/>
          <w:spacing w:val="1"/>
        </w:rPr>
        <w:t> </w:t>
      </w:r>
      <w:r>
        <w:rPr>
          <w:color w:val="231F20"/>
        </w:rPr>
        <w:t>of furniture</w:t>
      </w:r>
      <w:r>
        <w:rPr>
          <w:color w:val="231F20"/>
          <w:spacing w:val="1"/>
        </w:rPr>
        <w:t> </w:t>
      </w:r>
      <w:r>
        <w:rPr>
          <w:color w:val="231F20"/>
        </w:rPr>
        <w:t>and</w:t>
      </w:r>
      <w:r>
        <w:rPr>
          <w:color w:val="231F20"/>
          <w:spacing w:val="1"/>
        </w:rPr>
        <w:t> </w:t>
      </w:r>
      <w:r>
        <w:rPr>
          <w:color w:val="231F20"/>
        </w:rPr>
        <w:t>equipment</w:t>
      </w:r>
      <w:r>
        <w:rPr/>
      </w:r>
    </w:p>
    <w:p>
      <w:pPr>
        <w:spacing w:after="0" w:line="240" w:lineRule="auto"/>
        <w:jc w:val="left"/>
        <w:sectPr>
          <w:type w:val="continuous"/>
          <w:pgSz w:w="9980" w:h="14180"/>
          <w:pgMar w:top="0" w:bottom="280" w:left="740" w:right="1020"/>
          <w:cols w:num="2" w:equalWidth="0">
            <w:col w:w="3928" w:space="65"/>
            <w:col w:w="4227"/>
          </w:cols>
        </w:sectPr>
      </w:pP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399.7pt;height:.3pt;mso-position-horizontal-relative:char;mso-position-vertical-relative:line" coordorigin="0,0" coordsize="7994,6">
            <v:group style="position:absolute;left:3;top:3;width:7988;height:2" coordorigin="3,3" coordsize="7988,2">
              <v:shape style="position:absolute;left:3;top:3;width:7988;height:2" coordorigin="3,3" coordsize="7988,0" path="m3,3l7991,3e" filled="false" stroked="true" strokeweight=".3pt" strokecolor="#71797f">
                <v:path arrowok="t"/>
              </v:shape>
            </v:group>
          </v:group>
        </w:pict>
      </w:r>
      <w:r>
        <w:rPr>
          <w:rFonts w:ascii="Swis721 Lt BT" w:hAnsi="Swis721 Lt BT" w:cs="Swis721 Lt BT" w:eastAsia="Swis721 Lt BT"/>
          <w:sz w:val="2"/>
          <w:szCs w:val="2"/>
        </w:rPr>
      </w:r>
    </w:p>
    <w:p>
      <w:pPr>
        <w:spacing w:line="240" w:lineRule="auto" w:before="0"/>
        <w:rPr>
          <w:rFonts w:ascii="Swis721 Lt BT" w:hAnsi="Swis721 Lt BT" w:cs="Swis721 Lt BT" w:eastAsia="Swis721 Lt BT"/>
          <w:sz w:val="20"/>
          <w:szCs w:val="20"/>
        </w:rPr>
      </w:pPr>
    </w:p>
    <w:p>
      <w:pPr>
        <w:spacing w:line="240" w:lineRule="auto" w:before="10"/>
        <w:rPr>
          <w:rFonts w:ascii="Swis721 Lt BT" w:hAnsi="Swis721 Lt BT" w:cs="Swis721 Lt BT" w:eastAsia="Swis721 Lt BT"/>
          <w:sz w:val="18"/>
          <w:szCs w:val="18"/>
        </w:rPr>
      </w:pPr>
    </w:p>
    <w:p>
      <w:pPr>
        <w:spacing w:before="0"/>
        <w:ind w:left="110" w:right="0" w:firstLine="0"/>
        <w:jc w:val="left"/>
        <w:rPr>
          <w:rFonts w:ascii="Swis721 BT" w:hAnsi="Swis721 BT" w:cs="Swis721 BT" w:eastAsia="Swis721 BT"/>
          <w:sz w:val="24"/>
          <w:szCs w:val="24"/>
        </w:rPr>
      </w:pPr>
      <w:r>
        <w:rPr>
          <w:rFonts w:ascii="Swis721 Hv BT" w:hAnsi="Swis721 Hv BT" w:cs="Swis721 Hv BT" w:eastAsia="Swis721 Hv BT"/>
          <w:b/>
          <w:bCs/>
          <w:color w:val="005E63"/>
          <w:sz w:val="24"/>
          <w:szCs w:val="24"/>
        </w:rPr>
        <w:t>NOTE</w:t>
      </w:r>
      <w:r>
        <w:rPr>
          <w:rFonts w:ascii="Swis721 Hv BT" w:hAnsi="Swis721 Hv BT" w:cs="Swis721 Hv BT" w:eastAsia="Swis721 Hv BT"/>
          <w:b/>
          <w:bCs/>
          <w:color w:val="005E63"/>
          <w:spacing w:val="-3"/>
          <w:sz w:val="24"/>
          <w:szCs w:val="24"/>
        </w:rPr>
        <w:t> </w:t>
      </w:r>
      <w:r>
        <w:rPr>
          <w:rFonts w:ascii="Swis721 Hv BT" w:hAnsi="Swis721 Hv BT" w:cs="Swis721 Hv BT" w:eastAsia="Swis721 Hv BT"/>
          <w:b/>
          <w:bCs/>
          <w:color w:val="005E63"/>
          <w:sz w:val="24"/>
          <w:szCs w:val="24"/>
        </w:rPr>
        <w:t>13.</w:t>
      </w:r>
      <w:r>
        <w:rPr>
          <w:rFonts w:ascii="Swis721 Hv BT" w:hAnsi="Swis721 Hv BT" w:cs="Swis721 Hv BT" w:eastAsia="Swis721 Hv BT"/>
          <w:b/>
          <w:bCs/>
          <w:color w:val="005E63"/>
          <w:spacing w:val="-8"/>
          <w:sz w:val="24"/>
          <w:szCs w:val="24"/>
        </w:rPr>
        <w:t> </w:t>
      </w:r>
      <w:r>
        <w:rPr>
          <w:rFonts w:ascii="Swis721 BT" w:hAnsi="Swis721 BT" w:cs="Swis721 BT" w:eastAsia="Swis721 BT"/>
          <w:color w:val="005E63"/>
          <w:sz w:val="24"/>
          <w:szCs w:val="24"/>
        </w:rPr>
        <w:t>MEMBER’S</w:t>
      </w:r>
      <w:r>
        <w:rPr>
          <w:rFonts w:ascii="Swis721 BT" w:hAnsi="Swis721 BT" w:cs="Swis721 BT" w:eastAsia="Swis721 BT"/>
          <w:color w:val="005E63"/>
          <w:spacing w:val="-3"/>
          <w:sz w:val="24"/>
          <w:szCs w:val="24"/>
        </w:rPr>
        <w:t> </w:t>
      </w:r>
      <w:r>
        <w:rPr>
          <w:rFonts w:ascii="Swis721 BT" w:hAnsi="Swis721 BT" w:cs="Swis721 BT" w:eastAsia="Swis721 BT"/>
          <w:color w:val="005E63"/>
          <w:spacing w:val="-1"/>
          <w:sz w:val="24"/>
          <w:szCs w:val="24"/>
        </w:rPr>
        <w:t>GUARANTEE</w:t>
      </w:r>
      <w:r>
        <w:rPr>
          <w:rFonts w:ascii="Swis721 BT" w:hAnsi="Swis721 BT" w:cs="Swis721 BT" w:eastAsia="Swis721 BT"/>
          <w:sz w:val="24"/>
          <w:szCs w:val="24"/>
        </w:rPr>
      </w:r>
    </w:p>
    <w:p>
      <w:pPr>
        <w:pStyle w:val="BodyText"/>
        <w:spacing w:line="240" w:lineRule="auto" w:before="215"/>
        <w:ind w:right="0"/>
        <w:jc w:val="left"/>
      </w:pPr>
      <w:r>
        <w:rPr>
          <w:color w:val="231F20"/>
        </w:rPr>
        <w:t>Australian Institute for </w:t>
      </w:r>
      <w:r>
        <w:rPr>
          <w:color w:val="231F20"/>
          <w:spacing w:val="-26"/>
        </w:rPr>
        <w:t>T</w:t>
      </w:r>
      <w:r>
        <w:rPr>
          <w:color w:val="231F20"/>
        </w:rPr>
        <w:t>eaching and School Leadership Limited is incorporated under the</w:t>
      </w:r>
      <w:r>
        <w:rPr/>
      </w:r>
    </w:p>
    <w:p>
      <w:pPr>
        <w:spacing w:before="0"/>
        <w:ind w:left="110" w:right="0" w:firstLine="0"/>
        <w:jc w:val="left"/>
        <w:rPr>
          <w:rFonts w:ascii="Swis721 Lt BT" w:hAnsi="Swis721 Lt BT" w:cs="Swis721 Lt BT" w:eastAsia="Swis721 Lt BT"/>
          <w:sz w:val="19"/>
          <w:szCs w:val="19"/>
        </w:rPr>
      </w:pPr>
      <w:r>
        <w:rPr>
          <w:rFonts w:ascii="Swis721 Lt BT"/>
          <w:i/>
          <w:color w:val="231F20"/>
          <w:sz w:val="19"/>
        </w:rPr>
        <w:t>Australian Charities and </w:t>
      </w:r>
      <w:r>
        <w:rPr>
          <w:rFonts w:ascii="Swis721 Lt BT"/>
          <w:i/>
          <w:color w:val="231F20"/>
          <w:spacing w:val="-2"/>
          <w:sz w:val="19"/>
        </w:rPr>
        <w:t>Not-for-profit</w:t>
      </w:r>
      <w:r>
        <w:rPr>
          <w:rFonts w:ascii="Swis721 Lt BT"/>
          <w:i/>
          <w:color w:val="231F20"/>
          <w:sz w:val="19"/>
        </w:rPr>
        <w:t> Commission Act 2012 </w:t>
      </w:r>
      <w:r>
        <w:rPr>
          <w:rFonts w:ascii="Swis721 Lt BT"/>
          <w:color w:val="231F20"/>
          <w:sz w:val="19"/>
        </w:rPr>
        <w:t>and the </w:t>
      </w:r>
      <w:r>
        <w:rPr>
          <w:rFonts w:ascii="Swis721 Lt BT"/>
          <w:i/>
          <w:color w:val="231F20"/>
          <w:sz w:val="19"/>
        </w:rPr>
        <w:t>Corporations Act 2001</w:t>
      </w:r>
      <w:r>
        <w:rPr>
          <w:rFonts w:ascii="Swis721 Lt BT"/>
          <w:sz w:val="19"/>
        </w:rPr>
      </w:r>
    </w:p>
    <w:p>
      <w:pPr>
        <w:pStyle w:val="BodyText"/>
        <w:spacing w:line="240" w:lineRule="auto" w:before="0"/>
        <w:ind w:right="157"/>
        <w:jc w:val="left"/>
      </w:pPr>
      <w:r>
        <w:rPr>
          <w:color w:val="231F20"/>
        </w:rPr>
        <w:t>and is an entity limited by guarantee. If the entity is wound up, the constitution states that each member is required to contribute a maximum of $20 toward meeting any obligations of the </w:t>
      </w:r>
      <w:r>
        <w:rPr>
          <w:color w:val="231F20"/>
          <w:spacing w:val="-3"/>
        </w:rPr>
        <w:t>entity.</w:t>
      </w:r>
      <w:r>
        <w:rPr>
          <w:color w:val="231F20"/>
          <w:spacing w:val="26"/>
        </w:rPr>
        <w:t> </w:t>
      </w:r>
      <w:r>
        <w:rPr>
          <w:color w:val="231F20"/>
        </w:rPr>
        <w:t>At 30 June 2019 the number of members was one.</w:t>
      </w:r>
      <w:r>
        <w:rPr/>
      </w:r>
    </w:p>
    <w:p>
      <w:pPr>
        <w:spacing w:line="240" w:lineRule="auto" w:before="0"/>
        <w:rPr>
          <w:rFonts w:ascii="Swis721 Lt BT" w:hAnsi="Swis721 Lt BT" w:cs="Swis721 Lt BT" w:eastAsia="Swis721 Lt BT"/>
          <w:sz w:val="18"/>
          <w:szCs w:val="18"/>
        </w:rPr>
      </w:pPr>
    </w:p>
    <w:p>
      <w:pPr>
        <w:spacing w:line="240" w:lineRule="auto" w:before="9"/>
        <w:rPr>
          <w:rFonts w:ascii="Swis721 Lt BT" w:hAnsi="Swis721 Lt BT" w:cs="Swis721 Lt BT" w:eastAsia="Swis721 Lt BT"/>
          <w:sz w:val="25"/>
          <w:szCs w:val="25"/>
        </w:rPr>
      </w:pPr>
    </w:p>
    <w:p>
      <w:pPr>
        <w:spacing w:before="0"/>
        <w:ind w:left="110" w:right="0" w:firstLine="0"/>
        <w:jc w:val="left"/>
        <w:rPr>
          <w:rFonts w:ascii="Swis721 BT" w:hAnsi="Swis721 BT" w:cs="Swis721 BT" w:eastAsia="Swis721 BT"/>
          <w:sz w:val="24"/>
          <w:szCs w:val="24"/>
        </w:rPr>
      </w:pPr>
      <w:r>
        <w:rPr>
          <w:rFonts w:ascii="Swis721 Hv BT"/>
          <w:b/>
          <w:color w:val="005E63"/>
          <w:sz w:val="24"/>
        </w:rPr>
        <w:t>NOTE</w:t>
      </w:r>
      <w:r>
        <w:rPr>
          <w:rFonts w:ascii="Swis721 Hv BT"/>
          <w:b/>
          <w:color w:val="005E63"/>
          <w:spacing w:val="-3"/>
          <w:sz w:val="24"/>
        </w:rPr>
        <w:t> </w:t>
      </w:r>
      <w:r>
        <w:rPr>
          <w:rFonts w:ascii="Swis721 Hv BT"/>
          <w:b/>
          <w:color w:val="005E63"/>
          <w:sz w:val="24"/>
        </w:rPr>
        <w:t>14.</w:t>
      </w:r>
      <w:r>
        <w:rPr>
          <w:rFonts w:ascii="Swis721 Hv BT"/>
          <w:b/>
          <w:color w:val="005E63"/>
          <w:spacing w:val="-8"/>
          <w:sz w:val="24"/>
        </w:rPr>
        <w:t> </w:t>
      </w:r>
      <w:r>
        <w:rPr>
          <w:rFonts w:ascii="Swis721 BT"/>
          <w:color w:val="005E63"/>
          <w:sz w:val="24"/>
        </w:rPr>
        <w:t>ENTITY</w:t>
      </w:r>
      <w:r>
        <w:rPr>
          <w:rFonts w:ascii="Swis721 BT"/>
          <w:color w:val="005E63"/>
          <w:spacing w:val="-2"/>
          <w:sz w:val="24"/>
        </w:rPr>
        <w:t> DETAILS</w:t>
      </w:r>
      <w:r>
        <w:rPr>
          <w:rFonts w:ascii="Swis721 BT"/>
          <w:sz w:val="24"/>
        </w:rPr>
      </w:r>
    </w:p>
    <w:p>
      <w:pPr>
        <w:pStyle w:val="BodyText"/>
        <w:spacing w:line="240" w:lineRule="auto" w:before="215"/>
        <w:ind w:right="296"/>
        <w:jc w:val="left"/>
      </w:pPr>
      <w:r>
        <w:rPr>
          <w:color w:val="231F20"/>
        </w:rPr>
        <w:t>Australian</w:t>
      </w:r>
      <w:r>
        <w:rPr>
          <w:color w:val="231F20"/>
          <w:spacing w:val="-1"/>
        </w:rPr>
        <w:t> </w:t>
      </w:r>
      <w:r>
        <w:rPr>
          <w:color w:val="231F20"/>
        </w:rPr>
        <w:t>Institute for</w:t>
      </w:r>
      <w:r>
        <w:rPr>
          <w:color w:val="231F20"/>
          <w:spacing w:val="-1"/>
        </w:rPr>
        <w:t> </w:t>
      </w:r>
      <w:r>
        <w:rPr>
          <w:color w:val="231F20"/>
          <w:spacing w:val="-26"/>
        </w:rPr>
        <w:t>T</w:t>
      </w:r>
      <w:r>
        <w:rPr>
          <w:color w:val="231F20"/>
        </w:rPr>
        <w:t>eaching and School</w:t>
      </w:r>
      <w:r>
        <w:rPr>
          <w:color w:val="231F20"/>
          <w:spacing w:val="-1"/>
        </w:rPr>
        <w:t> </w:t>
      </w:r>
      <w:r>
        <w:rPr>
          <w:color w:val="231F20"/>
        </w:rPr>
        <w:t>Leadership Limited has</w:t>
      </w:r>
      <w:r>
        <w:rPr>
          <w:color w:val="231F20"/>
          <w:spacing w:val="-1"/>
        </w:rPr>
        <w:t> </w:t>
      </w:r>
      <w:r>
        <w:rPr>
          <w:color w:val="231F20"/>
        </w:rPr>
        <w:t>its head office</w:t>
      </w:r>
      <w:r>
        <w:rPr>
          <w:color w:val="231F20"/>
          <w:spacing w:val="-1"/>
        </w:rPr>
        <w:t> </w:t>
      </w:r>
      <w:r>
        <w:rPr>
          <w:color w:val="231F20"/>
        </w:rPr>
        <w:t>and principal</w:t>
      </w:r>
      <w:r>
        <w:rPr>
          <w:color w:val="231F20"/>
        </w:rPr>
        <w:t> place of business located at Level 8, 440 Collins Street, Melbourne, Victoria. AITSL is a </w:t>
      </w:r>
      <w:r>
        <w:rPr>
          <w:color w:val="231F20"/>
          <w:spacing w:val="-2"/>
        </w:rPr>
        <w:t>not-for-</w:t>
      </w:r>
      <w:r>
        <w:rPr>
          <w:color w:val="231F20"/>
          <w:spacing w:val="21"/>
        </w:rPr>
        <w:t> </w:t>
      </w:r>
      <w:r>
        <w:rPr>
          <w:color w:val="231F20"/>
        </w:rPr>
        <w:t>profit</w:t>
      </w:r>
      <w:r>
        <w:rPr>
          <w:color w:val="231F20"/>
          <w:spacing w:val="-2"/>
        </w:rPr>
        <w:t> </w:t>
      </w:r>
      <w:r>
        <w:rPr>
          <w:color w:val="231F20"/>
        </w:rPr>
        <w:t>company</w:t>
      </w:r>
      <w:r>
        <w:rPr>
          <w:color w:val="231F20"/>
          <w:spacing w:val="-1"/>
        </w:rPr>
        <w:t> </w:t>
      </w:r>
      <w:r>
        <w:rPr>
          <w:color w:val="231F20"/>
        </w:rPr>
        <w:t>limited</w:t>
      </w:r>
      <w:r>
        <w:rPr>
          <w:color w:val="231F20"/>
          <w:spacing w:val="-1"/>
        </w:rPr>
        <w:t> </w:t>
      </w:r>
      <w:r>
        <w:rPr>
          <w:color w:val="231F20"/>
        </w:rPr>
        <w:t>by</w:t>
      </w:r>
      <w:r>
        <w:rPr>
          <w:color w:val="231F20"/>
          <w:spacing w:val="-1"/>
        </w:rPr>
        <w:t> </w:t>
      </w:r>
      <w:r>
        <w:rPr>
          <w:color w:val="231F20"/>
        </w:rPr>
        <w:t>Guarantee.</w:t>
      </w:r>
      <w:r>
        <w:rPr/>
      </w:r>
    </w:p>
    <w:p>
      <w:pPr>
        <w:spacing w:after="0" w:line="240" w:lineRule="auto"/>
        <w:jc w:val="left"/>
        <w:sectPr>
          <w:type w:val="continuous"/>
          <w:pgSz w:w="9980" w:h="14180"/>
          <w:pgMar w:top="0" w:bottom="280" w:left="740" w:right="1020"/>
        </w:sectPr>
      </w:pPr>
    </w:p>
    <w:p>
      <w:pPr>
        <w:spacing w:before="58"/>
        <w:ind w:left="0" w:right="108" w:firstLine="0"/>
        <w:jc w:val="right"/>
        <w:rPr>
          <w:rFonts w:ascii="Swis721 Lt BT" w:hAnsi="Swis721 Lt BT" w:cs="Swis721 Lt BT" w:eastAsia="Swis721 Lt BT"/>
          <w:sz w:val="14"/>
          <w:szCs w:val="14"/>
        </w:rPr>
      </w:pPr>
      <w:bookmarkStart w:name="CONSULTATION GROUPS" w:id="42"/>
      <w:bookmarkEnd w:id="42"/>
      <w:r>
        <w:rPr/>
      </w:r>
      <w:bookmarkStart w:name="SCHOOL LEADERSHIP AND TEACHING EXPERT ST" w:id="43"/>
      <w:bookmarkEnd w:id="43"/>
      <w:r>
        <w:rPr/>
      </w: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16"/>
          <w:szCs w:val="16"/>
        </w:rPr>
      </w:pPr>
    </w:p>
    <w:p>
      <w:pPr>
        <w:pStyle w:val="Heading2"/>
        <w:spacing w:line="240" w:lineRule="auto"/>
        <w:ind w:left="113" w:right="0"/>
        <w:jc w:val="left"/>
        <w:rPr>
          <w:b w:val="0"/>
          <w:bCs w:val="0"/>
        </w:rPr>
      </w:pPr>
      <w:bookmarkStart w:name="_TOC_250001" w:id="44"/>
      <w:r>
        <w:rPr>
          <w:color w:val="005E63"/>
        </w:rPr>
        <w:t>CONSU</w:t>
      </w:r>
      <w:r>
        <w:rPr>
          <w:color w:val="005E63"/>
          <w:spacing w:val="-34"/>
        </w:rPr>
        <w:t>L</w:t>
      </w:r>
      <w:r>
        <w:rPr>
          <w:color w:val="005E63"/>
          <w:spacing w:val="-15"/>
        </w:rPr>
        <w:t>TA</w:t>
      </w:r>
      <w:r>
        <w:rPr>
          <w:color w:val="005E63"/>
        </w:rPr>
        <w:t>TION GROUPS</w:t>
      </w:r>
      <w:bookmarkEnd w:id="44"/>
      <w:r>
        <w:rPr>
          <w:b w:val="0"/>
        </w:rPr>
      </w:r>
    </w:p>
    <w:p>
      <w:pPr>
        <w:spacing w:line="240" w:lineRule="auto" w:before="7"/>
        <w:rPr>
          <w:rFonts w:ascii="Swis721 BT" w:hAnsi="Swis721 BT" w:cs="Swis721 BT" w:eastAsia="Swis721 BT"/>
          <w:b/>
          <w:bCs/>
          <w:sz w:val="39"/>
          <w:szCs w:val="39"/>
        </w:rPr>
      </w:pPr>
    </w:p>
    <w:p>
      <w:pPr>
        <w:pStyle w:val="Heading5"/>
        <w:spacing w:line="241" w:lineRule="auto"/>
        <w:ind w:left="113" w:right="466"/>
        <w:jc w:val="left"/>
        <w:rPr>
          <w:b w:val="0"/>
          <w:bCs w:val="0"/>
        </w:rPr>
      </w:pPr>
      <w:r>
        <w:rPr>
          <w:color w:val="005E63"/>
        </w:rPr>
        <w:t>SCHOOL LEADERSHIP AND TEACHING EXPERT </w:t>
      </w:r>
      <w:r>
        <w:rPr>
          <w:color w:val="005E63"/>
          <w:spacing w:val="-2"/>
        </w:rPr>
        <w:t>STANDING</w:t>
      </w:r>
      <w:r>
        <w:rPr>
          <w:color w:val="005E63"/>
          <w:spacing w:val="27"/>
        </w:rPr>
        <w:t> </w:t>
      </w:r>
      <w:r>
        <w:rPr>
          <w:color w:val="005E63"/>
        </w:rPr>
        <w:t>COMMITTEE</w:t>
      </w:r>
      <w:r>
        <w:rPr>
          <w:b w:val="0"/>
        </w:rPr>
      </w:r>
    </w:p>
    <w:p>
      <w:pPr>
        <w:pStyle w:val="BodyText"/>
        <w:spacing w:line="240" w:lineRule="auto" w:before="213"/>
        <w:ind w:left="113" w:right="157"/>
        <w:jc w:val="left"/>
      </w:pPr>
      <w:r>
        <w:rPr>
          <w:color w:val="231F20"/>
        </w:rPr>
        <w:t>The AITSL Board combined the School Leadership Expert Standing Committee (SLESC) and the </w:t>
      </w:r>
      <w:r>
        <w:rPr>
          <w:color w:val="231F20"/>
          <w:spacing w:val="-26"/>
        </w:rPr>
        <w:t>T</w:t>
      </w:r>
      <w:r>
        <w:rPr>
          <w:color w:val="231F20"/>
        </w:rPr>
        <w:t>eaching Expert Standing Committee (TESC) at the end of 2018 to form the School Leadership</w:t>
      </w:r>
      <w:r>
        <w:rPr>
          <w:color w:val="231F20"/>
        </w:rPr>
        <w:t> and </w:t>
      </w:r>
      <w:r>
        <w:rPr>
          <w:color w:val="231F20"/>
          <w:spacing w:val="-26"/>
        </w:rPr>
        <w:t>T</w:t>
      </w:r>
      <w:r>
        <w:rPr>
          <w:color w:val="231F20"/>
        </w:rPr>
        <w:t>eaching Expert Standing Committee (S</w:t>
      </w:r>
      <w:r>
        <w:rPr>
          <w:color w:val="231F20"/>
          <w:spacing w:val="-16"/>
        </w:rPr>
        <w:t>L</w:t>
      </w:r>
      <w:r>
        <w:rPr>
          <w:color w:val="231F20"/>
        </w:rPr>
        <w:t>TESC).</w:t>
      </w:r>
      <w:r>
        <w:rPr/>
      </w:r>
    </w:p>
    <w:p>
      <w:pPr>
        <w:pStyle w:val="BodyText"/>
        <w:spacing w:line="240" w:lineRule="auto"/>
        <w:ind w:left="113" w:right="466"/>
        <w:jc w:val="left"/>
      </w:pPr>
      <w:r>
        <w:rPr>
          <w:color w:val="231F20"/>
        </w:rPr>
        <w:t>The </w:t>
      </w:r>
      <w:r>
        <w:rPr>
          <w:color w:val="231F20"/>
          <w:spacing w:val="-3"/>
        </w:rPr>
        <w:t>SLTESC</w:t>
      </w:r>
      <w:r>
        <w:rPr>
          <w:color w:val="231F20"/>
        </w:rPr>
        <w:t> advises AITSL on work it is progressing to promote excellence in teaching and</w:t>
      </w:r>
      <w:r>
        <w:rPr>
          <w:color w:val="231F20"/>
          <w:spacing w:val="22"/>
        </w:rPr>
        <w:t> </w:t>
      </w:r>
      <w:r>
        <w:rPr>
          <w:color w:val="231F20"/>
        </w:rPr>
        <w:t>school leadership to maximise impact on student learning in all Australian schools.</w:t>
      </w:r>
      <w:r>
        <w:rPr/>
      </w:r>
    </w:p>
    <w:p>
      <w:pPr>
        <w:pStyle w:val="BodyText"/>
        <w:spacing w:line="240" w:lineRule="auto"/>
        <w:ind w:left="113" w:right="0"/>
        <w:jc w:val="left"/>
      </w:pPr>
      <w:r>
        <w:rPr>
          <w:color w:val="231F20"/>
        </w:rPr>
        <w:t>The </w:t>
      </w:r>
      <w:r>
        <w:rPr>
          <w:color w:val="231F20"/>
          <w:spacing w:val="-2"/>
        </w:rPr>
        <w:t>SLTESC:</w:t>
      </w:r>
      <w:r>
        <w:rPr/>
      </w:r>
    </w:p>
    <w:p>
      <w:pPr>
        <w:pStyle w:val="BodyText"/>
        <w:spacing w:line="240" w:lineRule="auto"/>
        <w:ind w:left="340" w:right="736" w:hanging="227"/>
        <w:jc w:val="left"/>
      </w:pPr>
      <w:r>
        <w:rPr>
          <w:rFonts w:ascii="Arial" w:hAnsi="Arial"/>
          <w:color w:val="00757A"/>
        </w:rPr>
        <w:t>ϐ </w:t>
      </w:r>
      <w:r>
        <w:rPr>
          <w:rFonts w:ascii="Arial" w:hAnsi="Arial"/>
          <w:color w:val="00757A"/>
          <w:spacing w:val="7"/>
        </w:rPr>
        <w:t> </w:t>
      </w:r>
      <w:r>
        <w:rPr>
          <w:color w:val="231F20"/>
        </w:rPr>
        <w:t>advises</w:t>
      </w:r>
      <w:r>
        <w:rPr>
          <w:color w:val="231F20"/>
          <w:spacing w:val="1"/>
        </w:rPr>
        <w:t> </w:t>
      </w:r>
      <w:r>
        <w:rPr>
          <w:color w:val="231F20"/>
        </w:rPr>
        <w:t>on, and helps quality</w:t>
      </w:r>
      <w:r>
        <w:rPr>
          <w:color w:val="231F20"/>
          <w:spacing w:val="1"/>
        </w:rPr>
        <w:t> </w:t>
      </w:r>
      <w:r>
        <w:rPr>
          <w:color w:val="231F20"/>
        </w:rPr>
        <w:t>assure, the development</w:t>
      </w:r>
      <w:r>
        <w:rPr>
          <w:color w:val="231F20"/>
          <w:spacing w:val="1"/>
        </w:rPr>
        <w:t> </w:t>
      </w:r>
      <w:r>
        <w:rPr>
          <w:color w:val="231F20"/>
        </w:rPr>
        <w:t>of policies, resources,</w:t>
      </w:r>
      <w:r>
        <w:rPr>
          <w:color w:val="231F20"/>
          <w:spacing w:val="1"/>
        </w:rPr>
        <w:t> </w:t>
      </w:r>
      <w:r>
        <w:rPr>
          <w:color w:val="231F20"/>
        </w:rPr>
        <w:t>and other</w:t>
      </w:r>
      <w:r>
        <w:rPr>
          <w:color w:val="231F20"/>
        </w:rPr>
        <w:t> </w:t>
      </w:r>
      <w:r>
        <w:rPr>
          <w:color w:val="231F20"/>
          <w:spacing w:val="-3"/>
        </w:rPr>
        <w:t>AITSL-led</w:t>
      </w:r>
      <w:r>
        <w:rPr>
          <w:color w:val="231F20"/>
        </w:rPr>
        <w:t> initiatives that support teachers and school leaders</w:t>
      </w:r>
      <w:r>
        <w:rPr/>
      </w:r>
    </w:p>
    <w:p>
      <w:pPr>
        <w:pStyle w:val="BodyText"/>
        <w:spacing w:line="240" w:lineRule="auto"/>
        <w:ind w:left="340" w:right="298" w:hanging="227"/>
        <w:jc w:val="left"/>
      </w:pPr>
      <w:r>
        <w:rPr>
          <w:rFonts w:ascii="Arial" w:hAnsi="Arial"/>
          <w:color w:val="00757A"/>
        </w:rPr>
        <w:t>ϐ </w:t>
      </w:r>
      <w:r>
        <w:rPr>
          <w:rFonts w:ascii="Arial" w:hAnsi="Arial"/>
          <w:color w:val="00757A"/>
          <w:spacing w:val="7"/>
        </w:rPr>
        <w:t> </w:t>
      </w:r>
      <w:r>
        <w:rPr>
          <w:color w:val="231F20"/>
        </w:rPr>
        <w:t>provides</w:t>
      </w:r>
      <w:r>
        <w:rPr>
          <w:color w:val="231F20"/>
          <w:spacing w:val="1"/>
        </w:rPr>
        <w:t> </w:t>
      </w:r>
      <w:r>
        <w:rPr>
          <w:color w:val="231F20"/>
        </w:rPr>
        <w:t>timely advice to AITSL</w:t>
      </w:r>
      <w:r>
        <w:rPr>
          <w:color w:val="231F20"/>
          <w:spacing w:val="1"/>
        </w:rPr>
        <w:t> </w:t>
      </w:r>
      <w:r>
        <w:rPr>
          <w:color w:val="231F20"/>
        </w:rPr>
        <w:t>management on the</w:t>
      </w:r>
      <w:r>
        <w:rPr>
          <w:color w:val="231F20"/>
          <w:spacing w:val="1"/>
        </w:rPr>
        <w:t> </w:t>
      </w:r>
      <w:r>
        <w:rPr>
          <w:color w:val="231F20"/>
        </w:rPr>
        <w:t>items presented at</w:t>
      </w:r>
      <w:r>
        <w:rPr>
          <w:color w:val="231F20"/>
          <w:spacing w:val="1"/>
        </w:rPr>
        <w:t> </w:t>
      </w:r>
      <w:r>
        <w:rPr>
          <w:color w:val="231F20"/>
        </w:rPr>
        <w:t>the Committee</w:t>
      </w:r>
      <w:r>
        <w:rPr>
          <w:color w:val="231F20"/>
        </w:rPr>
        <w:t> meetings and progressed to the AITSL Board</w:t>
      </w:r>
      <w:r>
        <w:rPr/>
      </w:r>
    </w:p>
    <w:p>
      <w:pPr>
        <w:pStyle w:val="BodyText"/>
        <w:spacing w:line="240" w:lineRule="auto"/>
        <w:ind w:left="114" w:right="0"/>
        <w:jc w:val="left"/>
      </w:pPr>
      <w:r>
        <w:rPr>
          <w:rFonts w:ascii="Arial" w:hAnsi="Arial"/>
          <w:color w:val="00757A"/>
        </w:rPr>
        <w:t>ϐ </w:t>
      </w:r>
      <w:r>
        <w:rPr>
          <w:rFonts w:ascii="Arial" w:hAnsi="Arial"/>
          <w:color w:val="00757A"/>
          <w:spacing w:val="7"/>
        </w:rPr>
        <w:t> </w:t>
      </w:r>
      <w:r>
        <w:rPr>
          <w:color w:val="231F20"/>
        </w:rPr>
        <w:t>gathers</w:t>
      </w:r>
      <w:r>
        <w:rPr>
          <w:color w:val="231F20"/>
          <w:spacing w:val="1"/>
        </w:rPr>
        <w:t> </w:t>
      </w:r>
      <w:r>
        <w:rPr>
          <w:color w:val="231F20"/>
        </w:rPr>
        <w:t>advice and opinions</w:t>
      </w:r>
      <w:r>
        <w:rPr>
          <w:color w:val="231F20"/>
          <w:spacing w:val="1"/>
        </w:rPr>
        <w:t> </w:t>
      </w:r>
      <w:r>
        <w:rPr>
          <w:color w:val="231F20"/>
        </w:rPr>
        <w:t>from the sector</w:t>
      </w:r>
      <w:r>
        <w:rPr>
          <w:color w:val="231F20"/>
          <w:spacing w:val="1"/>
        </w:rPr>
        <w:t> </w:t>
      </w:r>
      <w:r>
        <w:rPr>
          <w:color w:val="231F20"/>
        </w:rPr>
        <w:t>to inform developing</w:t>
      </w:r>
      <w:r>
        <w:rPr>
          <w:color w:val="231F20"/>
          <w:spacing w:val="1"/>
        </w:rPr>
        <w:t> </w:t>
      </w:r>
      <w:r>
        <w:rPr>
          <w:color w:val="231F20"/>
        </w:rPr>
        <w:t>work programs.</w:t>
      </w:r>
      <w:r>
        <w:rPr/>
      </w:r>
    </w:p>
    <w:p>
      <w:pPr>
        <w:spacing w:line="240" w:lineRule="auto" w:before="8"/>
        <w:rPr>
          <w:rFonts w:ascii="Swis721 Lt BT" w:hAnsi="Swis721 Lt BT" w:cs="Swis721 Lt BT" w:eastAsia="Swis721 Lt BT"/>
          <w:sz w:val="28"/>
          <w:szCs w:val="28"/>
        </w:rPr>
      </w:pPr>
    </w:p>
    <w:p>
      <w:pPr>
        <w:pStyle w:val="Heading8"/>
        <w:spacing w:line="240" w:lineRule="auto" w:before="0"/>
        <w:ind w:left="113" w:right="0"/>
        <w:jc w:val="left"/>
      </w:pPr>
      <w:r>
        <w:rPr>
          <w:color w:val="00757A"/>
          <w:spacing w:val="-4"/>
        </w:rPr>
        <w:t>SLTESC</w:t>
      </w:r>
      <w:r>
        <w:rPr>
          <w:color w:val="00757A"/>
        </w:rPr>
        <w:t> members:</w:t>
      </w:r>
      <w:r>
        <w:rPr/>
      </w:r>
    </w:p>
    <w:p>
      <w:pPr>
        <w:spacing w:line="240" w:lineRule="auto" w:before="10"/>
        <w:rPr>
          <w:rFonts w:ascii="Swis721 Md BT" w:hAnsi="Swis721 Md BT" w:cs="Swis721 Md BT" w:eastAsia="Swis721 Md BT"/>
          <w:sz w:val="11"/>
          <w:szCs w:val="11"/>
        </w:rPr>
      </w:pPr>
    </w:p>
    <w:p>
      <w:pPr>
        <w:spacing w:line="200" w:lineRule="atLeast"/>
        <w:ind w:left="113" w:right="0" w:firstLine="0"/>
        <w:rPr>
          <w:rFonts w:ascii="Swis721 Md BT" w:hAnsi="Swis721 Md BT" w:cs="Swis721 Md BT" w:eastAsia="Swis721 Md BT"/>
          <w:sz w:val="20"/>
          <w:szCs w:val="20"/>
        </w:rPr>
      </w:pPr>
      <w:r>
        <w:rPr>
          <w:rFonts w:ascii="Swis721 Md BT" w:hAnsi="Swis721 Md BT" w:cs="Swis721 Md BT" w:eastAsia="Swis721 Md BT"/>
          <w:sz w:val="20"/>
          <w:szCs w:val="20"/>
        </w:rPr>
        <w:pict>
          <v:shape style="width:399.45pt;height:21.85pt;mso-position-horizontal-relative:char;mso-position-vertical-relative:line" type="#_x0000_t202" filled="true" fillcolor="#bfd22b" stroked="false">
            <v:textbox inset="0,0,0,0">
              <w:txbxContent>
                <w:p>
                  <w:pPr>
                    <w:tabs>
                      <w:tab w:pos="2380" w:val="left" w:leader="none"/>
                    </w:tabs>
                    <w:spacing w:before="83"/>
                    <w:ind w:left="113" w:right="0" w:firstLine="0"/>
                    <w:jc w:val="left"/>
                    <w:rPr>
                      <w:rFonts w:ascii="Swis721 Md BT" w:hAnsi="Swis721 Md BT" w:cs="Swis721 Md BT" w:eastAsia="Swis721 Md BT"/>
                      <w:sz w:val="19"/>
                      <w:szCs w:val="19"/>
                    </w:rPr>
                  </w:pPr>
                  <w:r>
                    <w:rPr>
                      <w:rFonts w:ascii="Swis721 Md BT"/>
                      <w:color w:val="231F20"/>
                      <w:sz w:val="19"/>
                    </w:rPr>
                    <w:t>Member</w:t>
                    <w:tab/>
                    <w:t>Organisation</w:t>
                  </w:r>
                  <w:r>
                    <w:rPr>
                      <w:rFonts w:ascii="Swis721 Md BT"/>
                      <w:sz w:val="19"/>
                    </w:rPr>
                  </w:r>
                </w:p>
              </w:txbxContent>
            </v:textbox>
            <v:fill type="solid"/>
            <w10:wrap type="none"/>
          </v:shape>
        </w:pict>
      </w:r>
      <w:r>
        <w:rPr>
          <w:rFonts w:ascii="Swis721 Md BT" w:hAnsi="Swis721 Md BT" w:cs="Swis721 Md BT" w:eastAsia="Swis721 Md BT"/>
          <w:sz w:val="20"/>
          <w:szCs w:val="20"/>
        </w:rPr>
      </w:r>
    </w:p>
    <w:p>
      <w:pPr>
        <w:pStyle w:val="BodyText"/>
        <w:tabs>
          <w:tab w:pos="2494" w:val="left" w:leader="none"/>
        </w:tabs>
        <w:spacing w:line="240" w:lineRule="auto" w:before="83"/>
        <w:ind w:left="227" w:right="0"/>
        <w:jc w:val="left"/>
      </w:pPr>
      <w:r>
        <w:rPr/>
        <w:pict>
          <v:group style="position:absolute;margin-left:56.692898pt;margin-top:18.970657pt;width:399.45pt;height:.1pt;mso-position-horizontal-relative:page;mso-position-vertical-relative:paragraph;z-index:4768" coordorigin="1134,379" coordsize="7989,2">
            <v:shape style="position:absolute;left:1134;top:379;width:7989;height:2" coordorigin="1134,379" coordsize="7989,0" path="m1134,379l9123,379e" filled="false" stroked="true" strokeweight=".3pt" strokecolor="#71797f">
              <v:path arrowok="t"/>
            </v:shape>
            <w10:wrap type="none"/>
          </v:group>
        </w:pict>
      </w:r>
      <w:r>
        <w:rPr>
          <w:color w:val="231F20"/>
        </w:rPr>
        <w:t>Mr Rob Nairn (Chair)</w:t>
        <w:tab/>
        <w:t>AITSL Board Director</w:t>
      </w:r>
      <w:r>
        <w:rPr/>
      </w:r>
    </w:p>
    <w:p>
      <w:pPr>
        <w:spacing w:after="0" w:line="240" w:lineRule="auto"/>
        <w:jc w:val="left"/>
        <w:sectPr>
          <w:pgSz w:w="9980" w:h="14180"/>
          <w:pgMar w:header="0" w:footer="452" w:top="360" w:bottom="640" w:left="1020" w:right="740"/>
        </w:sectPr>
      </w:pPr>
    </w:p>
    <w:p>
      <w:pPr>
        <w:pStyle w:val="BodyText"/>
        <w:spacing w:line="240" w:lineRule="auto" w:before="151"/>
        <w:ind w:left="227" w:right="0"/>
        <w:jc w:val="left"/>
      </w:pPr>
      <w:r>
        <w:rPr/>
        <w:pict>
          <v:group style="position:absolute;margin-left:56.692898pt;margin-top:33.770966pt;width:399.45pt;height:.1pt;mso-position-horizontal-relative:page;mso-position-vertical-relative:paragraph;z-index:-180856" coordorigin="1134,675" coordsize="7989,2">
            <v:shape style="position:absolute;left:1134;top:675;width:7989;height:2" coordorigin="1134,675" coordsize="7989,0" path="m1134,675l9123,675e" filled="false" stroked="true" strokeweight=".3pt" strokecolor="#71797f">
              <v:path arrowok="t"/>
            </v:shape>
            <w10:wrap type="none"/>
          </v:group>
        </w:pict>
      </w:r>
      <w:r>
        <w:rPr>
          <w:color w:val="231F20"/>
        </w:rPr>
        <w:t>Ms Renez Lammon (Observer)</w:t>
      </w:r>
      <w:r>
        <w:rPr/>
      </w:r>
    </w:p>
    <w:p>
      <w:pPr>
        <w:pStyle w:val="BodyText"/>
        <w:spacing w:line="240" w:lineRule="auto" w:before="151"/>
        <w:ind w:left="227" w:right="0"/>
        <w:jc w:val="left"/>
      </w:pPr>
      <w:r>
        <w:rPr/>
        <w:pict>
          <v:group style="position:absolute;margin-left:56.692898pt;margin-top:33.771358pt;width:399.45pt;height:.1pt;mso-position-horizontal-relative:page;mso-position-vertical-relative:paragraph;z-index:-180832" coordorigin="1134,675" coordsize="7989,2">
            <v:shape style="position:absolute;left:1134;top:675;width:7989;height:2" coordorigin="1134,675" coordsize="7989,0" path="m1134,675l9123,675e" filled="false" stroked="true" strokeweight=".3pt" strokecolor="#71797f">
              <v:path arrowok="t"/>
            </v:shape>
            <w10:wrap type="none"/>
          </v:group>
        </w:pict>
      </w:r>
      <w:r>
        <w:rPr>
          <w:color w:val="231F20"/>
        </w:rPr>
        <w:t>Mr Mark Mowbray (Observer)</w:t>
      </w:r>
      <w:r>
        <w:rPr/>
      </w:r>
    </w:p>
    <w:p>
      <w:pPr>
        <w:pStyle w:val="BodyText"/>
        <w:spacing w:line="240" w:lineRule="auto" w:before="151"/>
        <w:ind w:left="227" w:right="0"/>
        <w:jc w:val="left"/>
      </w:pPr>
      <w:r>
        <w:rPr>
          <w:color w:val="231F20"/>
        </w:rPr>
        <w:t>Ms Christine Crowther (Observer)</w:t>
      </w:r>
      <w:r>
        <w:rPr/>
      </w:r>
    </w:p>
    <w:p>
      <w:pPr>
        <w:pStyle w:val="BodyText"/>
        <w:spacing w:line="640" w:lineRule="auto" w:before="151"/>
        <w:ind w:left="227" w:right="4000"/>
        <w:jc w:val="left"/>
      </w:pPr>
      <w:r>
        <w:rPr/>
        <w:br w:type="column"/>
      </w:r>
      <w:r>
        <w:rPr>
          <w:color w:val="231F20"/>
        </w:rPr>
        <w:t>AITSL Board Director</w:t>
      </w:r>
      <w:r>
        <w:rPr>
          <w:color w:val="231F20"/>
        </w:rPr>
        <w:t> AITSL Board Director</w:t>
      </w:r>
      <w:r>
        <w:rPr/>
      </w:r>
    </w:p>
    <w:p>
      <w:pPr>
        <w:pStyle w:val="BodyText"/>
        <w:spacing w:line="240" w:lineRule="auto" w:before="0"/>
        <w:ind w:left="227" w:right="0"/>
        <w:jc w:val="left"/>
      </w:pPr>
      <w:r>
        <w:rPr>
          <w:color w:val="231F20"/>
        </w:rPr>
        <w:t>Australian Department of Education</w:t>
      </w:r>
      <w:r>
        <w:rPr/>
      </w:r>
    </w:p>
    <w:p>
      <w:pPr>
        <w:spacing w:after="0" w:line="240" w:lineRule="auto"/>
        <w:jc w:val="left"/>
        <w:sectPr>
          <w:type w:val="continuous"/>
          <w:pgSz w:w="9980" w:h="14180"/>
          <w:pgMar w:top="0" w:bottom="280" w:left="1020" w:right="740"/>
          <w:cols w:num="2" w:equalWidth="0">
            <w:col w:w="2038" w:space="230"/>
            <w:col w:w="5952"/>
          </w:cols>
        </w:sectPr>
      </w:pP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399.75pt;height:.3pt;mso-position-horizontal-relative:char;mso-position-vertical-relative:line" coordorigin="0,0" coordsize="7995,6">
            <v:group style="position:absolute;left:3;top:3;width:7989;height:2" coordorigin="3,3" coordsize="7989,2">
              <v:shape style="position:absolute;left:3;top:3;width:7989;height:2" coordorigin="3,3" coordsize="7989,0" path="m3,3l7992,3e" filled="false" stroked="true" strokeweight=".3pt" strokecolor="#71797f">
                <v:path arrowok="t"/>
              </v:shape>
            </v:group>
          </v:group>
        </w:pict>
      </w:r>
      <w:r>
        <w:rPr>
          <w:rFonts w:ascii="Swis721 Lt BT" w:hAnsi="Swis721 Lt BT" w:cs="Swis721 Lt BT" w:eastAsia="Swis721 Lt BT"/>
          <w:sz w:val="2"/>
          <w:szCs w:val="2"/>
        </w:rPr>
      </w:r>
    </w:p>
    <w:p>
      <w:pPr>
        <w:pStyle w:val="BodyText"/>
        <w:tabs>
          <w:tab w:pos="2494" w:val="left" w:leader="none"/>
        </w:tabs>
        <w:spacing w:line="399" w:lineRule="auto" w:before="56"/>
        <w:ind w:left="227" w:right="2216"/>
        <w:jc w:val="left"/>
      </w:pPr>
      <w:r>
        <w:rPr/>
        <w:pict>
          <v:group style="position:absolute;margin-left:56.692898pt;margin-top:17.621948pt;width:399.45pt;height:.1pt;mso-position-horizontal-relative:page;mso-position-vertical-relative:paragraph;z-index:-180808" coordorigin="1134,352" coordsize="7989,2">
            <v:shape style="position:absolute;left:1134;top:352;width:7989;height:2" coordorigin="1134,352" coordsize="7989,0" path="m1134,352l9123,352e" filled="false" stroked="true" strokeweight=".3pt" strokecolor="#71797f">
              <v:path arrowok="t"/>
            </v:shape>
            <w10:wrap type="none"/>
          </v:group>
        </w:pict>
      </w:r>
      <w:r>
        <w:rPr/>
        <w:pict>
          <v:group style="position:absolute;margin-left:56.692898pt;margin-top:36.593761pt;width:399.45pt;height:.1pt;mso-position-horizontal-relative:page;mso-position-vertical-relative:paragraph;z-index:-180784" coordorigin="1134,732" coordsize="7989,2">
            <v:shape style="position:absolute;left:1134;top:732;width:7989;height:2" coordorigin="1134,732" coordsize="7989,0" path="m1134,732l9123,732e" filled="false" stroked="true" strokeweight=".3pt" strokecolor="#71797f">
              <v:path arrowok="t"/>
            </v:shape>
            <w10:wrap type="none"/>
          </v:group>
        </w:pict>
      </w:r>
      <w:r>
        <w:rPr>
          <w:color w:val="231F20"/>
        </w:rPr>
        <w:t>Ms </w:t>
      </w:r>
      <w:r>
        <w:rPr>
          <w:color w:val="231F20"/>
          <w:spacing w:val="-2"/>
        </w:rPr>
        <w:t>Penny</w:t>
      </w:r>
      <w:r>
        <w:rPr>
          <w:color w:val="231F20"/>
        </w:rPr>
        <w:t> </w:t>
      </w:r>
      <w:r>
        <w:rPr>
          <w:color w:val="231F20"/>
          <w:spacing w:val="-3"/>
        </w:rPr>
        <w:t>Tranter</w:t>
        <w:tab/>
      </w:r>
      <w:r>
        <w:rPr>
          <w:color w:val="231F20"/>
        </w:rPr>
        <w:t>South Australia Department of Education</w:t>
      </w:r>
      <w:r>
        <w:rPr>
          <w:color w:val="231F20"/>
          <w:spacing w:val="26"/>
        </w:rPr>
        <w:t> </w:t>
      </w:r>
      <w:r>
        <w:rPr>
          <w:color w:val="231F20"/>
        </w:rPr>
        <w:t>Ms Leanne Nixon</w:t>
        <w:tab/>
        <w:t>Northern </w:t>
      </w:r>
      <w:r>
        <w:rPr>
          <w:color w:val="231F20"/>
          <w:spacing w:val="-26"/>
        </w:rPr>
        <w:t>T</w:t>
      </w:r>
      <w:r>
        <w:rPr>
          <w:color w:val="231F20"/>
        </w:rPr>
        <w:t>erritory Department of Education</w:t>
      </w:r>
      <w:r>
        <w:rPr/>
      </w:r>
    </w:p>
    <w:p>
      <w:pPr>
        <w:pStyle w:val="BodyText"/>
        <w:tabs>
          <w:tab w:pos="2494" w:val="left" w:leader="none"/>
        </w:tabs>
        <w:spacing w:line="399" w:lineRule="auto" w:before="0"/>
        <w:ind w:left="227" w:right="1126"/>
        <w:jc w:val="left"/>
      </w:pPr>
      <w:r>
        <w:rPr/>
        <w:pict>
          <v:group style="position:absolute;margin-left:56.692898pt;margin-top:14.822567pt;width:399.45pt;height:.1pt;mso-position-horizontal-relative:page;mso-position-vertical-relative:paragraph;z-index:-180760" coordorigin="1134,296" coordsize="7989,2">
            <v:shape style="position:absolute;left:1134;top:296;width:7989;height:2" coordorigin="1134,296" coordsize="7989,0" path="m1134,296l9123,296e" filled="false" stroked="true" strokeweight=".3pt" strokecolor="#71797f">
              <v:path arrowok="t"/>
            </v:shape>
            <w10:wrap type="none"/>
          </v:group>
        </w:pict>
      </w:r>
      <w:r>
        <w:rPr/>
        <w:pict>
          <v:group style="position:absolute;margin-left:56.692898pt;margin-top:33.794365pt;width:399.45pt;height:.1pt;mso-position-horizontal-relative:page;mso-position-vertical-relative:paragraph;z-index:-180736" coordorigin="1134,676" coordsize="7989,2">
            <v:shape style="position:absolute;left:1134;top:676;width:7989;height:2" coordorigin="1134,676" coordsize="7989,0" path="m1134,676l9123,676e" filled="false" stroked="true" strokeweight=".3pt" strokecolor="#71797f">
              <v:path arrowok="t"/>
            </v:shape>
            <w10:wrap type="none"/>
          </v:group>
        </w:pict>
      </w:r>
      <w:r>
        <w:rPr>
          <w:color w:val="231F20"/>
        </w:rPr>
        <w:t>Ms Natalie </w:t>
      </w:r>
      <w:r>
        <w:rPr>
          <w:color w:val="231F20"/>
          <w:spacing w:val="-2"/>
        </w:rPr>
        <w:t>Polak</w:t>
        <w:tab/>
      </w:r>
      <w:r>
        <w:rPr>
          <w:color w:val="231F20"/>
        </w:rPr>
        <w:t>New South </w:t>
      </w:r>
      <w:r>
        <w:rPr>
          <w:color w:val="231F20"/>
          <w:spacing w:val="-1"/>
        </w:rPr>
        <w:t>Wales</w:t>
      </w:r>
      <w:r>
        <w:rPr>
          <w:color w:val="231F20"/>
        </w:rPr>
        <w:t> Department of Education and </w:t>
      </w:r>
      <w:r>
        <w:rPr>
          <w:color w:val="231F20"/>
          <w:spacing w:val="-3"/>
        </w:rPr>
        <w:t>Training</w:t>
      </w:r>
      <w:r>
        <w:rPr>
          <w:color w:val="231F20"/>
          <w:spacing w:val="21"/>
        </w:rPr>
        <w:t> </w:t>
      </w:r>
      <w:r>
        <w:rPr>
          <w:color w:val="231F20"/>
        </w:rPr>
        <w:t>Mr David Sacks</w:t>
        <w:tab/>
        <w:t>PwC Australia</w:t>
      </w:r>
      <w:r>
        <w:rPr/>
      </w:r>
    </w:p>
    <w:p>
      <w:pPr>
        <w:pStyle w:val="BodyText"/>
        <w:tabs>
          <w:tab w:pos="2494" w:val="left" w:leader="none"/>
        </w:tabs>
        <w:spacing w:line="240" w:lineRule="auto" w:before="0"/>
        <w:ind w:left="227" w:right="0"/>
        <w:jc w:val="left"/>
      </w:pPr>
      <w:r>
        <w:rPr>
          <w:color w:val="231F20"/>
        </w:rPr>
        <w:t>Ms Julie Sonnemann</w:t>
        <w:tab/>
        <w:t>Grattan Institute</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399.75pt;height:.3pt;mso-position-horizontal-relative:char;mso-position-vertical-relative:line" coordorigin="0,0" coordsize="7995,6">
            <v:group style="position:absolute;left:3;top:3;width:7989;height:2" coordorigin="3,3" coordsize="7989,2">
              <v:shape style="position:absolute;left:3;top:3;width:7989;height:2" coordorigin="3,3" coordsize="7989,0" path="m3,3l7992,3e" filled="false" stroked="true" strokeweight=".3pt" strokecolor="#71797f">
                <v:path arrowok="t"/>
              </v:shape>
            </v:group>
          </v:group>
        </w:pict>
      </w:r>
      <w:r>
        <w:rPr>
          <w:rFonts w:ascii="Swis721 Lt BT" w:hAnsi="Swis721 Lt BT" w:cs="Swis721 Lt BT" w:eastAsia="Swis721 Lt BT"/>
          <w:sz w:val="2"/>
          <w:szCs w:val="2"/>
        </w:rPr>
      </w:r>
    </w:p>
    <w:p>
      <w:pPr>
        <w:pStyle w:val="BodyText"/>
        <w:tabs>
          <w:tab w:pos="2494" w:val="left" w:leader="none"/>
        </w:tabs>
        <w:spacing w:line="240" w:lineRule="auto" w:before="56"/>
        <w:ind w:left="227" w:right="0"/>
        <w:jc w:val="left"/>
      </w:pPr>
      <w:r>
        <w:rPr>
          <w:color w:val="231F20"/>
        </w:rPr>
        <w:t>Dr Mary Oski</w:t>
        <w:tab/>
        <w:t>Catholic Education Melbourne</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399.75pt;height:.3pt;mso-position-horizontal-relative:char;mso-position-vertical-relative:line" coordorigin="0,0" coordsize="7995,6">
            <v:group style="position:absolute;left:3;top:3;width:7989;height:2" coordorigin="3,3" coordsize="7989,2">
              <v:shape style="position:absolute;left:3;top:3;width:7989;height:2" coordorigin="3,3" coordsize="7989,0" path="m3,3l7992,3e" filled="false" stroked="true" strokeweight=".3pt" strokecolor="#71797f">
                <v:path arrowok="t"/>
              </v:shape>
            </v:group>
          </v:group>
        </w:pict>
      </w:r>
      <w:r>
        <w:rPr>
          <w:rFonts w:ascii="Swis721 Lt BT" w:hAnsi="Swis721 Lt BT" w:cs="Swis721 Lt BT" w:eastAsia="Swis721 Lt BT"/>
          <w:sz w:val="2"/>
          <w:szCs w:val="2"/>
        </w:rPr>
      </w:r>
    </w:p>
    <w:p>
      <w:pPr>
        <w:pStyle w:val="BodyText"/>
        <w:tabs>
          <w:tab w:pos="2494" w:val="left" w:leader="none"/>
        </w:tabs>
        <w:spacing w:line="240" w:lineRule="auto" w:before="56"/>
        <w:ind w:left="227" w:right="0"/>
        <w:jc w:val="left"/>
      </w:pPr>
      <w:r>
        <w:rPr>
          <w:color w:val="231F20"/>
        </w:rPr>
        <w:t>Ms Sherryl Saunders</w:t>
        <w:tab/>
        <w:t>Australian Alliance of Associations in Education (AAAE)</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399.75pt;height:.3pt;mso-position-horizontal-relative:char;mso-position-vertical-relative:line" coordorigin="0,0" coordsize="7995,6">
            <v:group style="position:absolute;left:3;top:3;width:7989;height:2" coordorigin="3,3" coordsize="7989,2">
              <v:shape style="position:absolute;left:3;top:3;width:7989;height:2" coordorigin="3,3" coordsize="7989,0" path="m3,3l7992,3e" filled="false" stroked="true" strokeweight=".3pt" strokecolor="#71797f">
                <v:path arrowok="t"/>
              </v:shape>
            </v:group>
          </v:group>
        </w:pict>
      </w:r>
      <w:r>
        <w:rPr>
          <w:rFonts w:ascii="Swis721 Lt BT" w:hAnsi="Swis721 Lt BT" w:cs="Swis721 Lt BT" w:eastAsia="Swis721 Lt BT"/>
          <w:sz w:val="2"/>
          <w:szCs w:val="2"/>
        </w:rPr>
      </w:r>
    </w:p>
    <w:p>
      <w:pPr>
        <w:pStyle w:val="BodyText"/>
        <w:tabs>
          <w:tab w:pos="2494" w:val="left" w:leader="none"/>
        </w:tabs>
        <w:spacing w:line="399" w:lineRule="auto" w:before="56"/>
        <w:ind w:left="227" w:right="363"/>
        <w:jc w:val="left"/>
      </w:pPr>
      <w:r>
        <w:rPr/>
        <w:pict>
          <v:group style="position:absolute;margin-left:56.692898pt;margin-top:17.62406pt;width:399.45pt;height:.1pt;mso-position-horizontal-relative:page;mso-position-vertical-relative:paragraph;z-index:-180712" coordorigin="1134,352" coordsize="7989,2">
            <v:shape style="position:absolute;left:1134;top:352;width:7989;height:2" coordorigin="1134,352" coordsize="7989,0" path="m1134,352l9123,352e" filled="false" stroked="true" strokeweight=".3pt" strokecolor="#71797f">
              <v:path arrowok="t"/>
            </v:shape>
            <w10:wrap type="none"/>
          </v:group>
        </w:pict>
      </w:r>
      <w:r>
        <w:rPr/>
        <w:pict>
          <v:group style="position:absolute;margin-left:56.692898pt;margin-top:36.595867pt;width:399.45pt;height:.1pt;mso-position-horizontal-relative:page;mso-position-vertical-relative:paragraph;z-index:-180688" coordorigin="1134,732" coordsize="7989,2">
            <v:shape style="position:absolute;left:1134;top:732;width:7989;height:2" coordorigin="1134,732" coordsize="7989,0" path="m1134,732l9123,732e" filled="false" stroked="true" strokeweight=".3pt" strokecolor="#71797f">
              <v:path arrowok="t"/>
            </v:shape>
            <w10:wrap type="none"/>
          </v:group>
        </w:pict>
      </w:r>
      <w:r>
        <w:rPr/>
        <w:pict>
          <v:group style="position:absolute;margin-left:56.692898pt;margin-top:55.567665pt;width:399.45pt;height:.1pt;mso-position-horizontal-relative:page;mso-position-vertical-relative:paragraph;z-index:-180664" coordorigin="1134,1111" coordsize="7989,2">
            <v:shape style="position:absolute;left:1134;top:1111;width:7989;height:2" coordorigin="1134,1111" coordsize="7989,0" path="m1134,1111l9123,1111e" filled="false" stroked="true" strokeweight=".3pt" strokecolor="#71797f">
              <v:path arrowok="t"/>
            </v:shape>
            <w10:wrap type="none"/>
          </v:group>
        </w:pict>
      </w:r>
      <w:r>
        <w:rPr>
          <w:color w:val="231F20"/>
        </w:rPr>
        <w:t>Ms Sue Bell</w:t>
        <w:tab/>
        <w:t>Victorian Association of Secondary Schools Principals </w:t>
      </w:r>
      <w:r>
        <w:rPr>
          <w:color w:val="231F20"/>
          <w:spacing w:val="-1"/>
        </w:rPr>
        <w:t>(VASSP)</w:t>
      </w:r>
      <w:r>
        <w:rPr>
          <w:color w:val="231F20"/>
          <w:spacing w:val="26"/>
        </w:rPr>
        <w:t> </w:t>
      </w:r>
      <w:r>
        <w:rPr>
          <w:color w:val="231F20"/>
        </w:rPr>
        <w:t>Ms </w:t>
      </w:r>
      <w:r>
        <w:rPr>
          <w:color w:val="231F20"/>
          <w:spacing w:val="-2"/>
        </w:rPr>
        <w:t>Valerie</w:t>
      </w:r>
      <w:r>
        <w:rPr>
          <w:color w:val="231F20"/>
        </w:rPr>
        <w:t> Gould</w:t>
        <w:tab/>
        <w:t>Association of Independent Schools of </w:t>
      </w:r>
      <w:r>
        <w:rPr>
          <w:color w:val="231F20"/>
          <w:spacing w:val="-1"/>
        </w:rPr>
        <w:t>Western</w:t>
      </w:r>
      <w:r>
        <w:rPr>
          <w:color w:val="231F20"/>
        </w:rPr>
        <w:t> Australia </w:t>
      </w:r>
      <w:r>
        <w:rPr>
          <w:color w:val="231F20"/>
          <w:spacing w:val="-1"/>
        </w:rPr>
        <w:t>(AISWA)</w:t>
      </w:r>
      <w:r>
        <w:rPr>
          <w:color w:val="231F20"/>
          <w:spacing w:val="25"/>
        </w:rPr>
        <w:t> </w:t>
      </w:r>
      <w:r>
        <w:rPr>
          <w:color w:val="231F20"/>
        </w:rPr>
        <w:t>Ms Ann McIntyre</w:t>
        <w:tab/>
        <w:t>Australian Council for Educational Leaders (ACEL)</w:t>
      </w:r>
      <w:r>
        <w:rPr/>
      </w:r>
    </w:p>
    <w:p>
      <w:pPr>
        <w:spacing w:after="0" w:line="399" w:lineRule="auto"/>
        <w:jc w:val="left"/>
        <w:sectPr>
          <w:type w:val="continuous"/>
          <w:pgSz w:w="9980" w:h="14180"/>
          <w:pgMar w:top="0" w:bottom="280" w:left="1020" w:right="740"/>
        </w:sectPr>
      </w:pPr>
    </w:p>
    <w:p>
      <w:pPr>
        <w:spacing w:line="240" w:lineRule="auto" w:before="9"/>
        <w:rPr>
          <w:rFonts w:ascii="Swis721 Lt BT" w:hAnsi="Swis721 Lt BT" w:cs="Swis721 Lt BT" w:eastAsia="Swis721 Lt BT"/>
          <w:sz w:val="6"/>
          <w:szCs w:val="6"/>
        </w:rPr>
      </w:pPr>
    </w:p>
    <w:p>
      <w:pPr>
        <w:spacing w:line="200" w:lineRule="atLeast"/>
        <w:ind w:left="110"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shape style="width:399.45pt;height:21.85pt;mso-position-horizontal-relative:char;mso-position-vertical-relative:line" type="#_x0000_t202" filled="true" fillcolor="#bfd22b" stroked="false">
            <v:textbox inset="0,0,0,0">
              <w:txbxContent>
                <w:p>
                  <w:pPr>
                    <w:tabs>
                      <w:tab w:pos="2380" w:val="left" w:leader="none"/>
                    </w:tabs>
                    <w:spacing w:before="83"/>
                    <w:ind w:left="113" w:right="0" w:firstLine="0"/>
                    <w:jc w:val="left"/>
                    <w:rPr>
                      <w:rFonts w:ascii="Swis721 Md BT" w:hAnsi="Swis721 Md BT" w:cs="Swis721 Md BT" w:eastAsia="Swis721 Md BT"/>
                      <w:sz w:val="19"/>
                      <w:szCs w:val="19"/>
                    </w:rPr>
                  </w:pPr>
                  <w:bookmarkStart w:name="TEACHER EDUCATION EXPERT STANDING COMMIT" w:id="45"/>
                  <w:bookmarkEnd w:id="45"/>
                  <w:r>
                    <w:rPr/>
                  </w:r>
                  <w:r>
                    <w:rPr>
                      <w:rFonts w:ascii="Swis721 Md BT"/>
                      <w:color w:val="231F20"/>
                      <w:sz w:val="19"/>
                    </w:rPr>
                    <w:t>Member</w:t>
                    <w:tab/>
                    <w:t>Organisation</w:t>
                  </w:r>
                  <w:r>
                    <w:rPr>
                      <w:rFonts w:ascii="Swis721 Md BT"/>
                      <w:sz w:val="19"/>
                    </w:rPr>
                  </w:r>
                </w:p>
              </w:txbxContent>
            </v:textbox>
            <v:fill type="solid"/>
            <w10:wrap type="none"/>
          </v:shape>
        </w:pict>
      </w:r>
      <w:r>
        <w:rPr>
          <w:rFonts w:ascii="Swis721 Lt BT" w:hAnsi="Swis721 Lt BT" w:cs="Swis721 Lt BT" w:eastAsia="Swis721 Lt BT"/>
          <w:sz w:val="20"/>
          <w:szCs w:val="20"/>
        </w:rPr>
      </w:r>
    </w:p>
    <w:p>
      <w:pPr>
        <w:pStyle w:val="BodyText"/>
        <w:tabs>
          <w:tab w:pos="2491" w:val="left" w:leader="none"/>
        </w:tabs>
        <w:spacing w:line="240" w:lineRule="auto" w:before="80"/>
        <w:ind w:left="223" w:right="0"/>
        <w:jc w:val="left"/>
      </w:pPr>
      <w:r>
        <w:rPr>
          <w:color w:val="231F20"/>
        </w:rPr>
        <w:t>Mr Matthew Johnson</w:t>
        <w:tab/>
        <w:t>Australian Special Education Principals’ Association </w:t>
      </w:r>
      <w:r>
        <w:rPr>
          <w:color w:val="231F20"/>
          <w:spacing w:val="-3"/>
        </w:rPr>
        <w:t>(ASEPA)</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399.75pt;height:.3pt;mso-position-horizontal-relative:char;mso-position-vertical-relative:line" coordorigin="0,0" coordsize="7995,6">
            <v:group style="position:absolute;left:3;top:3;width:7989;height:2" coordorigin="3,3" coordsize="7989,2">
              <v:shape style="position:absolute;left:3;top:3;width:7989;height:2" coordorigin="3,3" coordsize="7989,0" path="m3,3l7992,3e" filled="false" stroked="true" strokeweight=".3pt" strokecolor="#71797f">
                <v:path arrowok="t"/>
              </v:shape>
            </v:group>
          </v:group>
        </w:pict>
      </w:r>
      <w:r>
        <w:rPr>
          <w:rFonts w:ascii="Swis721 Lt BT" w:hAnsi="Swis721 Lt BT" w:cs="Swis721 Lt BT" w:eastAsia="Swis721 Lt BT"/>
          <w:sz w:val="2"/>
          <w:szCs w:val="2"/>
        </w:rPr>
      </w:r>
    </w:p>
    <w:p>
      <w:pPr>
        <w:pStyle w:val="BodyText"/>
        <w:tabs>
          <w:tab w:pos="2491" w:val="left" w:leader="none"/>
        </w:tabs>
        <w:spacing w:line="399" w:lineRule="auto" w:before="56"/>
        <w:ind w:left="223" w:right="231"/>
        <w:jc w:val="left"/>
      </w:pPr>
      <w:r>
        <w:rPr/>
        <w:pict>
          <v:group style="position:absolute;margin-left:42.519699pt;margin-top:17.613554pt;width:399.45pt;height:.1pt;mso-position-horizontal-relative:page;mso-position-vertical-relative:paragraph;z-index:-180520" coordorigin="850,352" coordsize="7989,2">
            <v:shape style="position:absolute;left:850;top:352;width:7989;height:2" coordorigin="850,352" coordsize="7989,0" path="m850,352l8839,352e" filled="false" stroked="true" strokeweight=".3pt" strokecolor="#71797f">
              <v:path arrowok="t"/>
            </v:shape>
            <w10:wrap type="none"/>
          </v:group>
        </w:pict>
      </w:r>
      <w:r>
        <w:rPr/>
        <w:pict>
          <v:group style="position:absolute;margin-left:42.519699pt;margin-top:36.585354pt;width:399.45pt;height:.1pt;mso-position-horizontal-relative:page;mso-position-vertical-relative:paragraph;z-index:-180496" coordorigin="850,732" coordsize="7989,2">
            <v:shape style="position:absolute;left:850;top:732;width:7989;height:2" coordorigin="850,732" coordsize="7989,0" path="m850,732l8839,732e" filled="false" stroked="true" strokeweight=".3pt" strokecolor="#71797f">
              <v:path arrowok="t"/>
            </v:shape>
            <w10:wrap type="none"/>
          </v:group>
        </w:pict>
      </w:r>
      <w:r>
        <w:rPr>
          <w:color w:val="231F20"/>
        </w:rPr>
        <w:t>Ms Rhonda Livingstone</w:t>
        <w:tab/>
        <w:t>Australian Children’s Education &amp; Care Quality Authority (ACECQA) Dr Simon Breakspear</w:t>
        <w:tab/>
        <w:t>Learn Labs Global Pty Ltd</w:t>
      </w:r>
      <w:r>
        <w:rPr/>
      </w:r>
    </w:p>
    <w:p>
      <w:pPr>
        <w:pStyle w:val="BodyText"/>
        <w:tabs>
          <w:tab w:pos="2491" w:val="left" w:leader="none"/>
        </w:tabs>
        <w:spacing w:line="399" w:lineRule="auto" w:before="0"/>
        <w:ind w:left="223" w:right="1129"/>
        <w:jc w:val="left"/>
      </w:pPr>
      <w:r>
        <w:rPr/>
        <w:pict>
          <v:group style="position:absolute;margin-left:42.519699pt;margin-top:14.814157pt;width:399.45pt;height:.1pt;mso-position-horizontal-relative:page;mso-position-vertical-relative:paragraph;z-index:-180472" coordorigin="850,296" coordsize="7989,2">
            <v:shape style="position:absolute;left:850;top:296;width:7989;height:2" coordorigin="850,296" coordsize="7989,0" path="m850,296l8839,296e" filled="false" stroked="true" strokeweight=".3pt" strokecolor="#71797f">
              <v:path arrowok="t"/>
            </v:shape>
            <w10:wrap type="none"/>
          </v:group>
        </w:pict>
      </w:r>
      <w:r>
        <w:rPr/>
        <w:pict>
          <v:group style="position:absolute;margin-left:42.519699pt;margin-top:33.785957pt;width:399.45pt;height:.1pt;mso-position-horizontal-relative:page;mso-position-vertical-relative:paragraph;z-index:-180448" coordorigin="850,676" coordsize="7989,2">
            <v:shape style="position:absolute;left:850;top:676;width:7989;height:2" coordorigin="850,676" coordsize="7989,0" path="m850,676l8839,676e" filled="false" stroked="true" strokeweight=".3pt" strokecolor="#71797f">
              <v:path arrowok="t"/>
            </v:shape>
            <w10:wrap type="none"/>
          </v:group>
        </w:pict>
      </w:r>
      <w:r>
        <w:rPr>
          <w:color w:val="231F20"/>
        </w:rPr>
        <w:t>Ms Dyonne Anderson</w:t>
        <w:tab/>
        <w:t>New South </w:t>
      </w:r>
      <w:r>
        <w:rPr>
          <w:color w:val="231F20"/>
          <w:spacing w:val="-1"/>
        </w:rPr>
        <w:t>Wales</w:t>
      </w:r>
      <w:r>
        <w:rPr>
          <w:color w:val="231F20"/>
        </w:rPr>
        <w:t> Department of Education and </w:t>
      </w:r>
      <w:r>
        <w:rPr>
          <w:color w:val="231F20"/>
          <w:spacing w:val="-3"/>
        </w:rPr>
        <w:t>Training</w:t>
      </w:r>
      <w:r>
        <w:rPr>
          <w:color w:val="231F20"/>
          <w:spacing w:val="27"/>
        </w:rPr>
        <w:t> </w:t>
      </w:r>
      <w:r>
        <w:rPr>
          <w:color w:val="231F20"/>
        </w:rPr>
        <w:t>Mr Malcolm Elliott</w:t>
        <w:tab/>
        <w:t>Australian Primary Principals Association </w:t>
      </w:r>
      <w:r>
        <w:rPr>
          <w:color w:val="231F20"/>
          <w:spacing w:val="-3"/>
        </w:rPr>
        <w:t>(APPA)</w:t>
      </w:r>
      <w:r>
        <w:rPr/>
      </w:r>
    </w:p>
    <w:p>
      <w:pPr>
        <w:spacing w:line="240" w:lineRule="auto" w:before="0"/>
        <w:rPr>
          <w:rFonts w:ascii="Swis721 Lt BT" w:hAnsi="Swis721 Lt BT" w:cs="Swis721 Lt BT" w:eastAsia="Swis721 Lt BT"/>
          <w:sz w:val="18"/>
          <w:szCs w:val="18"/>
        </w:rPr>
      </w:pPr>
    </w:p>
    <w:p>
      <w:pPr>
        <w:spacing w:line="240" w:lineRule="auto" w:before="0"/>
        <w:rPr>
          <w:rFonts w:ascii="Swis721 Lt BT" w:hAnsi="Swis721 Lt BT" w:cs="Swis721 Lt BT" w:eastAsia="Swis721 Lt BT"/>
          <w:sz w:val="18"/>
          <w:szCs w:val="18"/>
        </w:rPr>
      </w:pPr>
    </w:p>
    <w:p>
      <w:pPr>
        <w:spacing w:line="240" w:lineRule="auto" w:before="7"/>
        <w:rPr>
          <w:rFonts w:ascii="Swis721 Lt BT" w:hAnsi="Swis721 Lt BT" w:cs="Swis721 Lt BT" w:eastAsia="Swis721 Lt BT"/>
          <w:sz w:val="26"/>
          <w:szCs w:val="26"/>
        </w:rPr>
      </w:pPr>
    </w:p>
    <w:p>
      <w:pPr>
        <w:pStyle w:val="Heading5"/>
        <w:spacing w:line="240" w:lineRule="auto"/>
        <w:ind w:right="0"/>
        <w:jc w:val="left"/>
        <w:rPr>
          <w:b w:val="0"/>
          <w:bCs w:val="0"/>
        </w:rPr>
      </w:pPr>
      <w:r>
        <w:rPr>
          <w:color w:val="005E63"/>
        </w:rPr>
        <w:t>TEACHER </w:t>
      </w:r>
      <w:r>
        <w:rPr>
          <w:color w:val="005E63"/>
          <w:spacing w:val="-1"/>
        </w:rPr>
        <w:t>EDUCATION</w:t>
      </w:r>
      <w:r>
        <w:rPr>
          <w:color w:val="005E63"/>
        </w:rPr>
        <w:t> EXPERT </w:t>
      </w:r>
      <w:r>
        <w:rPr>
          <w:color w:val="005E63"/>
          <w:spacing w:val="-2"/>
        </w:rPr>
        <w:t>STANDING</w:t>
      </w:r>
      <w:r>
        <w:rPr>
          <w:color w:val="005E63"/>
        </w:rPr>
        <w:t> COMMITTEE</w:t>
      </w:r>
      <w:r>
        <w:rPr>
          <w:b w:val="0"/>
        </w:rPr>
      </w:r>
    </w:p>
    <w:p>
      <w:pPr>
        <w:pStyle w:val="BodyText"/>
        <w:spacing w:line="240" w:lineRule="auto" w:before="215"/>
        <w:ind w:right="187"/>
        <w:jc w:val="both"/>
      </w:pPr>
      <w:r>
        <w:rPr>
          <w:color w:val="231F20"/>
        </w:rPr>
        <w:t>The </w:t>
      </w:r>
      <w:r>
        <w:rPr>
          <w:color w:val="231F20"/>
          <w:spacing w:val="-26"/>
        </w:rPr>
        <w:t>T</w:t>
      </w:r>
      <w:r>
        <w:rPr>
          <w:color w:val="231F20"/>
        </w:rPr>
        <w:t>eacher Education Expert Standing Committee (TEESC) was established to advise the AITSL</w:t>
      </w:r>
      <w:r>
        <w:rPr>
          <w:color w:val="231F20"/>
        </w:rPr>
        <w:t> Board on the implementation, maintenance, and further development of the national approach to accreditation of the initial teacher education programs.</w:t>
      </w:r>
      <w:r>
        <w:rPr/>
      </w:r>
    </w:p>
    <w:p>
      <w:pPr>
        <w:pStyle w:val="BodyText"/>
        <w:spacing w:line="240" w:lineRule="auto"/>
        <w:ind w:right="0"/>
        <w:jc w:val="left"/>
      </w:pPr>
      <w:r>
        <w:rPr>
          <w:color w:val="231F20"/>
        </w:rPr>
        <w:t>TEESC:</w:t>
      </w:r>
      <w:r>
        <w:rPr/>
      </w:r>
    </w:p>
    <w:p>
      <w:pPr>
        <w:pStyle w:val="BodyText"/>
        <w:spacing w:line="240" w:lineRule="auto"/>
        <w:ind w:left="337" w:right="157" w:hanging="227"/>
        <w:jc w:val="left"/>
      </w:pPr>
      <w:r>
        <w:rPr>
          <w:rFonts w:ascii="Arial" w:hAnsi="Arial"/>
          <w:color w:val="00757A"/>
        </w:rPr>
        <w:t>ϐ </w:t>
      </w:r>
      <w:r>
        <w:rPr>
          <w:rFonts w:ascii="Arial" w:hAnsi="Arial"/>
          <w:color w:val="00757A"/>
          <w:spacing w:val="7"/>
        </w:rPr>
        <w:t> </w:t>
      </w:r>
      <w:r>
        <w:rPr>
          <w:color w:val="231F20"/>
        </w:rPr>
        <w:t>advises</w:t>
      </w:r>
      <w:r>
        <w:rPr>
          <w:color w:val="231F20"/>
          <w:spacing w:val="1"/>
        </w:rPr>
        <w:t> </w:t>
      </w:r>
      <w:r>
        <w:rPr>
          <w:color w:val="231F20"/>
        </w:rPr>
        <w:t>the AITSL Board on</w:t>
      </w:r>
      <w:r>
        <w:rPr>
          <w:color w:val="231F20"/>
          <w:spacing w:val="1"/>
        </w:rPr>
        <w:t> </w:t>
      </w:r>
      <w:r>
        <w:rPr>
          <w:color w:val="231F20"/>
        </w:rPr>
        <w:t>the implementation, maintenance,</w:t>
      </w:r>
      <w:r>
        <w:rPr>
          <w:color w:val="231F20"/>
          <w:spacing w:val="1"/>
        </w:rPr>
        <w:t> </w:t>
      </w:r>
      <w:r>
        <w:rPr>
          <w:color w:val="231F20"/>
        </w:rPr>
        <w:t>and further development</w:t>
      </w:r>
      <w:r>
        <w:rPr>
          <w:color w:val="231F20"/>
          <w:spacing w:val="1"/>
        </w:rPr>
        <w:t> </w:t>
      </w:r>
      <w:r>
        <w:rPr>
          <w:color w:val="231F20"/>
        </w:rPr>
        <w:t>of the</w:t>
      </w:r>
      <w:r>
        <w:rPr>
          <w:color w:val="231F20"/>
        </w:rPr>
        <w:t> national approach to the accreditation of initial teacher education</w:t>
      </w:r>
      <w:r>
        <w:rPr/>
      </w:r>
    </w:p>
    <w:p>
      <w:pPr>
        <w:pStyle w:val="BodyText"/>
        <w:spacing w:line="240" w:lineRule="auto"/>
        <w:ind w:left="337" w:right="466" w:hanging="227"/>
        <w:jc w:val="left"/>
      </w:pPr>
      <w:r>
        <w:rPr>
          <w:rFonts w:ascii="Arial" w:hAnsi="Arial"/>
          <w:color w:val="00757A"/>
        </w:rPr>
        <w:t>ϐ </w:t>
      </w:r>
      <w:r>
        <w:rPr>
          <w:rFonts w:ascii="Arial" w:hAnsi="Arial"/>
          <w:color w:val="00757A"/>
          <w:spacing w:val="7"/>
        </w:rPr>
        <w:t> </w:t>
      </w:r>
      <w:r>
        <w:rPr>
          <w:color w:val="231F20"/>
        </w:rPr>
        <w:t>advises</w:t>
      </w:r>
      <w:r>
        <w:rPr>
          <w:color w:val="231F20"/>
          <w:spacing w:val="1"/>
        </w:rPr>
        <w:t> </w:t>
      </w:r>
      <w:r>
        <w:rPr>
          <w:color w:val="231F20"/>
        </w:rPr>
        <w:t>on reports and</w:t>
      </w:r>
      <w:r>
        <w:rPr>
          <w:color w:val="231F20"/>
          <w:spacing w:val="1"/>
        </w:rPr>
        <w:t> </w:t>
      </w:r>
      <w:r>
        <w:rPr>
          <w:color w:val="231F20"/>
        </w:rPr>
        <w:t>summaries on the</w:t>
      </w:r>
      <w:r>
        <w:rPr>
          <w:color w:val="231F20"/>
          <w:spacing w:val="1"/>
        </w:rPr>
        <w:t> </w:t>
      </w:r>
      <w:r>
        <w:rPr>
          <w:color w:val="231F20"/>
        </w:rPr>
        <w:t>accreditation process received</w:t>
      </w:r>
      <w:r>
        <w:rPr>
          <w:color w:val="231F20"/>
          <w:spacing w:val="1"/>
        </w:rPr>
        <w:t> </w:t>
      </w:r>
      <w:r>
        <w:rPr>
          <w:color w:val="231F20"/>
        </w:rPr>
        <w:t>from regulatory</w:t>
      </w:r>
      <w:r>
        <w:rPr>
          <w:color w:val="231F20"/>
        </w:rPr>
        <w:t> authorities</w:t>
      </w:r>
      <w:r>
        <w:rPr/>
      </w:r>
    </w:p>
    <w:p>
      <w:pPr>
        <w:pStyle w:val="BodyText"/>
        <w:spacing w:line="240" w:lineRule="auto"/>
        <w:ind w:right="0"/>
        <w:jc w:val="left"/>
      </w:pPr>
      <w:r>
        <w:rPr>
          <w:rFonts w:ascii="Arial" w:hAnsi="Arial"/>
          <w:color w:val="00757A"/>
        </w:rPr>
        <w:t>ϐ </w:t>
      </w:r>
      <w:r>
        <w:rPr>
          <w:rFonts w:ascii="Arial" w:hAnsi="Arial"/>
          <w:color w:val="00757A"/>
          <w:spacing w:val="8"/>
        </w:rPr>
        <w:t> </w:t>
      </w:r>
      <w:r>
        <w:rPr>
          <w:color w:val="231F20"/>
        </w:rPr>
        <w:t>advises on</w:t>
      </w:r>
      <w:r>
        <w:rPr>
          <w:color w:val="231F20"/>
          <w:spacing w:val="1"/>
        </w:rPr>
        <w:t> </w:t>
      </w:r>
      <w:r>
        <w:rPr>
          <w:color w:val="231F20"/>
        </w:rPr>
        <w:t>national responsibilities, such</w:t>
      </w:r>
      <w:r>
        <w:rPr>
          <w:color w:val="231F20"/>
          <w:spacing w:val="1"/>
        </w:rPr>
        <w:t> </w:t>
      </w:r>
      <w:r>
        <w:rPr>
          <w:color w:val="231F20"/>
        </w:rPr>
        <w:t>as panel</w:t>
      </w:r>
      <w:r>
        <w:rPr>
          <w:color w:val="231F20"/>
          <w:spacing w:val="1"/>
        </w:rPr>
        <w:t> </w:t>
      </w:r>
      <w:r>
        <w:rPr>
          <w:color w:val="231F20"/>
        </w:rPr>
        <w:t>training</w:t>
      </w:r>
      <w:r>
        <w:rPr/>
      </w:r>
    </w:p>
    <w:p>
      <w:pPr>
        <w:pStyle w:val="BodyText"/>
        <w:spacing w:line="240" w:lineRule="auto"/>
        <w:ind w:left="337" w:right="466" w:hanging="227"/>
        <w:jc w:val="left"/>
      </w:pPr>
      <w:r>
        <w:rPr>
          <w:rFonts w:ascii="Arial" w:hAnsi="Arial"/>
          <w:color w:val="00757A"/>
        </w:rPr>
        <w:t>ϐ </w:t>
      </w:r>
      <w:r>
        <w:rPr>
          <w:rFonts w:ascii="Arial" w:hAnsi="Arial"/>
          <w:color w:val="00757A"/>
          <w:spacing w:val="7"/>
        </w:rPr>
        <w:t> </w:t>
      </w:r>
      <w:r>
        <w:rPr>
          <w:color w:val="231F20"/>
        </w:rPr>
        <w:t>advises on</w:t>
      </w:r>
      <w:r>
        <w:rPr>
          <w:color w:val="231F20"/>
          <w:spacing w:val="1"/>
        </w:rPr>
        <w:t> </w:t>
      </w:r>
      <w:r>
        <w:rPr>
          <w:color w:val="231F20"/>
        </w:rPr>
        <w:t>other matters relating</w:t>
      </w:r>
      <w:r>
        <w:rPr>
          <w:color w:val="231F20"/>
          <w:spacing w:val="1"/>
        </w:rPr>
        <w:t> </w:t>
      </w:r>
      <w:r>
        <w:rPr>
          <w:color w:val="231F20"/>
        </w:rPr>
        <w:t>to initial teacher education</w:t>
      </w:r>
      <w:r>
        <w:rPr>
          <w:color w:val="231F20"/>
          <w:spacing w:val="1"/>
        </w:rPr>
        <w:t> </w:t>
      </w:r>
      <w:r>
        <w:rPr>
          <w:color w:val="231F20"/>
        </w:rPr>
        <w:t>requiring the attention</w:t>
      </w:r>
      <w:r>
        <w:rPr>
          <w:color w:val="231F20"/>
          <w:spacing w:val="1"/>
        </w:rPr>
        <w:t> </w:t>
      </w:r>
      <w:r>
        <w:rPr>
          <w:color w:val="231F20"/>
        </w:rPr>
        <w:t>of the</w:t>
      </w:r>
      <w:r>
        <w:rPr>
          <w:color w:val="231F20"/>
        </w:rPr>
        <w:t> AITSL Board</w:t>
      </w:r>
      <w:r>
        <w:rPr/>
      </w:r>
    </w:p>
    <w:p>
      <w:pPr>
        <w:pStyle w:val="BodyText"/>
        <w:spacing w:line="240" w:lineRule="auto"/>
        <w:ind w:left="338" w:right="466" w:hanging="227"/>
        <w:jc w:val="left"/>
      </w:pPr>
      <w:r>
        <w:rPr>
          <w:rFonts w:ascii="Arial" w:hAnsi="Arial"/>
          <w:color w:val="00757A"/>
        </w:rPr>
        <w:t>ϐ </w:t>
      </w:r>
      <w:r>
        <w:rPr>
          <w:rFonts w:ascii="Arial" w:hAnsi="Arial"/>
          <w:color w:val="00757A"/>
          <w:spacing w:val="7"/>
        </w:rPr>
        <w:t> </w:t>
      </w:r>
      <w:r>
        <w:rPr>
          <w:color w:val="231F20"/>
        </w:rPr>
        <w:t>ensures advice</w:t>
      </w:r>
      <w:r>
        <w:rPr>
          <w:color w:val="231F20"/>
          <w:spacing w:val="1"/>
        </w:rPr>
        <w:t> </w:t>
      </w:r>
      <w:r>
        <w:rPr>
          <w:color w:val="231F20"/>
        </w:rPr>
        <w:t>to the AITSL</w:t>
      </w:r>
      <w:r>
        <w:rPr>
          <w:color w:val="231F20"/>
          <w:spacing w:val="1"/>
        </w:rPr>
        <w:t> </w:t>
      </w:r>
      <w:r>
        <w:rPr>
          <w:color w:val="231F20"/>
        </w:rPr>
        <w:t>Board is informed by</w:t>
      </w:r>
      <w:r>
        <w:rPr>
          <w:color w:val="231F20"/>
          <w:spacing w:val="1"/>
        </w:rPr>
        <w:t> </w:t>
      </w:r>
      <w:r>
        <w:rPr>
          <w:color w:val="231F20"/>
        </w:rPr>
        <w:t>relevant stakeholders who</w:t>
      </w:r>
      <w:r>
        <w:rPr>
          <w:color w:val="231F20"/>
          <w:spacing w:val="1"/>
        </w:rPr>
        <w:t> </w:t>
      </w:r>
      <w:r>
        <w:rPr>
          <w:color w:val="231F20"/>
        </w:rPr>
        <w:t>are consulted</w:t>
      </w:r>
      <w:r>
        <w:rPr>
          <w:color w:val="231F20"/>
        </w:rPr>
        <w:t> on the operation of the system and major pieces of work.</w:t>
      </w:r>
      <w:r>
        <w:rPr/>
      </w:r>
    </w:p>
    <w:p>
      <w:pPr>
        <w:spacing w:line="240" w:lineRule="auto" w:before="0"/>
        <w:rPr>
          <w:rFonts w:ascii="Swis721 Lt BT" w:hAnsi="Swis721 Lt BT" w:cs="Swis721 Lt BT" w:eastAsia="Swis721 Lt BT"/>
          <w:sz w:val="18"/>
          <w:szCs w:val="18"/>
        </w:rPr>
      </w:pPr>
    </w:p>
    <w:p>
      <w:pPr>
        <w:pStyle w:val="Heading8"/>
        <w:spacing w:line="240" w:lineRule="auto"/>
        <w:ind w:right="0"/>
        <w:jc w:val="left"/>
      </w:pPr>
      <w:r>
        <w:rPr>
          <w:color w:val="00757A"/>
        </w:rPr>
        <w:t>TEESC members:</w:t>
      </w:r>
      <w:r>
        <w:rPr/>
      </w:r>
    </w:p>
    <w:p>
      <w:pPr>
        <w:spacing w:line="240" w:lineRule="auto" w:before="10"/>
        <w:rPr>
          <w:rFonts w:ascii="Swis721 Md BT" w:hAnsi="Swis721 Md BT" w:cs="Swis721 Md BT" w:eastAsia="Swis721 Md BT"/>
          <w:sz w:val="11"/>
          <w:szCs w:val="11"/>
        </w:rPr>
      </w:pPr>
    </w:p>
    <w:p>
      <w:pPr>
        <w:spacing w:line="200" w:lineRule="atLeast"/>
        <w:ind w:left="110" w:right="0" w:firstLine="0"/>
        <w:rPr>
          <w:rFonts w:ascii="Swis721 Md BT" w:hAnsi="Swis721 Md BT" w:cs="Swis721 Md BT" w:eastAsia="Swis721 Md BT"/>
          <w:sz w:val="20"/>
          <w:szCs w:val="20"/>
        </w:rPr>
      </w:pPr>
      <w:r>
        <w:rPr>
          <w:rFonts w:ascii="Swis721 Md BT" w:hAnsi="Swis721 Md BT" w:cs="Swis721 Md BT" w:eastAsia="Swis721 Md BT"/>
          <w:sz w:val="20"/>
          <w:szCs w:val="20"/>
        </w:rPr>
        <w:pict>
          <v:shape style="width:399.7pt;height:21.85pt;mso-position-horizontal-relative:char;mso-position-vertical-relative:line" type="#_x0000_t202" filled="true" fillcolor="#bfd22b" stroked="false">
            <v:textbox inset="0,0,0,0">
              <w:txbxContent>
                <w:p>
                  <w:pPr>
                    <w:tabs>
                      <w:tab w:pos="2380" w:val="left" w:leader="none"/>
                    </w:tabs>
                    <w:spacing w:before="83"/>
                    <w:ind w:left="113" w:right="0" w:firstLine="0"/>
                    <w:jc w:val="left"/>
                    <w:rPr>
                      <w:rFonts w:ascii="Swis721 Md BT" w:hAnsi="Swis721 Md BT" w:cs="Swis721 Md BT" w:eastAsia="Swis721 Md BT"/>
                      <w:sz w:val="19"/>
                      <w:szCs w:val="19"/>
                    </w:rPr>
                  </w:pPr>
                  <w:r>
                    <w:rPr>
                      <w:rFonts w:ascii="Swis721 Md BT"/>
                      <w:color w:val="231F20"/>
                      <w:sz w:val="19"/>
                    </w:rPr>
                    <w:t>Member</w:t>
                    <w:tab/>
                    <w:t>Organisation</w:t>
                  </w:r>
                  <w:r>
                    <w:rPr>
                      <w:rFonts w:ascii="Swis721 Md BT"/>
                      <w:sz w:val="19"/>
                    </w:rPr>
                  </w:r>
                </w:p>
              </w:txbxContent>
            </v:textbox>
            <v:fill type="solid"/>
            <w10:wrap type="none"/>
          </v:shape>
        </w:pict>
      </w:r>
      <w:r>
        <w:rPr>
          <w:rFonts w:ascii="Swis721 Md BT" w:hAnsi="Swis721 Md BT" w:cs="Swis721 Md BT" w:eastAsia="Swis721 Md BT"/>
          <w:sz w:val="20"/>
          <w:szCs w:val="20"/>
        </w:rPr>
      </w:r>
    </w:p>
    <w:p>
      <w:pPr>
        <w:spacing w:after="0" w:line="200" w:lineRule="atLeast"/>
        <w:rPr>
          <w:rFonts w:ascii="Swis721 Md BT" w:hAnsi="Swis721 Md BT" w:cs="Swis721 Md BT" w:eastAsia="Swis721 Md BT"/>
          <w:sz w:val="20"/>
          <w:szCs w:val="20"/>
        </w:rPr>
        <w:sectPr>
          <w:pgSz w:w="9980" w:h="14180"/>
          <w:pgMar w:header="0" w:footer="452" w:top="1040" w:bottom="640" w:left="740" w:right="1020"/>
        </w:sectPr>
      </w:pPr>
    </w:p>
    <w:p>
      <w:pPr>
        <w:pStyle w:val="BodyText"/>
        <w:spacing w:line="240" w:lineRule="auto" w:before="83"/>
        <w:ind w:left="223" w:right="0"/>
        <w:jc w:val="left"/>
      </w:pPr>
      <w:r>
        <w:rPr/>
        <w:pict>
          <v:group style="position:absolute;margin-left:42.519699pt;margin-top:30.370663pt;width:399.7pt;height:.1pt;mso-position-horizontal-relative:page;mso-position-vertical-relative:paragraph;z-index:-180424" coordorigin="850,607" coordsize="7994,2">
            <v:shape style="position:absolute;left:850;top:607;width:7994;height:2" coordorigin="850,607" coordsize="7994,0" path="m850,607l8844,607e" filled="false" stroked="true" strokeweight=".3pt" strokecolor="#303b41">
              <v:path arrowok="t"/>
            </v:shape>
            <w10:wrap type="none"/>
          </v:group>
        </w:pict>
      </w:r>
      <w:r>
        <w:rPr>
          <w:color w:val="231F20"/>
          <w:spacing w:val="-1"/>
        </w:rPr>
        <w:t>Prof.</w:t>
      </w:r>
      <w:r>
        <w:rPr>
          <w:color w:val="231F20"/>
        </w:rPr>
        <w:t> Donna </w:t>
      </w:r>
      <w:r>
        <w:rPr>
          <w:color w:val="231F20"/>
          <w:spacing w:val="-1"/>
        </w:rPr>
        <w:t>Pendergast</w:t>
      </w:r>
      <w:r>
        <w:rPr>
          <w:color w:val="231F20"/>
          <w:spacing w:val="25"/>
        </w:rPr>
        <w:t> </w:t>
      </w:r>
      <w:r>
        <w:rPr>
          <w:color w:val="231F20"/>
        </w:rPr>
        <w:t>(Chair)</w:t>
      </w:r>
      <w:r>
        <w:rPr/>
      </w:r>
    </w:p>
    <w:p>
      <w:pPr>
        <w:pStyle w:val="BodyText"/>
        <w:spacing w:line="240" w:lineRule="auto" w:before="151"/>
        <w:ind w:left="223" w:right="327"/>
        <w:jc w:val="left"/>
      </w:pPr>
      <w:r>
        <w:rPr/>
        <w:pict>
          <v:group style="position:absolute;margin-left:42.519699pt;margin-top:33.770962pt;width:399.7pt;height:.1pt;mso-position-horizontal-relative:page;mso-position-vertical-relative:paragraph;z-index:-180400" coordorigin="850,675" coordsize="7994,2">
            <v:shape style="position:absolute;left:850;top:675;width:7994;height:2" coordorigin="850,675" coordsize="7994,0" path="m850,675l8844,675e" filled="false" stroked="true" strokeweight=".3pt" strokecolor="#303b41">
              <v:path arrowok="t"/>
            </v:shape>
            <w10:wrap type="none"/>
          </v:group>
        </w:pict>
      </w:r>
      <w:r>
        <w:rPr>
          <w:color w:val="231F20"/>
        </w:rPr>
        <w:t>Ms Beth Blackwood (Observer)</w:t>
      </w:r>
      <w:r>
        <w:rPr/>
      </w:r>
    </w:p>
    <w:p>
      <w:pPr>
        <w:pStyle w:val="BodyText"/>
        <w:spacing w:line="640" w:lineRule="auto" w:before="83"/>
        <w:ind w:left="223" w:right="4003"/>
        <w:jc w:val="left"/>
      </w:pPr>
      <w:r>
        <w:rPr/>
        <w:br w:type="column"/>
      </w:r>
      <w:r>
        <w:rPr>
          <w:color w:val="231F20"/>
        </w:rPr>
        <w:t>AITSL Board Director</w:t>
      </w:r>
      <w:r>
        <w:rPr>
          <w:color w:val="231F20"/>
        </w:rPr>
        <w:t> AITSL Board Director</w:t>
      </w:r>
      <w:r>
        <w:rPr/>
      </w:r>
    </w:p>
    <w:p>
      <w:pPr>
        <w:spacing w:after="0" w:line="640" w:lineRule="auto"/>
        <w:jc w:val="left"/>
        <w:sectPr>
          <w:type w:val="continuous"/>
          <w:pgSz w:w="9980" w:h="14180"/>
          <w:pgMar w:top="0" w:bottom="280" w:left="740" w:right="1020"/>
          <w:cols w:num="2" w:equalWidth="0">
            <w:col w:w="2186" w:space="82"/>
            <w:col w:w="5952"/>
          </w:cols>
        </w:sectPr>
      </w:pPr>
    </w:p>
    <w:p>
      <w:pPr>
        <w:pStyle w:val="BodyText"/>
        <w:tabs>
          <w:tab w:pos="2491" w:val="left" w:leader="none"/>
        </w:tabs>
        <w:spacing w:line="240" w:lineRule="auto" w:before="0"/>
        <w:ind w:left="223" w:right="0"/>
        <w:jc w:val="left"/>
      </w:pPr>
      <w:r>
        <w:rPr/>
        <w:pict>
          <v:group style="position:absolute;margin-left:42.519699pt;margin-top:14.821362pt;width:399.7pt;height:.1pt;mso-position-horizontal-relative:page;mso-position-vertical-relative:paragraph;z-index:5272" coordorigin="850,296" coordsize="7994,2">
            <v:shape style="position:absolute;left:850;top:296;width:7994;height:2" coordorigin="850,296" coordsize="7994,0" path="m850,296l8844,296e" filled="false" stroked="true" strokeweight=".3pt" strokecolor="#303b41">
              <v:path arrowok="t"/>
            </v:shape>
            <w10:wrap type="none"/>
          </v:group>
        </w:pict>
      </w:r>
      <w:r>
        <w:rPr>
          <w:color w:val="231F20"/>
        </w:rPr>
        <w:t>Dr </w:t>
      </w:r>
      <w:r>
        <w:rPr>
          <w:color w:val="231F20"/>
          <w:spacing w:val="-2"/>
        </w:rPr>
        <w:t>Peter</w:t>
      </w:r>
      <w:r>
        <w:rPr>
          <w:color w:val="231F20"/>
        </w:rPr>
        <w:t> Lind (Observer)</w:t>
        <w:tab/>
        <w:t>AITSL Board Director</w:t>
      </w:r>
      <w:r>
        <w:rPr/>
      </w:r>
    </w:p>
    <w:p>
      <w:pPr>
        <w:spacing w:after="0" w:line="240" w:lineRule="auto"/>
        <w:jc w:val="left"/>
        <w:sectPr>
          <w:type w:val="continuous"/>
          <w:pgSz w:w="9980" w:h="14180"/>
          <w:pgMar w:top="0" w:bottom="280" w:left="740" w:right="1020"/>
        </w:sectPr>
      </w:pPr>
    </w:p>
    <w:p>
      <w:pPr>
        <w:pStyle w:val="BodyText"/>
        <w:spacing w:line="240" w:lineRule="auto" w:before="151"/>
        <w:ind w:left="223" w:right="0"/>
        <w:jc w:val="left"/>
      </w:pPr>
      <w:r>
        <w:rPr>
          <w:color w:val="231F20"/>
        </w:rPr>
        <w:t>Mr Richard Bolto (Observer)</w:t>
      </w:r>
      <w:r>
        <w:rPr/>
      </w:r>
    </w:p>
    <w:p>
      <w:pPr>
        <w:pStyle w:val="BodyText"/>
        <w:spacing w:line="240" w:lineRule="auto" w:before="151"/>
        <w:ind w:left="223" w:right="0"/>
        <w:jc w:val="left"/>
      </w:pPr>
      <w:r>
        <w:rPr/>
        <w:br w:type="column"/>
      </w:r>
      <w:r>
        <w:rPr>
          <w:color w:val="231F20"/>
        </w:rPr>
        <w:t>Australian Department of Education</w:t>
      </w:r>
      <w:r>
        <w:rPr/>
      </w:r>
    </w:p>
    <w:p>
      <w:pPr>
        <w:spacing w:after="0" w:line="240" w:lineRule="auto"/>
        <w:jc w:val="left"/>
        <w:sectPr>
          <w:type w:val="continuous"/>
          <w:pgSz w:w="9980" w:h="14180"/>
          <w:pgMar w:top="0" w:bottom="280" w:left="740" w:right="1020"/>
          <w:cols w:num="2" w:equalWidth="0">
            <w:col w:w="1596" w:space="671"/>
            <w:col w:w="5953"/>
          </w:cols>
        </w:sectPr>
      </w:pP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1" w:val="left" w:leader="none"/>
        </w:tabs>
        <w:spacing w:line="399" w:lineRule="auto" w:before="56"/>
        <w:ind w:left="223" w:right="2199"/>
        <w:jc w:val="left"/>
      </w:pPr>
      <w:r>
        <w:rPr/>
        <w:pict>
          <v:group style="position:absolute;margin-left:42.519699pt;margin-top:17.621962pt;width:399.7pt;height:.1pt;mso-position-horizontal-relative:page;mso-position-vertical-relative:paragraph;z-index:-180352" coordorigin="850,352" coordsize="7994,2">
            <v:shape style="position:absolute;left:850;top:352;width:7994;height:2" coordorigin="850,352" coordsize="7994,0" path="m850,352l8844,352e" filled="false" stroked="true" strokeweight=".3pt" strokecolor="#303b41">
              <v:path arrowok="t"/>
            </v:shape>
            <w10:wrap type="none"/>
          </v:group>
        </w:pict>
      </w:r>
      <w:r>
        <w:rPr/>
        <w:pict>
          <v:group style="position:absolute;margin-left:42.519699pt;margin-top:36.593761pt;width:399.7pt;height:.1pt;mso-position-horizontal-relative:page;mso-position-vertical-relative:paragraph;z-index:-180328" coordorigin="850,732" coordsize="7994,2">
            <v:shape style="position:absolute;left:850;top:732;width:7994;height:2" coordorigin="850,732" coordsize="7994,0" path="m850,732l8844,732e" filled="false" stroked="true" strokeweight=".3pt" strokecolor="#303b41">
              <v:path arrowok="t"/>
            </v:shape>
            <w10:wrap type="none"/>
          </v:group>
        </w:pict>
      </w:r>
      <w:r>
        <w:rPr>
          <w:color w:val="231F20"/>
        </w:rPr>
        <w:t>Mr Damien Stewart</w:t>
        <w:tab/>
        <w:t>Department of Education </w:t>
      </w:r>
      <w:r>
        <w:rPr>
          <w:color w:val="231F20"/>
          <w:spacing w:val="-1"/>
        </w:rPr>
        <w:t>Western</w:t>
      </w:r>
      <w:r>
        <w:rPr>
          <w:color w:val="231F20"/>
        </w:rPr>
        <w:t> Australia</w:t>
      </w:r>
      <w:r>
        <w:rPr>
          <w:color w:val="231F20"/>
          <w:spacing w:val="23"/>
        </w:rPr>
        <w:t> </w:t>
      </w:r>
      <w:r>
        <w:rPr>
          <w:color w:val="231F20"/>
          <w:spacing w:val="-1"/>
        </w:rPr>
        <w:t>Prof.</w:t>
      </w:r>
      <w:r>
        <w:rPr>
          <w:color w:val="231F20"/>
        </w:rPr>
        <w:t> Greg Craven</w:t>
        <w:tab/>
        <w:t>Australian Catholic University</w:t>
      </w:r>
      <w:r>
        <w:rPr/>
      </w:r>
    </w:p>
    <w:p>
      <w:pPr>
        <w:pStyle w:val="BodyText"/>
        <w:tabs>
          <w:tab w:pos="2491" w:val="left" w:leader="none"/>
        </w:tabs>
        <w:spacing w:line="240" w:lineRule="auto" w:before="0"/>
        <w:ind w:left="223" w:right="0"/>
        <w:jc w:val="left"/>
      </w:pPr>
      <w:r>
        <w:rPr>
          <w:color w:val="231F20"/>
          <w:spacing w:val="-1"/>
        </w:rPr>
        <w:t>Prof.</w:t>
      </w:r>
      <w:r>
        <w:rPr>
          <w:color w:val="231F20"/>
        </w:rPr>
        <w:t> Helen Huntly</w:t>
        <w:tab/>
        <w:t>CQUniversity</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spacing w:after="0" w:line="20" w:lineRule="atLeast"/>
        <w:rPr>
          <w:rFonts w:ascii="Swis721 Lt BT" w:hAnsi="Swis721 Lt BT" w:cs="Swis721 Lt BT" w:eastAsia="Swis721 Lt BT"/>
          <w:sz w:val="2"/>
          <w:szCs w:val="2"/>
        </w:rPr>
        <w:sectPr>
          <w:type w:val="continuous"/>
          <w:pgSz w:w="9980" w:h="14180"/>
          <w:pgMar w:top="0" w:bottom="280" w:left="740" w:right="1020"/>
        </w:sectPr>
      </w:pPr>
    </w:p>
    <w:p>
      <w:pPr>
        <w:spacing w:before="58"/>
        <w:ind w:left="0" w:right="108" w:firstLine="0"/>
        <w:jc w:val="right"/>
        <w:rPr>
          <w:rFonts w:ascii="Swis721 Lt BT" w:hAnsi="Swis721 Lt BT" w:cs="Swis721 Lt BT" w:eastAsia="Swis721 Lt BT"/>
          <w:sz w:val="14"/>
          <w:szCs w:val="14"/>
        </w:rPr>
      </w:pPr>
      <w:bookmarkStart w:name="TEACHING QUALIFICATIONS EXPERT STANDING " w:id="46"/>
      <w:bookmarkEnd w:id="46"/>
      <w:r>
        <w:rPr/>
      </w: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7"/>
        <w:rPr>
          <w:rFonts w:ascii="Swis721 Lt BT" w:hAnsi="Swis721 Lt BT" w:cs="Swis721 Lt BT" w:eastAsia="Swis721 Lt BT"/>
          <w:sz w:val="24"/>
          <w:szCs w:val="24"/>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4" w:val="left" w:leader="none"/>
        </w:tabs>
        <w:spacing w:line="240" w:lineRule="auto" w:before="56"/>
        <w:ind w:left="227" w:right="0"/>
        <w:jc w:val="left"/>
      </w:pPr>
      <w:r>
        <w:rPr>
          <w:color w:val="231F20"/>
        </w:rPr>
        <w:t>Pro</w:t>
      </w:r>
      <w:r>
        <w:rPr>
          <w:color w:val="231F20"/>
          <w:spacing w:val="-4"/>
        </w:rPr>
        <w:t>f</w:t>
      </w:r>
      <w:r>
        <w:rPr>
          <w:color w:val="231F20"/>
        </w:rPr>
        <w:t>. John </w:t>
      </w:r>
      <w:r>
        <w:rPr>
          <w:color w:val="231F20"/>
          <w:spacing w:val="3"/>
        </w:rPr>
        <w:t>W</w:t>
      </w:r>
      <w:r>
        <w:rPr>
          <w:color w:val="231F20"/>
        </w:rPr>
        <w:t>illiamson</w:t>
        <w:tab/>
        <w:t>University of </w:t>
      </w:r>
      <w:r>
        <w:rPr>
          <w:color w:val="231F20"/>
          <w:spacing w:val="-26"/>
        </w:rPr>
        <w:t>T</w:t>
      </w:r>
      <w:r>
        <w:rPr>
          <w:color w:val="231F20"/>
        </w:rPr>
        <w:t>asmania</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4" w:val="left" w:leader="none"/>
        </w:tabs>
        <w:spacing w:line="240" w:lineRule="auto" w:before="56"/>
        <w:ind w:left="227" w:right="0"/>
        <w:jc w:val="left"/>
      </w:pPr>
      <w:r>
        <w:rPr>
          <w:color w:val="231F20"/>
        </w:rPr>
        <w:t>Mr </w:t>
      </w:r>
      <w:r>
        <w:rPr>
          <w:color w:val="231F20"/>
          <w:spacing w:val="-6"/>
        </w:rPr>
        <w:t>P</w:t>
      </w:r>
      <w:r>
        <w:rPr>
          <w:color w:val="231F20"/>
        </w:rPr>
        <w:t>eter Corcoran</w:t>
        <w:tab/>
        <w:t>Victorian Institute of </w:t>
      </w:r>
      <w:r>
        <w:rPr>
          <w:color w:val="231F20"/>
          <w:spacing w:val="-26"/>
        </w:rPr>
        <w:t>T</w:t>
      </w:r>
      <w:r>
        <w:rPr>
          <w:color w:val="231F20"/>
        </w:rPr>
        <w:t>eaching</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4" w:val="left" w:leader="none"/>
        </w:tabs>
        <w:spacing w:line="240" w:lineRule="auto" w:before="56"/>
        <w:ind w:left="227" w:right="0"/>
        <w:jc w:val="left"/>
      </w:pPr>
      <w:r>
        <w:rPr>
          <w:color w:val="231F20"/>
        </w:rPr>
        <w:t>Mr Phil Sweeney</w:t>
        <w:tab/>
        <w:t>Queensland Department of Education</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4" w:val="left" w:leader="none"/>
        </w:tabs>
        <w:spacing w:line="240" w:lineRule="auto" w:before="56"/>
        <w:ind w:left="227" w:right="0"/>
        <w:jc w:val="left"/>
      </w:pPr>
      <w:r>
        <w:rPr>
          <w:color w:val="231F20"/>
        </w:rPr>
        <w:t>Ms Shirley Gilbert</w:t>
        <w:tab/>
        <w:t>Australian Indigenous Lecturers in Initial </w:t>
      </w:r>
      <w:r>
        <w:rPr>
          <w:color w:val="231F20"/>
          <w:spacing w:val="-26"/>
        </w:rPr>
        <w:t>T</w:t>
      </w:r>
      <w:r>
        <w:rPr>
          <w:color w:val="231F20"/>
        </w:rPr>
        <w:t>eacher Education</w:t>
      </w:r>
      <w:r>
        <w:rPr/>
      </w:r>
    </w:p>
    <w:p>
      <w:pPr>
        <w:pStyle w:val="BodyText"/>
        <w:spacing w:line="240" w:lineRule="auto" w:before="0"/>
        <w:ind w:left="2494" w:right="0"/>
        <w:jc w:val="left"/>
      </w:pPr>
      <w:r>
        <w:rPr>
          <w:color w:val="231F20"/>
        </w:rPr>
        <w:t>Association (AILITEA)</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4" w:val="left" w:leader="none"/>
        </w:tabs>
        <w:spacing w:line="399" w:lineRule="auto" w:before="56"/>
        <w:ind w:left="227" w:right="3348"/>
        <w:jc w:val="left"/>
      </w:pPr>
      <w:r>
        <w:rPr/>
        <w:pict>
          <v:group style="position:absolute;margin-left:56.692898pt;margin-top:17.618029pt;width:399.7pt;height:.1pt;mso-position-horizontal-relative:page;mso-position-vertical-relative:paragraph;z-index:-180040" coordorigin="1134,352" coordsize="7994,2">
            <v:shape style="position:absolute;left:1134;top:352;width:7994;height:2" coordorigin="1134,352" coordsize="7994,0" path="m1134,352l9128,352e" filled="false" stroked="true" strokeweight=".3pt" strokecolor="#303b41">
              <v:path arrowok="t"/>
            </v:shape>
            <w10:wrap type="none"/>
          </v:group>
        </w:pict>
      </w:r>
      <w:r>
        <w:rPr/>
        <w:pict>
          <v:group style="position:absolute;margin-left:56.692898pt;margin-top:36.589828pt;width:399.7pt;height:.1pt;mso-position-horizontal-relative:page;mso-position-vertical-relative:paragraph;z-index:-180016" coordorigin="1134,732" coordsize="7994,2">
            <v:shape style="position:absolute;left:1134;top:732;width:7994;height:2" coordorigin="1134,732" coordsize="7994,0" path="m1134,732l9128,732e" filled="false" stroked="true" strokeweight=".3pt" strokecolor="#303b41">
              <v:path arrowok="t"/>
            </v:shape>
            <w10:wrap type="none"/>
          </v:group>
        </w:pict>
      </w:r>
      <w:r>
        <w:rPr>
          <w:color w:val="231F20"/>
        </w:rPr>
        <w:t>Dr Sue Shore</w:t>
        <w:tab/>
        <w:t>Charles Darwin University </w:t>
      </w:r>
      <w:r>
        <w:rPr>
          <w:color w:val="231F20"/>
          <w:spacing w:val="-1"/>
        </w:rPr>
        <w:t>Prof.</w:t>
      </w:r>
      <w:r>
        <w:rPr>
          <w:color w:val="231F20"/>
        </w:rPr>
        <w:t> </w:t>
      </w:r>
      <w:r>
        <w:rPr>
          <w:color w:val="231F20"/>
          <w:spacing w:val="-6"/>
        </w:rPr>
        <w:t>Tania</w:t>
      </w:r>
      <w:r>
        <w:rPr>
          <w:color w:val="231F20"/>
        </w:rPr>
        <w:t> Aspland</w:t>
        <w:tab/>
        <w:t>Australian Catholic University</w:t>
      </w:r>
      <w:r>
        <w:rPr/>
      </w:r>
    </w:p>
    <w:p>
      <w:pPr>
        <w:pStyle w:val="BodyText"/>
        <w:tabs>
          <w:tab w:pos="2494" w:val="left" w:leader="none"/>
        </w:tabs>
        <w:spacing w:line="240" w:lineRule="auto" w:before="0"/>
        <w:ind w:left="227" w:right="0"/>
        <w:jc w:val="left"/>
      </w:pPr>
      <w:r>
        <w:rPr>
          <w:color w:val="231F20"/>
        </w:rPr>
        <w:t>Mr </w:t>
      </w:r>
      <w:r>
        <w:rPr>
          <w:color w:val="231F20"/>
          <w:spacing w:val="-9"/>
        </w:rPr>
        <w:t>Tom</w:t>
      </w:r>
      <w:r>
        <w:rPr>
          <w:color w:val="231F20"/>
        </w:rPr>
        <w:t> Alegounarias</w:t>
        <w:tab/>
        <w:t>New South </w:t>
      </w:r>
      <w:r>
        <w:rPr>
          <w:color w:val="231F20"/>
          <w:spacing w:val="-1"/>
        </w:rPr>
        <w:t>Wales</w:t>
      </w:r>
      <w:r>
        <w:rPr>
          <w:color w:val="231F20"/>
        </w:rPr>
        <w:t> Education Standards Authority (NESA) Board</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spacing w:line="240" w:lineRule="auto" w:before="0"/>
        <w:rPr>
          <w:rFonts w:ascii="Swis721 Lt BT" w:hAnsi="Swis721 Lt BT" w:cs="Swis721 Lt BT" w:eastAsia="Swis721 Lt BT"/>
          <w:sz w:val="18"/>
          <w:szCs w:val="18"/>
        </w:rPr>
      </w:pPr>
    </w:p>
    <w:p>
      <w:pPr>
        <w:spacing w:line="240" w:lineRule="auto" w:before="10"/>
        <w:rPr>
          <w:rFonts w:ascii="Swis721 Lt BT" w:hAnsi="Swis721 Lt BT" w:cs="Swis721 Lt BT" w:eastAsia="Swis721 Lt BT"/>
          <w:sz w:val="20"/>
          <w:szCs w:val="20"/>
        </w:rPr>
      </w:pPr>
    </w:p>
    <w:p>
      <w:pPr>
        <w:pStyle w:val="Heading5"/>
        <w:spacing w:line="240" w:lineRule="auto"/>
        <w:ind w:left="113" w:right="0"/>
        <w:jc w:val="left"/>
        <w:rPr>
          <w:b w:val="0"/>
          <w:bCs w:val="0"/>
        </w:rPr>
      </w:pPr>
      <w:r>
        <w:rPr>
          <w:color w:val="005E63"/>
        </w:rPr>
        <w:t>TEACHING </w:t>
      </w:r>
      <w:r>
        <w:rPr>
          <w:color w:val="005E63"/>
          <w:spacing w:val="-1"/>
        </w:rPr>
        <w:t>QUALIFICATIONS</w:t>
      </w:r>
      <w:r>
        <w:rPr>
          <w:color w:val="005E63"/>
        </w:rPr>
        <w:t> EXPERT </w:t>
      </w:r>
      <w:r>
        <w:rPr>
          <w:color w:val="005E63"/>
          <w:spacing w:val="-2"/>
        </w:rPr>
        <w:t>STANDING</w:t>
      </w:r>
      <w:r>
        <w:rPr>
          <w:color w:val="005E63"/>
        </w:rPr>
        <w:t> COMMITTEE</w:t>
      </w:r>
      <w:r>
        <w:rPr>
          <w:b w:val="0"/>
        </w:rPr>
      </w:r>
    </w:p>
    <w:p>
      <w:pPr>
        <w:pStyle w:val="BodyText"/>
        <w:spacing w:line="240" w:lineRule="auto" w:before="215"/>
        <w:ind w:left="113" w:right="355"/>
        <w:jc w:val="left"/>
      </w:pPr>
      <w:r>
        <w:rPr>
          <w:color w:val="231F20"/>
        </w:rPr>
        <w:t>The</w:t>
      </w:r>
      <w:r>
        <w:rPr>
          <w:color w:val="231F20"/>
          <w:spacing w:val="-2"/>
        </w:rPr>
        <w:t> </w:t>
      </w:r>
      <w:r>
        <w:rPr>
          <w:color w:val="231F20"/>
          <w:spacing w:val="-26"/>
        </w:rPr>
        <w:t>T</w:t>
      </w:r>
      <w:r>
        <w:rPr>
          <w:color w:val="231F20"/>
        </w:rPr>
        <w:t>eaching</w:t>
      </w:r>
      <w:r>
        <w:rPr>
          <w:color w:val="231F20"/>
          <w:spacing w:val="-1"/>
        </w:rPr>
        <w:t> </w:t>
      </w:r>
      <w:r>
        <w:rPr>
          <w:color w:val="231F20"/>
        </w:rPr>
        <w:t>Qualifications</w:t>
      </w:r>
      <w:r>
        <w:rPr>
          <w:color w:val="231F20"/>
          <w:spacing w:val="-1"/>
        </w:rPr>
        <w:t> </w:t>
      </w:r>
      <w:r>
        <w:rPr>
          <w:color w:val="231F20"/>
        </w:rPr>
        <w:t>Expert</w:t>
      </w:r>
      <w:r>
        <w:rPr>
          <w:color w:val="231F20"/>
          <w:spacing w:val="-1"/>
        </w:rPr>
        <w:t> </w:t>
      </w:r>
      <w:r>
        <w:rPr>
          <w:color w:val="231F20"/>
        </w:rPr>
        <w:t>Standing</w:t>
      </w:r>
      <w:r>
        <w:rPr>
          <w:color w:val="231F20"/>
          <w:spacing w:val="-1"/>
        </w:rPr>
        <w:t> </w:t>
      </w:r>
      <w:r>
        <w:rPr>
          <w:color w:val="231F20"/>
        </w:rPr>
        <w:t>Committee</w:t>
      </w:r>
      <w:r>
        <w:rPr>
          <w:color w:val="231F20"/>
          <w:spacing w:val="-1"/>
        </w:rPr>
        <w:t> </w:t>
      </w:r>
      <w:r>
        <w:rPr>
          <w:color w:val="231F20"/>
        </w:rPr>
        <w:t>(TQESC)</w:t>
      </w:r>
      <w:r>
        <w:rPr>
          <w:color w:val="231F20"/>
          <w:spacing w:val="-1"/>
        </w:rPr>
        <w:t> </w:t>
      </w:r>
      <w:r>
        <w:rPr>
          <w:color w:val="231F20"/>
        </w:rPr>
        <w:t>was</w:t>
      </w:r>
      <w:r>
        <w:rPr>
          <w:color w:val="231F20"/>
          <w:spacing w:val="-1"/>
        </w:rPr>
        <w:t> </w:t>
      </w:r>
      <w:r>
        <w:rPr>
          <w:color w:val="231F20"/>
        </w:rPr>
        <w:t>established</w:t>
      </w:r>
      <w:r>
        <w:rPr>
          <w:color w:val="231F20"/>
          <w:spacing w:val="-1"/>
        </w:rPr>
        <w:t> </w:t>
      </w:r>
      <w:r>
        <w:rPr>
          <w:color w:val="231F20"/>
        </w:rPr>
        <w:t>to</w:t>
      </w:r>
      <w:r>
        <w:rPr>
          <w:color w:val="231F20"/>
          <w:spacing w:val="-2"/>
        </w:rPr>
        <w:t> </w:t>
      </w:r>
      <w:r>
        <w:rPr>
          <w:color w:val="231F20"/>
        </w:rPr>
        <w:t>advise</w:t>
      </w:r>
      <w:r>
        <w:rPr>
          <w:color w:val="231F20"/>
        </w:rPr>
        <w:t> the AITSL Board of Directors in undertaking the assessment for migration function in a way that</w:t>
      </w:r>
      <w:r>
        <w:rPr/>
      </w:r>
    </w:p>
    <w:p>
      <w:pPr>
        <w:pStyle w:val="BodyText"/>
        <w:spacing w:line="240" w:lineRule="auto" w:before="0"/>
        <w:ind w:left="113" w:right="114"/>
        <w:jc w:val="left"/>
      </w:pPr>
      <w:r>
        <w:rPr>
          <w:color w:val="231F20"/>
        </w:rPr>
        <w:t>furthers the objectives of the skilled migration program, consistent with supporting and advancing the quality of teaching in Australia. The TQESC seeks a national approach to skilled migration, while having regard to the responsibilities and requirements of the state and territory teacher regulatory authorities.</w:t>
      </w:r>
      <w:r>
        <w:rPr/>
      </w:r>
    </w:p>
    <w:p>
      <w:pPr>
        <w:pStyle w:val="BodyText"/>
        <w:spacing w:line="240" w:lineRule="auto"/>
        <w:ind w:left="113" w:right="0"/>
        <w:jc w:val="left"/>
      </w:pPr>
      <w:r>
        <w:rPr>
          <w:color w:val="231F20"/>
        </w:rPr>
        <w:t>TQESC provides:</w:t>
      </w:r>
      <w:r>
        <w:rPr/>
      </w:r>
    </w:p>
    <w:p>
      <w:pPr>
        <w:pStyle w:val="BodyText"/>
        <w:spacing w:line="240" w:lineRule="auto"/>
        <w:ind w:left="340" w:right="107" w:hanging="227"/>
        <w:jc w:val="left"/>
      </w:pPr>
      <w:r>
        <w:rPr>
          <w:rFonts w:ascii="Arial" w:hAnsi="Arial"/>
          <w:color w:val="00757A"/>
        </w:rPr>
        <w:t>ϐ </w:t>
      </w:r>
      <w:r>
        <w:rPr>
          <w:rFonts w:ascii="Arial" w:hAnsi="Arial"/>
          <w:color w:val="00757A"/>
          <w:spacing w:val="7"/>
        </w:rPr>
        <w:t> </w:t>
      </w:r>
      <w:r>
        <w:rPr>
          <w:color w:val="231F20"/>
        </w:rPr>
        <w:t>information and</w:t>
      </w:r>
      <w:r>
        <w:rPr>
          <w:color w:val="231F20"/>
          <w:spacing w:val="1"/>
        </w:rPr>
        <w:t> </w:t>
      </w:r>
      <w:r>
        <w:rPr>
          <w:color w:val="231F20"/>
        </w:rPr>
        <w:t>advice to AITSL</w:t>
      </w:r>
      <w:r>
        <w:rPr>
          <w:color w:val="231F20"/>
          <w:spacing w:val="1"/>
        </w:rPr>
        <w:t> </w:t>
      </w:r>
      <w:r>
        <w:rPr>
          <w:color w:val="231F20"/>
        </w:rPr>
        <w:t>in setting appropriate criteria</w:t>
      </w:r>
      <w:r>
        <w:rPr>
          <w:color w:val="231F20"/>
          <w:spacing w:val="1"/>
        </w:rPr>
        <w:t> </w:t>
      </w:r>
      <w:r>
        <w:rPr>
          <w:color w:val="231F20"/>
        </w:rPr>
        <w:t>for assessment of</w:t>
      </w:r>
      <w:r>
        <w:rPr>
          <w:color w:val="231F20"/>
          <w:spacing w:val="1"/>
        </w:rPr>
        <w:t> </w:t>
      </w:r>
      <w:r>
        <w:rPr>
          <w:color w:val="231F20"/>
        </w:rPr>
        <w:t>school teacher</w:t>
      </w:r>
      <w:r>
        <w:rPr>
          <w:color w:val="231F20"/>
        </w:rPr>
        <w:t> occupations for skilled migration, with regard to consistency with requirements across Australia</w:t>
      </w:r>
      <w:r>
        <w:rPr/>
      </w:r>
    </w:p>
    <w:p>
      <w:pPr>
        <w:pStyle w:val="BodyText"/>
        <w:spacing w:line="240" w:lineRule="auto"/>
        <w:ind w:left="340" w:right="298" w:hanging="227"/>
        <w:jc w:val="left"/>
      </w:pPr>
      <w:r>
        <w:rPr>
          <w:rFonts w:ascii="Arial" w:hAnsi="Arial"/>
          <w:color w:val="00757A"/>
        </w:rPr>
        <w:t>ϐ </w:t>
      </w:r>
      <w:r>
        <w:rPr>
          <w:rFonts w:ascii="Arial" w:hAnsi="Arial"/>
          <w:color w:val="00757A"/>
          <w:spacing w:val="7"/>
        </w:rPr>
        <w:t> </w:t>
      </w:r>
      <w:r>
        <w:rPr>
          <w:color w:val="231F20"/>
        </w:rPr>
        <w:t>information and</w:t>
      </w:r>
      <w:r>
        <w:rPr>
          <w:color w:val="231F20"/>
          <w:spacing w:val="1"/>
        </w:rPr>
        <w:t> </w:t>
      </w:r>
      <w:r>
        <w:rPr>
          <w:color w:val="231F20"/>
        </w:rPr>
        <w:t>advice to assist</w:t>
      </w:r>
      <w:r>
        <w:rPr>
          <w:color w:val="231F20"/>
          <w:spacing w:val="1"/>
        </w:rPr>
        <w:t> </w:t>
      </w:r>
      <w:r>
        <w:rPr>
          <w:color w:val="231F20"/>
        </w:rPr>
        <w:t>AITSL with its approach</w:t>
      </w:r>
      <w:r>
        <w:rPr>
          <w:color w:val="231F20"/>
          <w:spacing w:val="1"/>
        </w:rPr>
        <w:t> </w:t>
      </w:r>
      <w:r>
        <w:rPr>
          <w:color w:val="231F20"/>
        </w:rPr>
        <w:t>to the assessment</w:t>
      </w:r>
      <w:r>
        <w:rPr>
          <w:color w:val="231F20"/>
          <w:spacing w:val="1"/>
        </w:rPr>
        <w:t> </w:t>
      </w:r>
      <w:r>
        <w:rPr>
          <w:color w:val="231F20"/>
        </w:rPr>
        <w:t>of overseas</w:t>
      </w:r>
      <w:r>
        <w:rPr>
          <w:color w:val="231F20"/>
        </w:rPr>
        <w:t> teaching</w:t>
      </w:r>
      <w:r>
        <w:rPr>
          <w:color w:val="231F20"/>
          <w:spacing w:val="-11"/>
        </w:rPr>
        <w:t> </w:t>
      </w:r>
      <w:r>
        <w:rPr>
          <w:color w:val="231F20"/>
        </w:rPr>
        <w:t>qualifications</w:t>
      </w:r>
      <w:r>
        <w:rPr/>
      </w:r>
    </w:p>
    <w:p>
      <w:pPr>
        <w:pStyle w:val="BodyText"/>
        <w:spacing w:line="240" w:lineRule="auto"/>
        <w:ind w:left="341" w:right="466" w:hanging="227"/>
        <w:jc w:val="left"/>
      </w:pPr>
      <w:r>
        <w:rPr>
          <w:rFonts w:ascii="Arial" w:hAnsi="Arial"/>
          <w:color w:val="00757A"/>
        </w:rPr>
        <w:t>ϐ </w:t>
      </w:r>
      <w:r>
        <w:rPr>
          <w:rFonts w:ascii="Arial" w:hAnsi="Arial"/>
          <w:color w:val="00757A"/>
          <w:spacing w:val="7"/>
        </w:rPr>
        <w:t> </w:t>
      </w:r>
      <w:r>
        <w:rPr>
          <w:color w:val="231F20"/>
        </w:rPr>
        <w:t>a</w:t>
      </w:r>
      <w:r>
        <w:rPr>
          <w:color w:val="231F20"/>
          <w:spacing w:val="1"/>
        </w:rPr>
        <w:t> </w:t>
      </w:r>
      <w:r>
        <w:rPr>
          <w:color w:val="231F20"/>
        </w:rPr>
        <w:t>forum for discussion and</w:t>
      </w:r>
      <w:r>
        <w:rPr>
          <w:color w:val="231F20"/>
          <w:spacing w:val="1"/>
        </w:rPr>
        <w:t> </w:t>
      </w:r>
      <w:r>
        <w:rPr>
          <w:color w:val="231F20"/>
        </w:rPr>
        <w:t>collaboration on school</w:t>
      </w:r>
      <w:r>
        <w:rPr>
          <w:color w:val="231F20"/>
          <w:spacing w:val="1"/>
        </w:rPr>
        <w:t> </w:t>
      </w:r>
      <w:r>
        <w:rPr>
          <w:color w:val="231F20"/>
        </w:rPr>
        <w:t>teacher skills assessment</w:t>
      </w:r>
      <w:r>
        <w:rPr>
          <w:color w:val="231F20"/>
          <w:spacing w:val="1"/>
        </w:rPr>
        <w:t> </w:t>
      </w:r>
      <w:r>
        <w:rPr>
          <w:color w:val="231F20"/>
        </w:rPr>
        <w:t>and other</w:t>
      </w:r>
      <w:r>
        <w:rPr>
          <w:color w:val="231F20"/>
        </w:rPr>
        <w:t> matters of common interest as these affect school teacher skill assessment.</w:t>
      </w:r>
      <w:r>
        <w:rPr/>
      </w:r>
    </w:p>
    <w:p>
      <w:pPr>
        <w:spacing w:line="240" w:lineRule="auto" w:before="0"/>
        <w:rPr>
          <w:rFonts w:ascii="Swis721 Lt BT" w:hAnsi="Swis721 Lt BT" w:cs="Swis721 Lt BT" w:eastAsia="Swis721 Lt BT"/>
          <w:sz w:val="18"/>
          <w:szCs w:val="18"/>
        </w:rPr>
      </w:pPr>
    </w:p>
    <w:p>
      <w:pPr>
        <w:pStyle w:val="Heading8"/>
        <w:spacing w:line="240" w:lineRule="auto"/>
        <w:ind w:left="113" w:right="0"/>
        <w:jc w:val="left"/>
      </w:pPr>
      <w:r>
        <w:rPr>
          <w:color w:val="00757A"/>
        </w:rPr>
        <w:t>TQESC members:</w:t>
      </w:r>
      <w:r>
        <w:rPr/>
      </w:r>
    </w:p>
    <w:p>
      <w:pPr>
        <w:spacing w:line="240" w:lineRule="auto" w:before="10"/>
        <w:rPr>
          <w:rFonts w:ascii="Swis721 Md BT" w:hAnsi="Swis721 Md BT" w:cs="Swis721 Md BT" w:eastAsia="Swis721 Md BT"/>
          <w:sz w:val="11"/>
          <w:szCs w:val="11"/>
        </w:rPr>
      </w:pPr>
    </w:p>
    <w:p>
      <w:pPr>
        <w:spacing w:line="200" w:lineRule="atLeast"/>
        <w:ind w:left="113" w:right="0" w:firstLine="0"/>
        <w:rPr>
          <w:rFonts w:ascii="Swis721 Md BT" w:hAnsi="Swis721 Md BT" w:cs="Swis721 Md BT" w:eastAsia="Swis721 Md BT"/>
          <w:sz w:val="20"/>
          <w:szCs w:val="20"/>
        </w:rPr>
      </w:pPr>
      <w:r>
        <w:rPr>
          <w:rFonts w:ascii="Swis721 Md BT" w:hAnsi="Swis721 Md BT" w:cs="Swis721 Md BT" w:eastAsia="Swis721 Md BT"/>
          <w:sz w:val="20"/>
          <w:szCs w:val="20"/>
        </w:rPr>
        <w:pict>
          <v:shape style="width:399.7pt;height:22.25pt;mso-position-horizontal-relative:char;mso-position-vertical-relative:line" type="#_x0000_t202" filled="true" fillcolor="#bfd22b" stroked="false">
            <v:textbox inset="0,0,0,0">
              <w:txbxContent>
                <w:p>
                  <w:pPr>
                    <w:tabs>
                      <w:tab w:pos="2381" w:val="left" w:leader="none"/>
                    </w:tabs>
                    <w:spacing w:before="81"/>
                    <w:ind w:left="113" w:right="0" w:firstLine="0"/>
                    <w:jc w:val="left"/>
                    <w:rPr>
                      <w:rFonts w:ascii="Swis721 Md BT" w:hAnsi="Swis721 Md BT" w:cs="Swis721 Md BT" w:eastAsia="Swis721 Md BT"/>
                      <w:sz w:val="20"/>
                      <w:szCs w:val="20"/>
                    </w:rPr>
                  </w:pPr>
                  <w:r>
                    <w:rPr>
                      <w:rFonts w:ascii="Swis721 Md BT"/>
                      <w:color w:val="231F20"/>
                      <w:sz w:val="20"/>
                    </w:rPr>
                    <w:t>Name</w:t>
                    <w:tab/>
                    <w:t>Organisation</w:t>
                  </w:r>
                  <w:r>
                    <w:rPr>
                      <w:rFonts w:ascii="Swis721 Md BT"/>
                      <w:sz w:val="20"/>
                    </w:rPr>
                  </w:r>
                </w:p>
              </w:txbxContent>
            </v:textbox>
            <v:fill type="solid"/>
            <w10:wrap type="none"/>
          </v:shape>
        </w:pict>
      </w:r>
      <w:r>
        <w:rPr>
          <w:rFonts w:ascii="Swis721 Md BT" w:hAnsi="Swis721 Md BT" w:cs="Swis721 Md BT" w:eastAsia="Swis721 Md BT"/>
          <w:sz w:val="20"/>
          <w:szCs w:val="20"/>
        </w:rPr>
      </w:r>
    </w:p>
    <w:p>
      <w:pPr>
        <w:pStyle w:val="BodyText"/>
        <w:tabs>
          <w:tab w:pos="2494" w:val="left" w:leader="none"/>
        </w:tabs>
        <w:spacing w:line="240" w:lineRule="auto" w:before="83"/>
        <w:ind w:left="227" w:right="0"/>
        <w:jc w:val="left"/>
      </w:pPr>
      <w:r>
        <w:rPr>
          <w:color w:val="231F20"/>
        </w:rPr>
        <w:t>Dr </w:t>
      </w:r>
      <w:r>
        <w:rPr>
          <w:color w:val="231F20"/>
          <w:spacing w:val="-2"/>
        </w:rPr>
        <w:t>Peter</w:t>
      </w:r>
      <w:r>
        <w:rPr>
          <w:color w:val="231F20"/>
        </w:rPr>
        <w:t> Lind (Chair)</w:t>
        <w:tab/>
        <w:t>AITSL Board Director</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71797f">
                <v:path arrowok="t"/>
              </v:shape>
            </v:group>
          </v:group>
        </w:pict>
      </w:r>
      <w:r>
        <w:rPr>
          <w:rFonts w:ascii="Swis721 Lt BT" w:hAnsi="Swis721 Lt BT" w:cs="Swis721 Lt BT" w:eastAsia="Swis721 Lt BT"/>
          <w:sz w:val="2"/>
          <w:szCs w:val="2"/>
        </w:rPr>
      </w:r>
    </w:p>
    <w:p>
      <w:pPr>
        <w:pStyle w:val="BodyText"/>
        <w:tabs>
          <w:tab w:pos="2494" w:val="left" w:leader="none"/>
        </w:tabs>
        <w:spacing w:line="399" w:lineRule="auto" w:before="56"/>
        <w:ind w:left="227" w:right="2620"/>
        <w:jc w:val="left"/>
      </w:pPr>
      <w:r>
        <w:rPr/>
        <w:pict>
          <v:group style="position:absolute;margin-left:56.692898pt;margin-top:17.617065pt;width:399.7pt;height:.1pt;mso-position-horizontal-relative:page;mso-position-vertical-relative:paragraph;z-index:-179992" coordorigin="1134,352" coordsize="7994,2">
            <v:shape style="position:absolute;left:1134;top:352;width:7994;height:2" coordorigin="1134,352" coordsize="7994,0" path="m1134,352l9128,352e" filled="false" stroked="true" strokeweight=".3pt" strokecolor="#71797f">
              <v:path arrowok="t"/>
            </v:shape>
            <w10:wrap type="none"/>
          </v:group>
        </w:pict>
      </w:r>
      <w:r>
        <w:rPr/>
        <w:pict>
          <v:group style="position:absolute;margin-left:56.692898pt;margin-top:36.588863pt;width:399.7pt;height:.1pt;mso-position-horizontal-relative:page;mso-position-vertical-relative:paragraph;z-index:-179968" coordorigin="1134,732" coordsize="7994,2">
            <v:shape style="position:absolute;left:1134;top:732;width:7994;height:2" coordorigin="1134,732" coordsize="7994,0" path="m1134,732l9128,732e" filled="false" stroked="true" strokeweight=".3pt" strokecolor="#71797f">
              <v:path arrowok="t"/>
            </v:shape>
            <w10:wrap type="none"/>
          </v:group>
        </w:pict>
      </w:r>
      <w:r>
        <w:rPr/>
        <w:pict>
          <v:group style="position:absolute;margin-left:56.692898pt;margin-top:55.560661pt;width:399.7pt;height:.1pt;mso-position-horizontal-relative:page;mso-position-vertical-relative:paragraph;z-index:-179944" coordorigin="1134,1111" coordsize="7994,2">
            <v:shape style="position:absolute;left:1134;top:1111;width:7994;height:2" coordorigin="1134,1111" coordsize="7994,0" path="m1134,1111l9128,1111e" filled="false" stroked="true" strokeweight=".3pt" strokecolor="#71797f">
              <v:path arrowok="t"/>
            </v:shape>
            <w10:wrap type="none"/>
          </v:group>
        </w:pict>
      </w:r>
      <w:r>
        <w:rPr>
          <w:color w:val="231F20"/>
        </w:rPr>
        <w:t>Mr Ben Houston</w:t>
        <w:tab/>
        <w:t>Australian Department of Education Mr Glenn Chippendale</w:t>
        <w:tab/>
        <w:t>Queensland Department of Education </w:t>
      </w:r>
      <w:r>
        <w:rPr>
          <w:color w:val="231F20"/>
          <w:spacing w:val="-1"/>
        </w:rPr>
        <w:t>Prof.</w:t>
      </w:r>
      <w:r>
        <w:rPr>
          <w:color w:val="231F20"/>
        </w:rPr>
        <w:t> </w:t>
      </w:r>
      <w:r>
        <w:rPr>
          <w:color w:val="231F20"/>
          <w:spacing w:val="-1"/>
        </w:rPr>
        <w:t>Lynn</w:t>
      </w:r>
      <w:r>
        <w:rPr>
          <w:color w:val="231F20"/>
        </w:rPr>
        <w:t> Bosetti</w:t>
        <w:tab/>
        <w:t>La </w:t>
      </w:r>
      <w:r>
        <w:rPr>
          <w:color w:val="231F20"/>
          <w:spacing w:val="-4"/>
        </w:rPr>
        <w:t>Trobe</w:t>
      </w:r>
      <w:r>
        <w:rPr>
          <w:color w:val="231F20"/>
        </w:rPr>
        <w:t> University</w:t>
      </w:r>
      <w:r>
        <w:rPr/>
      </w:r>
    </w:p>
    <w:p>
      <w:pPr>
        <w:pStyle w:val="BodyText"/>
        <w:tabs>
          <w:tab w:pos="2494" w:val="left" w:leader="none"/>
        </w:tabs>
        <w:spacing w:line="240" w:lineRule="auto" w:before="0"/>
        <w:ind w:left="227" w:right="0"/>
        <w:jc w:val="left"/>
      </w:pPr>
      <w:r>
        <w:rPr>
          <w:color w:val="231F20"/>
        </w:rPr>
        <w:t>Dr Mamta Chauhan</w:t>
        <w:tab/>
      </w:r>
      <w:r>
        <w:rPr>
          <w:color w:val="231F20"/>
          <w:spacing w:val="-1"/>
        </w:rPr>
        <w:t>VETASSESS</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71797f">
                <v:path arrowok="t"/>
              </v:shape>
            </v:group>
          </v:group>
        </w:pict>
      </w:r>
      <w:r>
        <w:rPr>
          <w:rFonts w:ascii="Swis721 Lt BT" w:hAnsi="Swis721 Lt BT" w:cs="Swis721 Lt BT" w:eastAsia="Swis721 Lt BT"/>
          <w:sz w:val="2"/>
          <w:szCs w:val="2"/>
        </w:rPr>
      </w:r>
    </w:p>
    <w:p>
      <w:pPr>
        <w:pStyle w:val="BodyText"/>
        <w:tabs>
          <w:tab w:pos="2494" w:val="left" w:leader="none"/>
        </w:tabs>
        <w:spacing w:line="240" w:lineRule="auto" w:before="56"/>
        <w:ind w:left="227" w:right="0"/>
        <w:jc w:val="left"/>
      </w:pPr>
      <w:r>
        <w:rPr>
          <w:color w:val="231F20"/>
        </w:rPr>
        <w:t>Ms Maree Garrigan</w:t>
        <w:tab/>
      </w:r>
      <w:r>
        <w:rPr>
          <w:color w:val="231F20"/>
          <w:spacing w:val="-26"/>
        </w:rPr>
        <w:t>T</w:t>
      </w:r>
      <w:r>
        <w:rPr>
          <w:color w:val="231F20"/>
        </w:rPr>
        <w:t>eacher Registration Board Northern </w:t>
      </w:r>
      <w:r>
        <w:rPr>
          <w:color w:val="231F20"/>
          <w:spacing w:val="-26"/>
        </w:rPr>
        <w:t>T</w:t>
      </w:r>
      <w:r>
        <w:rPr>
          <w:color w:val="231F20"/>
        </w:rPr>
        <w:t>erritory</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71797f">
                <v:path arrowok="t"/>
              </v:shape>
            </v:group>
          </v:group>
        </w:pict>
      </w:r>
      <w:r>
        <w:rPr>
          <w:rFonts w:ascii="Swis721 Lt BT" w:hAnsi="Swis721 Lt BT" w:cs="Swis721 Lt BT" w:eastAsia="Swis721 Lt BT"/>
          <w:sz w:val="2"/>
          <w:szCs w:val="2"/>
        </w:rPr>
      </w:r>
    </w:p>
    <w:p>
      <w:pPr>
        <w:pStyle w:val="BodyText"/>
        <w:tabs>
          <w:tab w:pos="2494" w:val="left" w:leader="none"/>
        </w:tabs>
        <w:spacing w:line="240" w:lineRule="auto" w:before="56"/>
        <w:ind w:left="227" w:right="0"/>
        <w:jc w:val="left"/>
      </w:pPr>
      <w:r>
        <w:rPr>
          <w:color w:val="231F20"/>
        </w:rPr>
        <w:t>Mr Michael </w:t>
      </w:r>
      <w:r>
        <w:rPr>
          <w:color w:val="231F20"/>
          <w:spacing w:val="-1"/>
        </w:rPr>
        <w:t>Petrie</w:t>
        <w:tab/>
      </w:r>
      <w:r>
        <w:rPr>
          <w:color w:val="231F20"/>
        </w:rPr>
        <w:t>Australian Children’s Education &amp; Care Quality Authority (ACECQA)</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71797f">
                <v:path arrowok="t"/>
              </v:shape>
            </v:group>
          </v:group>
        </w:pict>
      </w:r>
      <w:r>
        <w:rPr>
          <w:rFonts w:ascii="Swis721 Lt BT" w:hAnsi="Swis721 Lt BT" w:cs="Swis721 Lt BT" w:eastAsia="Swis721 Lt BT"/>
          <w:sz w:val="2"/>
          <w:szCs w:val="2"/>
        </w:rPr>
      </w:r>
    </w:p>
    <w:p>
      <w:pPr>
        <w:spacing w:after="0" w:line="20" w:lineRule="atLeast"/>
        <w:rPr>
          <w:rFonts w:ascii="Swis721 Lt BT" w:hAnsi="Swis721 Lt BT" w:cs="Swis721 Lt BT" w:eastAsia="Swis721 Lt BT"/>
          <w:sz w:val="2"/>
          <w:szCs w:val="2"/>
        </w:rPr>
        <w:sectPr>
          <w:pgSz w:w="9980" w:h="14180"/>
          <w:pgMar w:header="0" w:footer="452" w:top="360" w:bottom="640" w:left="1020" w:right="740"/>
        </w:sectPr>
      </w:pPr>
    </w:p>
    <w:p>
      <w:pPr>
        <w:pStyle w:val="Heading5"/>
        <w:spacing w:line="241" w:lineRule="auto" w:before="42"/>
        <w:ind w:right="466"/>
        <w:jc w:val="left"/>
        <w:rPr>
          <w:b w:val="0"/>
          <w:bCs w:val="0"/>
        </w:rPr>
      </w:pPr>
      <w:bookmarkStart w:name="ADVISORY GROUP FOR ABORIGINAL AND TORRES" w:id="47"/>
      <w:bookmarkEnd w:id="47"/>
      <w:r>
        <w:rPr>
          <w:b w:val="0"/>
        </w:rPr>
      </w:r>
      <w:bookmarkStart w:name="PROFESSIONAL GROWTH NETWORK" w:id="48"/>
      <w:bookmarkEnd w:id="48"/>
      <w:r>
        <w:rPr>
          <w:b w:val="0"/>
        </w:rPr>
      </w:r>
      <w:r>
        <w:rPr>
          <w:color w:val="005E63"/>
          <w:spacing w:val="-1"/>
        </w:rPr>
        <w:t>ADVISORY</w:t>
      </w:r>
      <w:r>
        <w:rPr>
          <w:color w:val="005E63"/>
        </w:rPr>
        <w:t> GROUP FOR ABORIGINAL AND TORRES STRAIT</w:t>
      </w:r>
      <w:r>
        <w:rPr>
          <w:color w:val="005E63"/>
          <w:spacing w:val="27"/>
        </w:rPr>
        <w:t> </w:t>
      </w:r>
      <w:r>
        <w:rPr>
          <w:color w:val="005E63"/>
        </w:rPr>
        <w:t>ISLANDER </w:t>
      </w:r>
      <w:r>
        <w:rPr>
          <w:color w:val="005E63"/>
          <w:spacing w:val="-1"/>
        </w:rPr>
        <w:t>EDUCATION</w:t>
      </w:r>
      <w:r>
        <w:rPr>
          <w:b w:val="0"/>
        </w:rPr>
      </w:r>
    </w:p>
    <w:p>
      <w:pPr>
        <w:pStyle w:val="BodyText"/>
        <w:spacing w:line="240" w:lineRule="auto" w:before="213"/>
        <w:ind w:right="172"/>
        <w:jc w:val="left"/>
      </w:pPr>
      <w:r>
        <w:rPr>
          <w:color w:val="231F20"/>
        </w:rPr>
        <w:t>The Advisory Group for Aboriginal and </w:t>
      </w:r>
      <w:r>
        <w:rPr>
          <w:color w:val="231F20"/>
          <w:spacing w:val="-26"/>
        </w:rPr>
        <w:t>T</w:t>
      </w:r>
      <w:r>
        <w:rPr>
          <w:color w:val="231F20"/>
        </w:rPr>
        <w:t>orres Strait Islander Education (AG</w:t>
      </w:r>
      <w:r>
        <w:rPr>
          <w:color w:val="231F20"/>
          <w:spacing w:val="-8"/>
        </w:rPr>
        <w:t>A</w:t>
      </w:r>
      <w:r>
        <w:rPr>
          <w:color w:val="231F20"/>
        </w:rPr>
        <w:t>TSIE) was</w:t>
      </w:r>
      <w:r>
        <w:rPr>
          <w:color w:val="231F20"/>
        </w:rPr>
        <w:t> established to provide strategic advice to AITSL on work it is progressing that supports teachers and school leaders to ensure that Aboriginal and </w:t>
      </w:r>
      <w:r>
        <w:rPr>
          <w:color w:val="231F20"/>
          <w:spacing w:val="-26"/>
        </w:rPr>
        <w:t>T</w:t>
      </w:r>
      <w:r>
        <w:rPr>
          <w:color w:val="231F20"/>
        </w:rPr>
        <w:t>orres Strait Islander students achieve their full</w:t>
      </w:r>
      <w:r>
        <w:rPr>
          <w:color w:val="231F20"/>
        </w:rPr>
        <w:t> learning potential and are supported to embrace their culture and </w:t>
      </w:r>
      <w:r>
        <w:rPr>
          <w:color w:val="231F20"/>
          <w:spacing w:val="-2"/>
        </w:rPr>
        <w:t>identity.</w:t>
      </w:r>
      <w:r>
        <w:rPr/>
      </w:r>
    </w:p>
    <w:p>
      <w:pPr>
        <w:pStyle w:val="BodyText"/>
        <w:spacing w:line="240" w:lineRule="auto"/>
        <w:ind w:right="0"/>
        <w:jc w:val="left"/>
      </w:pPr>
      <w:r>
        <w:rPr>
          <w:color w:val="231F20"/>
          <w:spacing w:val="-1"/>
        </w:rPr>
        <w:t>AGATSIE:</w:t>
      </w:r>
      <w:r>
        <w:rPr/>
      </w:r>
    </w:p>
    <w:p>
      <w:pPr>
        <w:pStyle w:val="BodyText"/>
        <w:spacing w:line="240" w:lineRule="auto"/>
        <w:ind w:left="337" w:right="728" w:hanging="227"/>
        <w:jc w:val="left"/>
      </w:pPr>
      <w:r>
        <w:rPr>
          <w:rFonts w:ascii="Arial" w:hAnsi="Arial"/>
          <w:color w:val="00757A"/>
        </w:rPr>
        <w:t>ϐ </w:t>
      </w:r>
      <w:r>
        <w:rPr>
          <w:rFonts w:ascii="Arial" w:hAnsi="Arial"/>
          <w:color w:val="00757A"/>
          <w:spacing w:val="7"/>
        </w:rPr>
        <w:t> </w:t>
      </w:r>
      <w:r>
        <w:rPr>
          <w:color w:val="231F20"/>
        </w:rPr>
        <w:t>provides</w:t>
      </w:r>
      <w:r>
        <w:rPr>
          <w:color w:val="231F20"/>
          <w:spacing w:val="1"/>
        </w:rPr>
        <w:t> </w:t>
      </w:r>
      <w:r>
        <w:rPr>
          <w:color w:val="231F20"/>
        </w:rPr>
        <w:t>strategic advice to AITSL</w:t>
      </w:r>
      <w:r>
        <w:rPr>
          <w:color w:val="231F20"/>
          <w:spacing w:val="1"/>
        </w:rPr>
        <w:t> </w:t>
      </w:r>
      <w:r>
        <w:rPr>
          <w:color w:val="231F20"/>
        </w:rPr>
        <w:t>on the development</w:t>
      </w:r>
      <w:r>
        <w:rPr>
          <w:color w:val="231F20"/>
          <w:spacing w:val="1"/>
        </w:rPr>
        <w:t> </w:t>
      </w:r>
      <w:r>
        <w:rPr>
          <w:color w:val="231F20"/>
        </w:rPr>
        <w:t>of policies, resources,</w:t>
      </w:r>
      <w:r>
        <w:rPr>
          <w:color w:val="231F20"/>
          <w:spacing w:val="1"/>
        </w:rPr>
        <w:t> </w:t>
      </w:r>
      <w:r>
        <w:rPr>
          <w:color w:val="231F20"/>
        </w:rPr>
        <w:t>and other</w:t>
      </w:r>
      <w:r>
        <w:rPr>
          <w:color w:val="231F20"/>
        </w:rPr>
        <w:t> </w:t>
      </w:r>
      <w:r>
        <w:rPr>
          <w:color w:val="231F20"/>
          <w:spacing w:val="-3"/>
        </w:rPr>
        <w:t>AITSL-led</w:t>
      </w:r>
      <w:r>
        <w:rPr>
          <w:color w:val="231F20"/>
        </w:rPr>
        <w:t> initiatives that support the teaching profession with their cultural capabilities</w:t>
      </w:r>
      <w:r>
        <w:rPr/>
      </w:r>
    </w:p>
    <w:p>
      <w:pPr>
        <w:pStyle w:val="BodyText"/>
        <w:spacing w:line="240" w:lineRule="auto"/>
        <w:ind w:left="337" w:right="466" w:hanging="227"/>
        <w:jc w:val="left"/>
      </w:pPr>
      <w:r>
        <w:rPr>
          <w:rFonts w:ascii="Arial" w:hAnsi="Arial"/>
          <w:color w:val="00757A"/>
        </w:rPr>
        <w:t>ϐ </w:t>
      </w:r>
      <w:r>
        <w:rPr>
          <w:rFonts w:ascii="Arial" w:hAnsi="Arial"/>
          <w:color w:val="00757A"/>
          <w:spacing w:val="7"/>
        </w:rPr>
        <w:t> </w:t>
      </w:r>
      <w:r>
        <w:rPr>
          <w:color w:val="231F20"/>
        </w:rPr>
        <w:t>supports</w:t>
      </w:r>
      <w:r>
        <w:rPr>
          <w:color w:val="231F20"/>
          <w:spacing w:val="1"/>
        </w:rPr>
        <w:t> </w:t>
      </w:r>
      <w:r>
        <w:rPr>
          <w:color w:val="231F20"/>
        </w:rPr>
        <w:t>and guides AITSL in</w:t>
      </w:r>
      <w:r>
        <w:rPr>
          <w:color w:val="231F20"/>
          <w:spacing w:val="1"/>
        </w:rPr>
        <w:t> </w:t>
      </w:r>
      <w:r>
        <w:rPr>
          <w:color w:val="231F20"/>
        </w:rPr>
        <w:t>its consultation with</w:t>
      </w:r>
      <w:r>
        <w:rPr>
          <w:color w:val="231F20"/>
          <w:spacing w:val="1"/>
        </w:rPr>
        <w:t> </w:t>
      </w:r>
      <w:r>
        <w:rPr>
          <w:color w:val="231F20"/>
        </w:rPr>
        <w:t>key stakeholders from</w:t>
      </w:r>
      <w:r>
        <w:rPr>
          <w:color w:val="231F20"/>
          <w:spacing w:val="1"/>
        </w:rPr>
        <w:t> </w:t>
      </w:r>
      <w:r>
        <w:rPr>
          <w:color w:val="231F20"/>
        </w:rPr>
        <w:t>Aboriginal and</w:t>
      </w:r>
      <w:r>
        <w:rPr>
          <w:color w:val="231F20"/>
        </w:rPr>
        <w:t> </w:t>
      </w:r>
      <w:r>
        <w:rPr>
          <w:color w:val="231F20"/>
          <w:spacing w:val="-26"/>
        </w:rPr>
        <w:t>T</w:t>
      </w:r>
      <w:r>
        <w:rPr>
          <w:color w:val="231F20"/>
        </w:rPr>
        <w:t>orres Strait Islander communities</w:t>
      </w:r>
      <w:r>
        <w:rPr/>
      </w:r>
    </w:p>
    <w:p>
      <w:pPr>
        <w:pStyle w:val="BodyText"/>
        <w:spacing w:line="240" w:lineRule="auto"/>
        <w:ind w:left="337" w:right="466" w:hanging="227"/>
        <w:jc w:val="left"/>
      </w:pPr>
      <w:r>
        <w:rPr>
          <w:rFonts w:ascii="Arial" w:hAnsi="Arial" w:cs="Arial" w:eastAsia="Arial"/>
          <w:color w:val="00757A"/>
        </w:rPr>
        <w:t>ϐ </w:t>
      </w:r>
      <w:r>
        <w:rPr>
          <w:rFonts w:ascii="Arial" w:hAnsi="Arial" w:cs="Arial" w:eastAsia="Arial"/>
          <w:color w:val="00757A"/>
          <w:spacing w:val="7"/>
        </w:rPr>
        <w:t> </w:t>
      </w:r>
      <w:r>
        <w:rPr>
          <w:color w:val="231F20"/>
        </w:rPr>
        <w:t>assists</w:t>
      </w:r>
      <w:r>
        <w:rPr>
          <w:color w:val="231F20"/>
          <w:spacing w:val="1"/>
        </w:rPr>
        <w:t> </w:t>
      </w:r>
      <w:r>
        <w:rPr>
          <w:color w:val="231F20"/>
        </w:rPr>
        <w:t>in the development of</w:t>
      </w:r>
      <w:r>
        <w:rPr>
          <w:color w:val="231F20"/>
          <w:spacing w:val="1"/>
        </w:rPr>
        <w:t> </w:t>
      </w:r>
      <w:r>
        <w:rPr>
          <w:color w:val="231F20"/>
        </w:rPr>
        <w:t>AITSL’s Reconciliation Action</w:t>
      </w:r>
      <w:r>
        <w:rPr>
          <w:color w:val="231F20"/>
          <w:spacing w:val="1"/>
        </w:rPr>
        <w:t> </w:t>
      </w:r>
      <w:r>
        <w:rPr>
          <w:color w:val="231F20"/>
        </w:rPr>
        <w:t>Plan (RAP), and</w:t>
      </w:r>
      <w:r>
        <w:rPr>
          <w:color w:val="231F20"/>
          <w:spacing w:val="1"/>
        </w:rPr>
        <w:t> </w:t>
      </w:r>
      <w:r>
        <w:rPr>
          <w:color w:val="231F20"/>
        </w:rPr>
        <w:t>supports and</w:t>
      </w:r>
      <w:r>
        <w:rPr>
          <w:color w:val="231F20"/>
        </w:rPr>
        <w:t> monitors its implementation.</w:t>
      </w:r>
      <w:r>
        <w:rPr/>
      </w:r>
    </w:p>
    <w:p>
      <w:pPr>
        <w:spacing w:line="240" w:lineRule="auto" w:before="0"/>
        <w:rPr>
          <w:rFonts w:ascii="Swis721 Lt BT" w:hAnsi="Swis721 Lt BT" w:cs="Swis721 Lt BT" w:eastAsia="Swis721 Lt BT"/>
          <w:sz w:val="18"/>
          <w:szCs w:val="18"/>
        </w:rPr>
      </w:pPr>
    </w:p>
    <w:p>
      <w:pPr>
        <w:pStyle w:val="Heading8"/>
        <w:spacing w:line="240" w:lineRule="auto"/>
        <w:ind w:right="0"/>
        <w:jc w:val="left"/>
      </w:pPr>
      <w:r>
        <w:rPr>
          <w:color w:val="00757A"/>
          <w:spacing w:val="-2"/>
        </w:rPr>
        <w:t>AGATSIE</w:t>
      </w:r>
      <w:r>
        <w:rPr>
          <w:color w:val="00757A"/>
        </w:rPr>
        <w:t> members:</w:t>
      </w:r>
      <w:r>
        <w:rPr/>
      </w:r>
    </w:p>
    <w:p>
      <w:pPr>
        <w:spacing w:line="240" w:lineRule="auto" w:before="10"/>
        <w:rPr>
          <w:rFonts w:ascii="Swis721 Md BT" w:hAnsi="Swis721 Md BT" w:cs="Swis721 Md BT" w:eastAsia="Swis721 Md BT"/>
          <w:sz w:val="11"/>
          <w:szCs w:val="11"/>
        </w:rPr>
      </w:pPr>
    </w:p>
    <w:p>
      <w:pPr>
        <w:spacing w:line="200" w:lineRule="atLeast"/>
        <w:ind w:left="110" w:right="0" w:firstLine="0"/>
        <w:rPr>
          <w:rFonts w:ascii="Swis721 Md BT" w:hAnsi="Swis721 Md BT" w:cs="Swis721 Md BT" w:eastAsia="Swis721 Md BT"/>
          <w:sz w:val="20"/>
          <w:szCs w:val="20"/>
        </w:rPr>
      </w:pPr>
      <w:r>
        <w:rPr>
          <w:rFonts w:ascii="Swis721 Md BT" w:hAnsi="Swis721 Md BT" w:cs="Swis721 Md BT" w:eastAsia="Swis721 Md BT"/>
          <w:sz w:val="20"/>
          <w:szCs w:val="20"/>
        </w:rPr>
        <w:pict>
          <v:shape style="width:399.7pt;height:22.25pt;mso-position-horizontal-relative:char;mso-position-vertical-relative:line" type="#_x0000_t202" filled="true" fillcolor="#bfd22b" stroked="false">
            <v:textbox inset="0,0,0,0">
              <w:txbxContent>
                <w:p>
                  <w:pPr>
                    <w:tabs>
                      <w:tab w:pos="2381" w:val="left" w:leader="none"/>
                    </w:tabs>
                    <w:spacing w:before="81"/>
                    <w:ind w:left="113" w:right="0" w:firstLine="0"/>
                    <w:jc w:val="left"/>
                    <w:rPr>
                      <w:rFonts w:ascii="Swis721 Md BT" w:hAnsi="Swis721 Md BT" w:cs="Swis721 Md BT" w:eastAsia="Swis721 Md BT"/>
                      <w:sz w:val="20"/>
                      <w:szCs w:val="20"/>
                    </w:rPr>
                  </w:pPr>
                  <w:r>
                    <w:rPr>
                      <w:rFonts w:ascii="Swis721 Md BT"/>
                      <w:color w:val="231F20"/>
                      <w:sz w:val="20"/>
                    </w:rPr>
                    <w:t>Name</w:t>
                    <w:tab/>
                    <w:t>Organisation</w:t>
                  </w:r>
                  <w:r>
                    <w:rPr>
                      <w:rFonts w:ascii="Swis721 Md BT"/>
                      <w:sz w:val="20"/>
                    </w:rPr>
                  </w:r>
                </w:p>
              </w:txbxContent>
            </v:textbox>
            <v:fill type="solid"/>
            <w10:wrap type="none"/>
          </v:shape>
        </w:pict>
      </w:r>
      <w:r>
        <w:rPr>
          <w:rFonts w:ascii="Swis721 Md BT" w:hAnsi="Swis721 Md BT" w:cs="Swis721 Md BT" w:eastAsia="Swis721 Md BT"/>
          <w:sz w:val="20"/>
          <w:szCs w:val="20"/>
        </w:rPr>
      </w:r>
    </w:p>
    <w:p>
      <w:pPr>
        <w:pStyle w:val="BodyText"/>
        <w:tabs>
          <w:tab w:pos="2491" w:val="left" w:leader="none"/>
        </w:tabs>
        <w:spacing w:line="240" w:lineRule="auto" w:before="83"/>
        <w:ind w:left="223" w:right="0"/>
        <w:jc w:val="left"/>
      </w:pPr>
      <w:r>
        <w:rPr>
          <w:color w:val="231F20"/>
        </w:rPr>
        <w:t>Ms Carly Jia (Chair)</w:t>
        <w:tab/>
        <w:t>AITSL</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71797f">
                <v:path arrowok="t"/>
              </v:shape>
            </v:group>
          </v:group>
        </w:pict>
      </w:r>
      <w:r>
        <w:rPr>
          <w:rFonts w:ascii="Swis721 Lt BT" w:hAnsi="Swis721 Lt BT" w:cs="Swis721 Lt BT" w:eastAsia="Swis721 Lt BT"/>
          <w:sz w:val="2"/>
          <w:szCs w:val="2"/>
        </w:rPr>
      </w:r>
    </w:p>
    <w:p>
      <w:pPr>
        <w:pStyle w:val="BodyText"/>
        <w:tabs>
          <w:tab w:pos="2491" w:val="left" w:leader="none"/>
        </w:tabs>
        <w:spacing w:line="240" w:lineRule="auto" w:before="56"/>
        <w:ind w:left="223" w:right="0"/>
        <w:jc w:val="left"/>
      </w:pPr>
      <w:r>
        <w:rPr>
          <w:color w:val="231F20"/>
        </w:rPr>
        <w:t>Ms Renez Lammon</w:t>
        <w:tab/>
        <w:t>AITSL</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71797f">
                <v:path arrowok="t"/>
              </v:shape>
            </v:group>
          </v:group>
        </w:pict>
      </w:r>
      <w:r>
        <w:rPr>
          <w:rFonts w:ascii="Swis721 Lt BT" w:hAnsi="Swis721 Lt BT" w:cs="Swis721 Lt BT" w:eastAsia="Swis721 Lt BT"/>
          <w:sz w:val="2"/>
          <w:szCs w:val="2"/>
        </w:rPr>
      </w:r>
    </w:p>
    <w:p>
      <w:pPr>
        <w:pStyle w:val="BodyText"/>
        <w:tabs>
          <w:tab w:pos="2491" w:val="left" w:leader="none"/>
        </w:tabs>
        <w:spacing w:line="240" w:lineRule="auto" w:before="56"/>
        <w:ind w:left="223" w:right="0"/>
        <w:jc w:val="left"/>
      </w:pPr>
      <w:r>
        <w:rPr>
          <w:color w:val="231F20"/>
        </w:rPr>
        <w:t>Ms Dianne Jickell</w:t>
        <w:tab/>
        <w:t>AITSL</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71797f">
                <v:path arrowok="t"/>
              </v:shape>
            </v:group>
          </v:group>
        </w:pict>
      </w:r>
      <w:r>
        <w:rPr>
          <w:rFonts w:ascii="Swis721 Lt BT" w:hAnsi="Swis721 Lt BT" w:cs="Swis721 Lt BT" w:eastAsia="Swis721 Lt BT"/>
          <w:sz w:val="2"/>
          <w:szCs w:val="2"/>
        </w:rPr>
      </w:r>
    </w:p>
    <w:p>
      <w:pPr>
        <w:pStyle w:val="BodyText"/>
        <w:tabs>
          <w:tab w:pos="2491" w:val="left" w:leader="none"/>
        </w:tabs>
        <w:spacing w:line="399" w:lineRule="auto" w:before="56"/>
        <w:ind w:left="223" w:right="1129"/>
        <w:jc w:val="left"/>
      </w:pPr>
      <w:r>
        <w:rPr/>
        <w:pict>
          <v:group style="position:absolute;margin-left:42.519699pt;margin-top:17.617676pt;width:399.7pt;height:.1pt;mso-position-horizontal-relative:page;mso-position-vertical-relative:paragraph;z-index:-179776" coordorigin="850,352" coordsize="7994,2">
            <v:shape style="position:absolute;left:850;top:352;width:7994;height:2" coordorigin="850,352" coordsize="7994,0" path="m850,352l8844,352e" filled="false" stroked="true" strokeweight=".3pt" strokecolor="#71797f">
              <v:path arrowok="t"/>
            </v:shape>
            <w10:wrap type="none"/>
          </v:group>
        </w:pict>
      </w:r>
      <w:r>
        <w:rPr/>
        <w:pict>
          <v:group style="position:absolute;margin-left:42.519699pt;margin-top:36.589474pt;width:399.7pt;height:.1pt;mso-position-horizontal-relative:page;mso-position-vertical-relative:paragraph;z-index:-179752" coordorigin="850,732" coordsize="7994,2">
            <v:shape style="position:absolute;left:850;top:732;width:7994;height:2" coordorigin="850,732" coordsize="7994,0" path="m850,732l8844,732e" filled="false" stroked="true" strokeweight=".3pt" strokecolor="#71797f">
              <v:path arrowok="t"/>
            </v:shape>
            <w10:wrap type="none"/>
          </v:group>
        </w:pict>
      </w:r>
      <w:r>
        <w:rPr/>
        <w:pict>
          <v:group style="position:absolute;margin-left:42.519699pt;margin-top:55.561272pt;width:399.7pt;height:.1pt;mso-position-horizontal-relative:page;mso-position-vertical-relative:paragraph;z-index:-179728" coordorigin="850,1111" coordsize="7994,2">
            <v:shape style="position:absolute;left:850;top:1111;width:7994;height:2" coordorigin="850,1111" coordsize="7994,0" path="m850,1111l8844,1111e" filled="false" stroked="true" strokeweight=".3pt" strokecolor="#71797f">
              <v:path arrowok="t"/>
            </v:shape>
            <w10:wrap type="none"/>
          </v:group>
        </w:pict>
      </w:r>
      <w:r>
        <w:rPr>
          <w:color w:val="231F20"/>
        </w:rPr>
        <w:t>Ms Dyonne Anderson</w:t>
        <w:tab/>
        <w:t>New South </w:t>
      </w:r>
      <w:r>
        <w:rPr>
          <w:color w:val="231F20"/>
          <w:spacing w:val="-1"/>
        </w:rPr>
        <w:t>Wales</w:t>
      </w:r>
      <w:r>
        <w:rPr>
          <w:color w:val="231F20"/>
        </w:rPr>
        <w:t> Department of Education and </w:t>
      </w:r>
      <w:r>
        <w:rPr>
          <w:color w:val="231F20"/>
          <w:spacing w:val="-3"/>
        </w:rPr>
        <w:t>Training</w:t>
      </w:r>
      <w:r>
        <w:rPr>
          <w:color w:val="231F20"/>
          <w:spacing w:val="27"/>
        </w:rPr>
        <w:t> </w:t>
      </w:r>
      <w:r>
        <w:rPr>
          <w:color w:val="231F20"/>
        </w:rPr>
        <w:t>Ms Geraldine Atkinson</w:t>
        <w:tab/>
        <w:t>Victorian Aboriginal Education Association Inc. </w:t>
      </w:r>
      <w:r>
        <w:rPr>
          <w:color w:val="231F20"/>
          <w:spacing w:val="-1"/>
        </w:rPr>
        <w:t>(VAEAI)</w:t>
      </w:r>
      <w:r>
        <w:rPr>
          <w:color w:val="231F20"/>
          <w:spacing w:val="23"/>
        </w:rPr>
        <w:t> </w:t>
      </w:r>
      <w:r>
        <w:rPr>
          <w:color w:val="231F20"/>
        </w:rPr>
        <w:t>Dr Jessa Rogers</w:t>
        <w:tab/>
        <w:t>PwC Australia</w:t>
      </w:r>
      <w:r>
        <w:rPr/>
      </w:r>
    </w:p>
    <w:p>
      <w:pPr>
        <w:pStyle w:val="BodyText"/>
        <w:tabs>
          <w:tab w:pos="2491" w:val="left" w:leader="none"/>
        </w:tabs>
        <w:spacing w:line="240" w:lineRule="auto" w:before="0"/>
        <w:ind w:left="223" w:right="0"/>
        <w:jc w:val="left"/>
      </w:pPr>
      <w:r>
        <w:rPr>
          <w:color w:val="231F20"/>
        </w:rPr>
        <w:t>Mr Joe Sambono</w:t>
        <w:tab/>
        <w:t>Australian Curriculum, Assessment and Reporting Authority</w:t>
      </w:r>
      <w:r>
        <w:rPr/>
      </w:r>
    </w:p>
    <w:p>
      <w:pPr>
        <w:pStyle w:val="BodyText"/>
        <w:spacing w:line="240" w:lineRule="auto" w:before="0"/>
        <w:ind w:left="0" w:right="2506"/>
        <w:jc w:val="center"/>
      </w:pPr>
      <w:r>
        <w:rPr>
          <w:color w:val="231F20"/>
        </w:rPr>
        <w:t>(ACARA)</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71797f">
                <v:path arrowok="t"/>
              </v:shape>
            </v:group>
          </v:group>
        </w:pict>
      </w:r>
      <w:r>
        <w:rPr>
          <w:rFonts w:ascii="Swis721 Lt BT" w:hAnsi="Swis721 Lt BT" w:cs="Swis721 Lt BT" w:eastAsia="Swis721 Lt BT"/>
          <w:sz w:val="2"/>
          <w:szCs w:val="2"/>
        </w:rPr>
      </w:r>
    </w:p>
    <w:p>
      <w:pPr>
        <w:pStyle w:val="BodyText"/>
        <w:tabs>
          <w:tab w:pos="2491" w:val="left" w:leader="none"/>
        </w:tabs>
        <w:spacing w:line="240" w:lineRule="auto" w:before="56"/>
        <w:ind w:left="223" w:right="0"/>
        <w:jc w:val="left"/>
      </w:pPr>
      <w:r>
        <w:rPr>
          <w:color w:val="231F20"/>
        </w:rPr>
        <w:t>Ms Judith </w:t>
      </w:r>
      <w:r>
        <w:rPr>
          <w:color w:val="231F20"/>
          <w:spacing w:val="-1"/>
        </w:rPr>
        <w:t>Ketchell</w:t>
        <w:tab/>
      </w:r>
      <w:r>
        <w:rPr>
          <w:color w:val="231F20"/>
        </w:rPr>
        <w:t>Department of Education Queensland</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71797f">
                <v:path arrowok="t"/>
              </v:shape>
            </v:group>
          </v:group>
        </w:pict>
      </w:r>
      <w:r>
        <w:rPr>
          <w:rFonts w:ascii="Swis721 Lt BT" w:hAnsi="Swis721 Lt BT" w:cs="Swis721 Lt BT" w:eastAsia="Swis721 Lt BT"/>
          <w:sz w:val="2"/>
          <w:szCs w:val="2"/>
        </w:rPr>
      </w:r>
    </w:p>
    <w:p>
      <w:pPr>
        <w:spacing w:after="0" w:line="20" w:lineRule="atLeast"/>
        <w:rPr>
          <w:rFonts w:ascii="Swis721 Lt BT" w:hAnsi="Swis721 Lt BT" w:cs="Swis721 Lt BT" w:eastAsia="Swis721 Lt BT"/>
          <w:sz w:val="2"/>
          <w:szCs w:val="2"/>
        </w:rPr>
        <w:sectPr>
          <w:pgSz w:w="9980" w:h="14180"/>
          <w:pgMar w:header="0" w:footer="452" w:top="1040" w:bottom="640" w:left="740" w:right="1020"/>
        </w:sectPr>
      </w:pPr>
    </w:p>
    <w:p>
      <w:pPr>
        <w:spacing w:before="58"/>
        <w:ind w:left="0" w:right="108" w:firstLine="0"/>
        <w:jc w:val="righ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16"/>
          <w:szCs w:val="16"/>
        </w:rPr>
      </w:pPr>
    </w:p>
    <w:p>
      <w:pPr>
        <w:pStyle w:val="Heading5"/>
        <w:spacing w:line="240" w:lineRule="auto" w:before="61"/>
        <w:ind w:left="113" w:right="0"/>
        <w:jc w:val="left"/>
        <w:rPr>
          <w:b w:val="0"/>
          <w:bCs w:val="0"/>
        </w:rPr>
      </w:pPr>
      <w:r>
        <w:rPr>
          <w:color w:val="005E63"/>
        </w:rPr>
        <w:t>PROFESSIONAL GROWTH NETWORK</w:t>
      </w:r>
      <w:r>
        <w:rPr>
          <w:b w:val="0"/>
        </w:rPr>
      </w:r>
    </w:p>
    <w:p>
      <w:pPr>
        <w:pStyle w:val="BodyText"/>
        <w:spacing w:line="240" w:lineRule="auto" w:before="215"/>
        <w:ind w:left="113" w:right="135"/>
        <w:jc w:val="left"/>
      </w:pPr>
      <w:r>
        <w:rPr>
          <w:color w:val="231F20"/>
        </w:rPr>
        <w:t>The Professional Growth Network (PGN) was initiated by AITSL in March 2014. The PGN comprises individuals from 24 education systems and sectors in Australia who are responsible for professional learning and/or performance and development for teachers and school leaders in their jurisdiction.</w:t>
      </w:r>
      <w:r>
        <w:rPr/>
      </w:r>
    </w:p>
    <w:p>
      <w:pPr>
        <w:pStyle w:val="BodyText"/>
        <w:spacing w:line="240" w:lineRule="auto"/>
        <w:ind w:left="113" w:right="0"/>
        <w:jc w:val="left"/>
      </w:pPr>
      <w:r>
        <w:rPr>
          <w:color w:val="231F20"/>
        </w:rPr>
        <w:t>The purpose of the PGN is to:</w:t>
      </w:r>
      <w:r>
        <w:rPr/>
      </w:r>
    </w:p>
    <w:p>
      <w:pPr>
        <w:pStyle w:val="BodyText"/>
        <w:spacing w:line="240" w:lineRule="auto"/>
        <w:ind w:left="340" w:right="296" w:hanging="227"/>
        <w:jc w:val="left"/>
      </w:pPr>
      <w:r>
        <w:rPr>
          <w:rFonts w:ascii="Arial" w:hAnsi="Arial"/>
          <w:color w:val="00757A"/>
        </w:rPr>
        <w:t>ϐ </w:t>
      </w:r>
      <w:r>
        <w:rPr>
          <w:rFonts w:ascii="Arial" w:hAnsi="Arial"/>
          <w:color w:val="00757A"/>
          <w:spacing w:val="7"/>
        </w:rPr>
        <w:t> </w:t>
      </w:r>
      <w:r>
        <w:rPr>
          <w:color w:val="231F20"/>
        </w:rPr>
        <w:t>contribute</w:t>
      </w:r>
      <w:r>
        <w:rPr>
          <w:color w:val="231F20"/>
          <w:spacing w:val="1"/>
        </w:rPr>
        <w:t> </w:t>
      </w:r>
      <w:r>
        <w:rPr>
          <w:color w:val="231F20"/>
        </w:rPr>
        <w:t>to the national education</w:t>
      </w:r>
      <w:r>
        <w:rPr>
          <w:color w:val="231F20"/>
          <w:spacing w:val="1"/>
        </w:rPr>
        <w:t> </w:t>
      </w:r>
      <w:r>
        <w:rPr>
          <w:color w:val="231F20"/>
        </w:rPr>
        <w:t>agenda by sharing</w:t>
      </w:r>
      <w:r>
        <w:rPr>
          <w:color w:val="231F20"/>
          <w:spacing w:val="1"/>
        </w:rPr>
        <w:t> </w:t>
      </w:r>
      <w:r>
        <w:rPr>
          <w:color w:val="231F20"/>
        </w:rPr>
        <w:t>the latest research</w:t>
      </w:r>
      <w:r>
        <w:rPr>
          <w:color w:val="231F20"/>
          <w:spacing w:val="1"/>
        </w:rPr>
        <w:t> </w:t>
      </w:r>
      <w:r>
        <w:rPr>
          <w:color w:val="231F20"/>
        </w:rPr>
        <w:t>and thinking,</w:t>
      </w:r>
      <w:r>
        <w:rPr>
          <w:color w:val="231F20"/>
        </w:rPr>
        <w:t> showcasing current approaches and practices across Australian education jurisdictions, and furthering the development of resources and tools with a focus on promoting excellence in teaching and school leadership</w:t>
      </w:r>
      <w:r>
        <w:rPr/>
      </w:r>
    </w:p>
    <w:p>
      <w:pPr>
        <w:spacing w:before="113"/>
        <w:ind w:left="340" w:right="298" w:hanging="227"/>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7"/>
          <w:sz w:val="19"/>
        </w:rPr>
        <w:t> </w:t>
      </w:r>
      <w:r>
        <w:rPr>
          <w:rFonts w:ascii="Swis721 Lt BT" w:hAnsi="Swis721 Lt BT"/>
          <w:color w:val="231F20"/>
          <w:sz w:val="19"/>
        </w:rPr>
        <w:t>partner</w:t>
      </w:r>
      <w:r>
        <w:rPr>
          <w:rFonts w:ascii="Swis721 Lt BT" w:hAnsi="Swis721 Lt BT"/>
          <w:color w:val="231F20"/>
          <w:spacing w:val="1"/>
          <w:sz w:val="19"/>
        </w:rPr>
        <w:t> </w:t>
      </w:r>
      <w:r>
        <w:rPr>
          <w:rFonts w:ascii="Swis721 Lt BT" w:hAnsi="Swis721 Lt BT"/>
          <w:color w:val="231F20"/>
          <w:sz w:val="19"/>
        </w:rPr>
        <w:t>to support implementation</w:t>
      </w:r>
      <w:r>
        <w:rPr>
          <w:rFonts w:ascii="Swis721 Lt BT" w:hAnsi="Swis721 Lt BT"/>
          <w:color w:val="231F20"/>
          <w:spacing w:val="1"/>
          <w:sz w:val="19"/>
        </w:rPr>
        <w:t> </w:t>
      </w:r>
      <w:r>
        <w:rPr>
          <w:rFonts w:ascii="Swis721 Lt BT" w:hAnsi="Swis721 Lt BT"/>
          <w:color w:val="231F20"/>
          <w:sz w:val="19"/>
        </w:rPr>
        <w:t>of national policies</w:t>
      </w:r>
      <w:r>
        <w:rPr>
          <w:rFonts w:ascii="Swis721 Lt BT" w:hAnsi="Swis721 Lt BT"/>
          <w:color w:val="231F20"/>
          <w:spacing w:val="1"/>
          <w:sz w:val="19"/>
        </w:rPr>
        <w:t> </w:t>
      </w:r>
      <w:r>
        <w:rPr>
          <w:rFonts w:ascii="Swis721 Lt BT" w:hAnsi="Swis721 Lt BT"/>
          <w:color w:val="231F20"/>
          <w:sz w:val="19"/>
        </w:rPr>
        <w:t>including the</w:t>
      </w:r>
      <w:r>
        <w:rPr>
          <w:rFonts w:ascii="Swis721 Lt BT" w:hAnsi="Swis721 Lt BT"/>
          <w:color w:val="231F20"/>
          <w:spacing w:val="1"/>
          <w:sz w:val="19"/>
        </w:rPr>
        <w:t> </w:t>
      </w:r>
      <w:r>
        <w:rPr>
          <w:rFonts w:ascii="Swis721 Lt BT" w:hAnsi="Swis721 Lt BT"/>
          <w:i/>
          <w:color w:val="231F20"/>
          <w:sz w:val="19"/>
        </w:rPr>
        <w:t>Australian Professional</w:t>
      </w:r>
      <w:r>
        <w:rPr>
          <w:rFonts w:ascii="Swis721 Lt BT" w:hAnsi="Swis721 Lt BT"/>
          <w:i/>
          <w:color w:val="231F20"/>
          <w:sz w:val="19"/>
        </w:rPr>
        <w:t> Standards for </w:t>
      </w:r>
      <w:r>
        <w:rPr>
          <w:rFonts w:ascii="Swis721 Lt BT" w:hAnsi="Swis721 Lt BT"/>
          <w:i/>
          <w:color w:val="231F20"/>
          <w:spacing w:val="-3"/>
          <w:sz w:val="19"/>
        </w:rPr>
        <w:t>Teachers</w:t>
      </w:r>
      <w:r>
        <w:rPr>
          <w:rFonts w:ascii="Swis721 Lt BT" w:hAnsi="Swis721 Lt BT"/>
          <w:color w:val="231F20"/>
          <w:spacing w:val="-3"/>
          <w:sz w:val="19"/>
        </w:rPr>
        <w:t>,</w:t>
      </w:r>
      <w:r>
        <w:rPr>
          <w:rFonts w:ascii="Swis721 Lt BT" w:hAnsi="Swis721 Lt BT"/>
          <w:color w:val="231F20"/>
          <w:sz w:val="19"/>
        </w:rPr>
        <w:t> the </w:t>
      </w:r>
      <w:r>
        <w:rPr>
          <w:rFonts w:ascii="Swis721 Lt BT" w:hAnsi="Swis721 Lt BT"/>
          <w:i/>
          <w:color w:val="231F20"/>
          <w:sz w:val="19"/>
        </w:rPr>
        <w:t>Australian Professional Standard for Principals</w:t>
      </w:r>
      <w:r>
        <w:rPr>
          <w:rFonts w:ascii="Swis721 Lt BT" w:hAnsi="Swis721 Lt BT"/>
          <w:color w:val="231F20"/>
          <w:sz w:val="19"/>
        </w:rPr>
        <w:t>, the </w:t>
      </w:r>
      <w:r>
        <w:rPr>
          <w:rFonts w:ascii="Swis721 Lt BT" w:hAnsi="Swis721 Lt BT"/>
          <w:i/>
          <w:color w:val="231F20"/>
          <w:sz w:val="19"/>
        </w:rPr>
        <w:t>Australian</w:t>
      </w:r>
      <w:r>
        <w:rPr>
          <w:rFonts w:ascii="Swis721 Lt BT" w:hAnsi="Swis721 Lt BT"/>
          <w:i/>
          <w:color w:val="231F20"/>
          <w:spacing w:val="24"/>
          <w:sz w:val="19"/>
        </w:rPr>
        <w:t> </w:t>
      </w:r>
      <w:r>
        <w:rPr>
          <w:rFonts w:ascii="Swis721 Lt BT" w:hAnsi="Swis721 Lt BT"/>
          <w:i/>
          <w:color w:val="231F20"/>
          <w:spacing w:val="-4"/>
          <w:sz w:val="19"/>
        </w:rPr>
        <w:t>Teacher</w:t>
      </w:r>
      <w:r>
        <w:rPr>
          <w:rFonts w:ascii="Swis721 Lt BT" w:hAnsi="Swis721 Lt BT"/>
          <w:i/>
          <w:color w:val="231F20"/>
          <w:sz w:val="19"/>
        </w:rPr>
        <w:t> Performance and Development Framework </w:t>
      </w:r>
      <w:r>
        <w:rPr>
          <w:rFonts w:ascii="Swis721 Lt BT" w:hAnsi="Swis721 Lt BT"/>
          <w:color w:val="231F20"/>
          <w:sz w:val="19"/>
        </w:rPr>
        <w:t>and the </w:t>
      </w:r>
      <w:r>
        <w:rPr>
          <w:rFonts w:ascii="Swis721 Lt BT" w:hAnsi="Swis721 Lt BT"/>
          <w:i/>
          <w:color w:val="231F20"/>
          <w:sz w:val="19"/>
        </w:rPr>
        <w:t>Australian Charter for the</w:t>
      </w:r>
      <w:r>
        <w:rPr>
          <w:rFonts w:ascii="Swis721 Lt BT" w:hAnsi="Swis721 Lt BT"/>
          <w:i/>
          <w:color w:val="231F20"/>
          <w:spacing w:val="26"/>
          <w:sz w:val="19"/>
        </w:rPr>
        <w:t> </w:t>
      </w:r>
      <w:r>
        <w:rPr>
          <w:rFonts w:ascii="Swis721 Lt BT" w:hAnsi="Swis721 Lt BT"/>
          <w:i/>
          <w:color w:val="231F20"/>
          <w:sz w:val="19"/>
        </w:rPr>
        <w:t>Professional Learning of </w:t>
      </w:r>
      <w:r>
        <w:rPr>
          <w:rFonts w:ascii="Swis721 Lt BT" w:hAnsi="Swis721 Lt BT"/>
          <w:i/>
          <w:color w:val="231F20"/>
          <w:spacing w:val="-3"/>
          <w:sz w:val="19"/>
        </w:rPr>
        <w:t>Teachers</w:t>
      </w:r>
      <w:r>
        <w:rPr>
          <w:rFonts w:ascii="Swis721 Lt BT" w:hAnsi="Swis721 Lt BT"/>
          <w:i/>
          <w:color w:val="231F20"/>
          <w:sz w:val="19"/>
        </w:rPr>
        <w:t> and School Leaders</w:t>
      </w:r>
      <w:r>
        <w:rPr>
          <w:rFonts w:ascii="Swis721 Lt BT" w:hAnsi="Swis721 Lt BT"/>
          <w:color w:val="231F20"/>
          <w:sz w:val="19"/>
        </w:rPr>
        <w:t>.</w:t>
      </w:r>
      <w:r>
        <w:rPr>
          <w:rFonts w:ascii="Swis721 Lt BT" w:hAnsi="Swis721 Lt BT"/>
          <w:sz w:val="19"/>
        </w:rPr>
      </w:r>
    </w:p>
    <w:p>
      <w:pPr>
        <w:pStyle w:val="BodyText"/>
        <w:spacing w:line="240" w:lineRule="auto"/>
        <w:ind w:left="113" w:right="157"/>
        <w:jc w:val="left"/>
      </w:pPr>
      <w:r>
        <w:rPr>
          <w:color w:val="231F20"/>
        </w:rPr>
        <w:t>Developing a national network of leaders in this space provides an opportunity for AITSL to work in partnership with systems and sectors to drive the professional growth of Australian educators.</w:t>
      </w:r>
      <w:r>
        <w:rPr/>
      </w:r>
    </w:p>
    <w:p>
      <w:pPr>
        <w:spacing w:line="240" w:lineRule="auto" w:before="0"/>
        <w:rPr>
          <w:rFonts w:ascii="Swis721 Lt BT" w:hAnsi="Swis721 Lt BT" w:cs="Swis721 Lt BT" w:eastAsia="Swis721 Lt BT"/>
          <w:sz w:val="18"/>
          <w:szCs w:val="18"/>
        </w:rPr>
      </w:pPr>
    </w:p>
    <w:p>
      <w:pPr>
        <w:pStyle w:val="Heading8"/>
        <w:spacing w:line="240" w:lineRule="auto"/>
        <w:ind w:left="113" w:right="0"/>
        <w:jc w:val="left"/>
      </w:pPr>
      <w:r>
        <w:rPr>
          <w:color w:val="00757A"/>
        </w:rPr>
        <w:t>PGN members:</w:t>
      </w:r>
      <w:r>
        <w:rPr/>
      </w:r>
    </w:p>
    <w:p>
      <w:pPr>
        <w:spacing w:line="240" w:lineRule="auto" w:before="10"/>
        <w:rPr>
          <w:rFonts w:ascii="Swis721 Md BT" w:hAnsi="Swis721 Md BT" w:cs="Swis721 Md BT" w:eastAsia="Swis721 Md BT"/>
          <w:sz w:val="11"/>
          <w:szCs w:val="11"/>
        </w:rPr>
      </w:pPr>
    </w:p>
    <w:p>
      <w:pPr>
        <w:spacing w:line="200" w:lineRule="atLeast"/>
        <w:ind w:left="113" w:right="0" w:firstLine="0"/>
        <w:rPr>
          <w:rFonts w:ascii="Swis721 Md BT" w:hAnsi="Swis721 Md BT" w:cs="Swis721 Md BT" w:eastAsia="Swis721 Md BT"/>
          <w:sz w:val="20"/>
          <w:szCs w:val="20"/>
        </w:rPr>
      </w:pPr>
      <w:r>
        <w:rPr>
          <w:rFonts w:ascii="Swis721 Md BT" w:hAnsi="Swis721 Md BT" w:cs="Swis721 Md BT" w:eastAsia="Swis721 Md BT"/>
          <w:sz w:val="20"/>
          <w:szCs w:val="20"/>
        </w:rPr>
        <w:pict>
          <v:shape style="width:399.7pt;height:22.25pt;mso-position-horizontal-relative:char;mso-position-vertical-relative:line" type="#_x0000_t202" filled="true" fillcolor="#bfd22b" stroked="false">
            <v:textbox inset="0,0,0,0">
              <w:txbxContent>
                <w:p>
                  <w:pPr>
                    <w:tabs>
                      <w:tab w:pos="2381" w:val="left" w:leader="none"/>
                    </w:tabs>
                    <w:spacing w:before="81"/>
                    <w:ind w:left="113" w:right="0" w:firstLine="0"/>
                    <w:jc w:val="left"/>
                    <w:rPr>
                      <w:rFonts w:ascii="Swis721 Md BT" w:hAnsi="Swis721 Md BT" w:cs="Swis721 Md BT" w:eastAsia="Swis721 Md BT"/>
                      <w:sz w:val="20"/>
                      <w:szCs w:val="20"/>
                    </w:rPr>
                  </w:pPr>
                  <w:r>
                    <w:rPr>
                      <w:rFonts w:ascii="Swis721 Md BT"/>
                      <w:color w:val="231F20"/>
                      <w:sz w:val="20"/>
                    </w:rPr>
                    <w:t>Name</w:t>
                    <w:tab/>
                    <w:t>Organisation</w:t>
                  </w:r>
                  <w:r>
                    <w:rPr>
                      <w:rFonts w:ascii="Swis721 Md BT"/>
                      <w:sz w:val="20"/>
                    </w:rPr>
                  </w:r>
                </w:p>
              </w:txbxContent>
            </v:textbox>
            <v:fill type="solid"/>
            <w10:wrap type="none"/>
          </v:shape>
        </w:pict>
      </w:r>
      <w:r>
        <w:rPr>
          <w:rFonts w:ascii="Swis721 Md BT" w:hAnsi="Swis721 Md BT" w:cs="Swis721 Md BT" w:eastAsia="Swis721 Md BT"/>
          <w:sz w:val="20"/>
          <w:szCs w:val="20"/>
        </w:rPr>
      </w:r>
    </w:p>
    <w:p>
      <w:pPr>
        <w:pStyle w:val="BodyText"/>
        <w:tabs>
          <w:tab w:pos="2494" w:val="left" w:leader="none"/>
        </w:tabs>
        <w:spacing w:line="240" w:lineRule="auto" w:before="83"/>
        <w:ind w:left="227" w:right="0"/>
        <w:jc w:val="left"/>
      </w:pPr>
      <w:r>
        <w:rPr/>
        <w:pict>
          <v:group style="position:absolute;margin-left:56.692898pt;margin-top:18.966759pt;width:399.7pt;height:.1pt;mso-position-horizontal-relative:page;mso-position-vertical-relative:paragraph;z-index:6088" coordorigin="1134,379" coordsize="7994,2">
            <v:shape style="position:absolute;left:1134;top:379;width:7994;height:2" coordorigin="1134,379" coordsize="7994,0" path="m1134,379l9128,379e" filled="false" stroked="true" strokeweight=".3pt" strokecolor="#303b41">
              <v:path arrowok="t"/>
            </v:shape>
            <w10:wrap type="none"/>
          </v:group>
        </w:pict>
      </w:r>
      <w:r>
        <w:rPr>
          <w:color w:val="231F20"/>
        </w:rPr>
        <w:t>Dominic Braybon</w:t>
        <w:tab/>
        <w:t>Catholic Education Archdiocese of Canberra and Goulburn</w:t>
      </w:r>
      <w:r>
        <w:rPr/>
      </w:r>
    </w:p>
    <w:p>
      <w:pPr>
        <w:spacing w:after="0" w:line="240" w:lineRule="auto"/>
        <w:jc w:val="left"/>
        <w:sectPr>
          <w:pgSz w:w="9980" w:h="14180"/>
          <w:pgMar w:header="0" w:footer="452" w:top="360" w:bottom="640" w:left="1020" w:right="740"/>
        </w:sectPr>
      </w:pPr>
    </w:p>
    <w:p>
      <w:pPr>
        <w:pStyle w:val="BodyText"/>
        <w:spacing w:line="240" w:lineRule="auto" w:before="151"/>
        <w:ind w:left="227" w:right="0"/>
        <w:jc w:val="left"/>
      </w:pPr>
      <w:r>
        <w:rPr>
          <w:color w:val="231F20"/>
          <w:spacing w:val="-1"/>
        </w:rPr>
        <w:t>Mary-Jane</w:t>
      </w:r>
      <w:r>
        <w:rPr>
          <w:color w:val="231F20"/>
        </w:rPr>
        <w:t> Carroll-</w:t>
      </w:r>
      <w:r>
        <w:rPr>
          <w:color w:val="231F20"/>
          <w:spacing w:val="25"/>
        </w:rPr>
        <w:t> </w:t>
      </w:r>
      <w:r>
        <w:rPr>
          <w:color w:val="231F20"/>
          <w:spacing w:val="-1"/>
        </w:rPr>
        <w:t>Fajarda</w:t>
      </w:r>
      <w:r>
        <w:rPr/>
      </w:r>
    </w:p>
    <w:p>
      <w:pPr>
        <w:pStyle w:val="BodyText"/>
        <w:spacing w:line="240" w:lineRule="auto" w:before="151"/>
        <w:ind w:left="227" w:right="0"/>
        <w:jc w:val="left"/>
      </w:pPr>
      <w:r>
        <w:rPr/>
        <w:br w:type="column"/>
      </w:r>
      <w:r>
        <w:rPr>
          <w:color w:val="231F20"/>
        </w:rPr>
        <w:t>Catholic Education Archdiocese of Canberra and Goulburn</w:t>
      </w:r>
      <w:r>
        <w:rPr/>
      </w:r>
    </w:p>
    <w:p>
      <w:pPr>
        <w:spacing w:after="0" w:line="240" w:lineRule="auto"/>
        <w:jc w:val="left"/>
        <w:sectPr>
          <w:type w:val="continuous"/>
          <w:pgSz w:w="9980" w:h="14180"/>
          <w:pgMar w:top="0" w:bottom="280" w:left="1020" w:right="740"/>
          <w:cols w:num="2" w:equalWidth="0">
            <w:col w:w="1734" w:space="534"/>
            <w:col w:w="5952"/>
          </w:cols>
        </w:sectPr>
      </w:pP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4" w:val="left" w:leader="none"/>
        </w:tabs>
        <w:spacing w:line="240" w:lineRule="auto" w:before="56"/>
        <w:ind w:left="227" w:right="0"/>
        <w:jc w:val="left"/>
      </w:pPr>
      <w:r>
        <w:rPr>
          <w:color w:val="231F20"/>
        </w:rPr>
        <w:t>Mandy Kalyvas</w:t>
        <w:tab/>
        <w:t>Education and </w:t>
      </w:r>
      <w:r>
        <w:rPr>
          <w:color w:val="231F20"/>
          <w:spacing w:val="-3"/>
        </w:rPr>
        <w:t>Training</w:t>
      </w:r>
      <w:r>
        <w:rPr>
          <w:color w:val="231F20"/>
        </w:rPr>
        <w:t> Directorate ACT</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4" w:val="left" w:leader="none"/>
        </w:tabs>
        <w:spacing w:line="399" w:lineRule="auto" w:before="56"/>
        <w:ind w:left="227" w:right="1854"/>
        <w:jc w:val="both"/>
      </w:pPr>
      <w:r>
        <w:rPr/>
        <w:pict>
          <v:group style="position:absolute;margin-left:56.692898pt;margin-top:17.617676pt;width:399.7pt;height:.1pt;mso-position-horizontal-relative:page;mso-position-vertical-relative:paragraph;z-index:-179536" coordorigin="1134,352" coordsize="7994,2">
            <v:shape style="position:absolute;left:1134;top:352;width:7994;height:2" coordorigin="1134,352" coordsize="7994,0" path="m1134,352l9128,352e" filled="false" stroked="true" strokeweight=".3pt" strokecolor="#303b41">
              <v:path arrowok="t"/>
            </v:shape>
            <w10:wrap type="none"/>
          </v:group>
        </w:pict>
      </w:r>
      <w:r>
        <w:rPr/>
        <w:pict>
          <v:group style="position:absolute;margin-left:56.692898pt;margin-top:36.589474pt;width:399.7pt;height:.1pt;mso-position-horizontal-relative:page;mso-position-vertical-relative:paragraph;z-index:-179512" coordorigin="1134,732" coordsize="7994,2">
            <v:shape style="position:absolute;left:1134;top:732;width:7994;height:2" coordorigin="1134,732" coordsize="7994,0" path="m1134,732l9128,732e" filled="false" stroked="true" strokeweight=".3pt" strokecolor="#303b41">
              <v:path arrowok="t"/>
            </v:shape>
            <w10:wrap type="none"/>
          </v:group>
        </w:pict>
      </w:r>
      <w:r>
        <w:rPr/>
        <w:pict>
          <v:group style="position:absolute;margin-left:56.692898pt;margin-top:55.561272pt;width:399.7pt;height:.1pt;mso-position-horizontal-relative:page;mso-position-vertical-relative:paragraph;z-index:-179488" coordorigin="1134,1111" coordsize="7994,2">
            <v:shape style="position:absolute;left:1134;top:1111;width:7994;height:2" coordorigin="1134,1111" coordsize="7994,0" path="m1134,1111l9128,1111e" filled="false" stroked="true" strokeweight=".3pt" strokecolor="#303b41">
              <v:path arrowok="t"/>
            </v:shape>
            <w10:wrap type="none"/>
          </v:group>
        </w:pict>
      </w:r>
      <w:r>
        <w:rPr>
          <w:color w:val="231F20"/>
        </w:rPr>
        <w:t>Ian Garrity</w:t>
        <w:tab/>
        <w:t>Association of Independent Schools of the ACT Kath Morwitch</w:t>
        <w:tab/>
        <w:t>Association of Independent Schools of the ACT Anna Mc</w:t>
      </w:r>
      <w:r>
        <w:rPr>
          <w:color w:val="231F20"/>
          <w:spacing w:val="-4"/>
        </w:rPr>
        <w:t>K</w:t>
      </w:r>
      <w:r>
        <w:rPr>
          <w:color w:val="231F20"/>
        </w:rPr>
        <w:t>enzie</w:t>
        <w:tab/>
        <w:t>ACT </w:t>
      </w:r>
      <w:r>
        <w:rPr>
          <w:color w:val="231F20"/>
          <w:spacing w:val="-26"/>
        </w:rPr>
        <w:t>T</w:t>
      </w:r>
      <w:r>
        <w:rPr>
          <w:color w:val="231F20"/>
        </w:rPr>
        <w:t>eacher Quality Institute</w:t>
      </w:r>
      <w:r>
        <w:rPr/>
      </w:r>
    </w:p>
    <w:p>
      <w:pPr>
        <w:pStyle w:val="BodyText"/>
        <w:tabs>
          <w:tab w:pos="2494" w:val="left" w:leader="none"/>
        </w:tabs>
        <w:spacing w:line="240" w:lineRule="auto" w:before="0"/>
        <w:ind w:left="227" w:right="0"/>
        <w:jc w:val="left"/>
      </w:pPr>
      <w:r>
        <w:rPr>
          <w:color w:val="231F20"/>
        </w:rPr>
        <w:t>Liz Latham</w:t>
        <w:tab/>
        <w:t>Catholic Education Commission NSW</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4" w:val="left" w:leader="none"/>
        </w:tabs>
        <w:spacing w:line="240" w:lineRule="auto" w:before="56"/>
        <w:ind w:left="227" w:right="0"/>
        <w:jc w:val="left"/>
      </w:pPr>
      <w:r>
        <w:rPr>
          <w:color w:val="231F20"/>
          <w:spacing w:val="-1"/>
        </w:rPr>
        <w:t>Patrick</w:t>
      </w:r>
      <w:r>
        <w:rPr>
          <w:color w:val="231F20"/>
        </w:rPr>
        <w:t> Barrett</w:t>
        <w:tab/>
        <w:t>Catholic Education Commission NSW</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4" w:val="left" w:leader="none"/>
        </w:tabs>
        <w:spacing w:line="399" w:lineRule="auto" w:before="56"/>
        <w:ind w:left="227" w:right="3205"/>
        <w:jc w:val="left"/>
      </w:pPr>
      <w:r>
        <w:rPr/>
        <w:pict>
          <v:group style="position:absolute;margin-left:56.692898pt;margin-top:17.619169pt;width:399.7pt;height:.1pt;mso-position-horizontal-relative:page;mso-position-vertical-relative:paragraph;z-index:-179464" coordorigin="1134,352" coordsize="7994,2">
            <v:shape style="position:absolute;left:1134;top:352;width:7994;height:2" coordorigin="1134,352" coordsize="7994,0" path="m1134,352l9128,352e" filled="false" stroked="true" strokeweight=".3pt" strokecolor="#303b41">
              <v:path arrowok="t"/>
            </v:shape>
            <w10:wrap type="none"/>
          </v:group>
        </w:pict>
      </w:r>
      <w:r>
        <w:rPr/>
        <w:pict>
          <v:group style="position:absolute;margin-left:56.692898pt;margin-top:36.590965pt;width:399.7pt;height:.1pt;mso-position-horizontal-relative:page;mso-position-vertical-relative:paragraph;z-index:-179440" coordorigin="1134,732" coordsize="7994,2">
            <v:shape style="position:absolute;left:1134;top:732;width:7994;height:2" coordorigin="1134,732" coordsize="7994,0" path="m1134,732l9128,732e" filled="false" stroked="true" strokeweight=".3pt" strokecolor="#303b41">
              <v:path arrowok="t"/>
            </v:shape>
            <w10:wrap type="none"/>
          </v:group>
        </w:pict>
      </w:r>
      <w:r>
        <w:rPr>
          <w:color w:val="231F20"/>
        </w:rPr>
        <w:t>Leah Anderson</w:t>
        <w:tab/>
        <w:t>NSW Department of Education Sandra Robinson</w:t>
        <w:tab/>
        <w:t>NSW Department of Education</w:t>
      </w:r>
      <w:r>
        <w:rPr/>
      </w:r>
    </w:p>
    <w:p>
      <w:pPr>
        <w:pStyle w:val="BodyText"/>
        <w:tabs>
          <w:tab w:pos="2494" w:val="left" w:leader="none"/>
        </w:tabs>
        <w:spacing w:line="240" w:lineRule="auto" w:before="0"/>
        <w:ind w:left="227" w:right="0"/>
        <w:jc w:val="left"/>
      </w:pPr>
      <w:r>
        <w:rPr>
          <w:color w:val="231F20"/>
        </w:rPr>
        <w:t>Jenny Davies</w:t>
        <w:tab/>
        <w:t>Association of Independent Schools NSW</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4" w:val="left" w:leader="none"/>
        </w:tabs>
        <w:spacing w:line="399" w:lineRule="auto" w:before="56"/>
        <w:ind w:left="227" w:right="2188"/>
        <w:jc w:val="left"/>
      </w:pPr>
      <w:r>
        <w:rPr/>
        <w:pict>
          <v:group style="position:absolute;margin-left:56.692898pt;margin-top:17.620167pt;width:399.7pt;height:.1pt;mso-position-horizontal-relative:page;mso-position-vertical-relative:paragraph;z-index:-179416" coordorigin="1134,352" coordsize="7994,2">
            <v:shape style="position:absolute;left:1134;top:352;width:7994;height:2" coordorigin="1134,352" coordsize="7994,0" path="m1134,352l9128,352e" filled="false" stroked="true" strokeweight=".3pt" strokecolor="#303b41">
              <v:path arrowok="t"/>
            </v:shape>
            <w10:wrap type="none"/>
          </v:group>
        </w:pict>
      </w:r>
      <w:r>
        <w:rPr/>
        <w:pict>
          <v:group style="position:absolute;margin-left:56.692898pt;margin-top:36.591965pt;width:399.7pt;height:.1pt;mso-position-horizontal-relative:page;mso-position-vertical-relative:paragraph;z-index:-179392" coordorigin="1134,732" coordsize="7994,2">
            <v:shape style="position:absolute;left:1134;top:732;width:7994;height:2" coordorigin="1134,732" coordsize="7994,0" path="m1134,732l9128,732e" filled="false" stroked="true" strokeweight=".3pt" strokecolor="#303b41">
              <v:path arrowok="t"/>
            </v:shape>
            <w10:wrap type="none"/>
          </v:group>
        </w:pict>
      </w:r>
      <w:r>
        <w:rPr/>
        <w:pict>
          <v:group style="position:absolute;margin-left:56.692898pt;margin-top:55.563763pt;width:399.7pt;height:.1pt;mso-position-horizontal-relative:page;mso-position-vertical-relative:paragraph;z-index:-179368" coordorigin="1134,1111" coordsize="7994,2">
            <v:shape style="position:absolute;left:1134;top:1111;width:7994;height:2" coordorigin="1134,1111" coordsize="7994,0" path="m1134,1111l9128,1111e" filled="false" stroked="true" strokeweight=".3pt" strokecolor="#303b41">
              <v:path arrowok="t"/>
            </v:shape>
            <w10:wrap type="none"/>
          </v:group>
        </w:pict>
      </w:r>
      <w:r>
        <w:rPr/>
        <w:pict>
          <v:group style="position:absolute;margin-left:56.692898pt;margin-top:74.535561pt;width:399.7pt;height:.1pt;mso-position-horizontal-relative:page;mso-position-vertical-relative:paragraph;z-index:-179344" coordorigin="1134,1491" coordsize="7994,2">
            <v:shape style="position:absolute;left:1134;top:1491;width:7994;height:2" coordorigin="1134,1491" coordsize="7994,0" path="m1134,1491l9128,1491e" filled="false" stroked="true" strokeweight=".3pt" strokecolor="#303b41">
              <v:path arrowok="t"/>
            </v:shape>
            <w10:wrap type="none"/>
          </v:group>
        </w:pict>
      </w:r>
      <w:r>
        <w:rPr>
          <w:color w:val="231F20"/>
          <w:spacing w:val="-1"/>
        </w:rPr>
        <w:t>Kelly</w:t>
      </w:r>
      <w:r>
        <w:rPr>
          <w:color w:val="231F20"/>
        </w:rPr>
        <w:t> Borg</w:t>
        <w:tab/>
        <w:t>Association of Independent Schools NSW</w:t>
      </w:r>
      <w:r>
        <w:rPr>
          <w:color w:val="231F20"/>
          <w:spacing w:val="21"/>
        </w:rPr>
        <w:t> </w:t>
      </w:r>
      <w:r>
        <w:rPr>
          <w:color w:val="231F20"/>
        </w:rPr>
        <w:t>Bernadette Morriss</w:t>
        <w:tab/>
        <w:t>Catholic</w:t>
      </w:r>
      <w:r>
        <w:rPr>
          <w:color w:val="231F20"/>
          <w:spacing w:val="-2"/>
        </w:rPr>
        <w:t> </w:t>
      </w:r>
      <w:r>
        <w:rPr>
          <w:color w:val="231F20"/>
        </w:rPr>
        <w:t>Education</w:t>
      </w:r>
      <w:r>
        <w:rPr>
          <w:color w:val="231F20"/>
          <w:spacing w:val="-1"/>
        </w:rPr>
        <w:t> </w:t>
      </w:r>
      <w:r>
        <w:rPr>
          <w:color w:val="231F20"/>
        </w:rPr>
        <w:t>Office</w:t>
      </w:r>
      <w:r>
        <w:rPr>
          <w:color w:val="231F20"/>
          <w:spacing w:val="-1"/>
        </w:rPr>
        <w:t> </w:t>
      </w:r>
      <w:r>
        <w:rPr>
          <w:color w:val="231F20"/>
        </w:rPr>
        <w:t>Northern</w:t>
      </w:r>
      <w:r>
        <w:rPr>
          <w:color w:val="231F20"/>
          <w:spacing w:val="-1"/>
        </w:rPr>
        <w:t> </w:t>
      </w:r>
      <w:r>
        <w:rPr>
          <w:color w:val="231F20"/>
          <w:spacing w:val="-26"/>
        </w:rPr>
        <w:t>T</w:t>
      </w:r>
      <w:r>
        <w:rPr>
          <w:color w:val="231F20"/>
        </w:rPr>
        <w:t>erritory</w:t>
      </w:r>
      <w:r>
        <w:rPr>
          <w:color w:val="231F20"/>
        </w:rPr>
        <w:t> Jacqui Langdon</w:t>
        <w:tab/>
        <w:t>Catholic</w:t>
      </w:r>
      <w:r>
        <w:rPr>
          <w:color w:val="231F20"/>
          <w:spacing w:val="-2"/>
        </w:rPr>
        <w:t> </w:t>
      </w:r>
      <w:r>
        <w:rPr>
          <w:color w:val="231F20"/>
        </w:rPr>
        <w:t>Education</w:t>
      </w:r>
      <w:r>
        <w:rPr>
          <w:color w:val="231F20"/>
          <w:spacing w:val="-1"/>
        </w:rPr>
        <w:t> </w:t>
      </w:r>
      <w:r>
        <w:rPr>
          <w:color w:val="231F20"/>
        </w:rPr>
        <w:t>Office</w:t>
      </w:r>
      <w:r>
        <w:rPr>
          <w:color w:val="231F20"/>
          <w:spacing w:val="-1"/>
        </w:rPr>
        <w:t> </w:t>
      </w:r>
      <w:r>
        <w:rPr>
          <w:color w:val="231F20"/>
        </w:rPr>
        <w:t>Northern</w:t>
      </w:r>
      <w:r>
        <w:rPr>
          <w:color w:val="231F20"/>
          <w:spacing w:val="-1"/>
        </w:rPr>
        <w:t> </w:t>
      </w:r>
      <w:r>
        <w:rPr>
          <w:color w:val="231F20"/>
          <w:spacing w:val="-26"/>
        </w:rPr>
        <w:t>T</w:t>
      </w:r>
      <w:r>
        <w:rPr>
          <w:color w:val="231F20"/>
        </w:rPr>
        <w:t>erritory</w:t>
      </w:r>
      <w:r>
        <w:rPr>
          <w:color w:val="231F20"/>
        </w:rPr>
        <w:t> Aderyn Chatterton</w:t>
        <w:tab/>
        <w:t>Northern </w:t>
      </w:r>
      <w:r>
        <w:rPr>
          <w:color w:val="231F20"/>
          <w:spacing w:val="-26"/>
        </w:rPr>
        <w:t>T</w:t>
      </w:r>
      <w:r>
        <w:rPr>
          <w:color w:val="231F20"/>
        </w:rPr>
        <w:t>erritory Department of Education</w:t>
      </w:r>
      <w:r>
        <w:rPr/>
      </w:r>
    </w:p>
    <w:p>
      <w:pPr>
        <w:spacing w:after="0" w:line="399" w:lineRule="auto"/>
        <w:jc w:val="left"/>
        <w:sectPr>
          <w:type w:val="continuous"/>
          <w:pgSz w:w="9980" w:h="14180"/>
          <w:pgMar w:top="0" w:bottom="280" w:left="1020" w:right="740"/>
        </w:sectPr>
      </w:pPr>
    </w:p>
    <w:p>
      <w:pPr>
        <w:spacing w:line="240" w:lineRule="auto" w:before="9"/>
        <w:rPr>
          <w:rFonts w:ascii="Swis721 Lt BT" w:hAnsi="Swis721 Lt BT" w:cs="Swis721 Lt BT" w:eastAsia="Swis721 Lt BT"/>
          <w:sz w:val="6"/>
          <w:szCs w:val="6"/>
        </w:rPr>
      </w:pPr>
    </w:p>
    <w:p>
      <w:pPr>
        <w:spacing w:line="200" w:lineRule="atLeast"/>
        <w:ind w:left="110"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shape style="width:399.7pt;height:22.25pt;mso-position-horizontal-relative:char;mso-position-vertical-relative:line" type="#_x0000_t202" filled="true" fillcolor="#bfd22b" stroked="false">
            <v:textbox inset="0,0,0,0">
              <w:txbxContent>
                <w:p>
                  <w:pPr>
                    <w:tabs>
                      <w:tab w:pos="2381" w:val="left" w:leader="none"/>
                    </w:tabs>
                    <w:spacing w:before="81"/>
                    <w:ind w:left="113" w:right="0" w:firstLine="0"/>
                    <w:jc w:val="left"/>
                    <w:rPr>
                      <w:rFonts w:ascii="Swis721 Md BT" w:hAnsi="Swis721 Md BT" w:cs="Swis721 Md BT" w:eastAsia="Swis721 Md BT"/>
                      <w:sz w:val="20"/>
                      <w:szCs w:val="20"/>
                    </w:rPr>
                  </w:pPr>
                  <w:r>
                    <w:rPr>
                      <w:rFonts w:ascii="Swis721 Md BT"/>
                      <w:color w:val="231F20"/>
                      <w:sz w:val="20"/>
                    </w:rPr>
                    <w:t>Name</w:t>
                    <w:tab/>
                    <w:t>Organisation</w:t>
                  </w:r>
                  <w:r>
                    <w:rPr>
                      <w:rFonts w:ascii="Swis721 Md BT"/>
                      <w:sz w:val="20"/>
                    </w:rPr>
                  </w:r>
                </w:p>
              </w:txbxContent>
            </v:textbox>
            <v:fill type="solid"/>
            <w10:wrap type="none"/>
          </v:shape>
        </w:pict>
      </w:r>
      <w:r>
        <w:rPr>
          <w:rFonts w:ascii="Swis721 Lt BT" w:hAnsi="Swis721 Lt BT" w:cs="Swis721 Lt BT" w:eastAsia="Swis721 Lt BT"/>
          <w:sz w:val="20"/>
          <w:szCs w:val="20"/>
        </w:rPr>
      </w:r>
    </w:p>
    <w:p>
      <w:pPr>
        <w:pStyle w:val="BodyText"/>
        <w:tabs>
          <w:tab w:pos="2491" w:val="left" w:leader="none"/>
        </w:tabs>
        <w:spacing w:line="240" w:lineRule="auto" w:before="80"/>
        <w:ind w:left="223" w:right="0"/>
        <w:jc w:val="both"/>
      </w:pPr>
      <w:r>
        <w:rPr>
          <w:color w:val="231F20"/>
        </w:rPr>
        <w:t>Cheryl Salter</w:t>
        <w:tab/>
        <w:t>Association of Independent Schools NT</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1" w:val="left" w:leader="none"/>
        </w:tabs>
        <w:spacing w:line="399" w:lineRule="auto" w:before="56"/>
        <w:ind w:left="223" w:right="2049"/>
        <w:jc w:val="left"/>
      </w:pPr>
      <w:r>
        <w:rPr/>
        <w:pict>
          <v:group style="position:absolute;margin-left:42.519699pt;margin-top:17.617027pt;width:399.7pt;height:.1pt;mso-position-horizontal-relative:page;mso-position-vertical-relative:paragraph;z-index:-179032" coordorigin="850,352" coordsize="7994,2">
            <v:shape style="position:absolute;left:850;top:352;width:7994;height:2" coordorigin="850,352" coordsize="7994,0" path="m850,352l8844,352e" filled="false" stroked="true" strokeweight=".3pt" strokecolor="#303b41">
              <v:path arrowok="t"/>
            </v:shape>
            <w10:wrap type="none"/>
          </v:group>
        </w:pict>
      </w:r>
      <w:r>
        <w:rPr/>
        <w:pict>
          <v:group style="position:absolute;margin-left:42.519699pt;margin-top:36.588825pt;width:399.7pt;height:.1pt;mso-position-horizontal-relative:page;mso-position-vertical-relative:paragraph;z-index:-179008" coordorigin="850,732" coordsize="7994,2">
            <v:shape style="position:absolute;left:850;top:732;width:7994;height:2" coordorigin="850,732" coordsize="7994,0" path="m850,732l8844,732e" filled="false" stroked="true" strokeweight=".3pt" strokecolor="#303b41">
              <v:path arrowok="t"/>
            </v:shape>
            <w10:wrap type="none"/>
          </v:group>
        </w:pict>
      </w:r>
      <w:r>
        <w:rPr>
          <w:color w:val="231F20"/>
        </w:rPr>
        <w:t>Lee-Anne </w:t>
      </w:r>
      <w:r>
        <w:rPr>
          <w:color w:val="231F20"/>
          <w:spacing w:val="-2"/>
        </w:rPr>
        <w:t>Perry</w:t>
        <w:tab/>
      </w:r>
      <w:r>
        <w:rPr>
          <w:color w:val="231F20"/>
        </w:rPr>
        <w:t>Queensland Catholic Education Commission</w:t>
      </w:r>
      <w:r>
        <w:rPr>
          <w:color w:val="231F20"/>
          <w:spacing w:val="24"/>
        </w:rPr>
        <w:t> </w:t>
      </w:r>
      <w:r>
        <w:rPr>
          <w:color w:val="231F20"/>
        </w:rPr>
        <w:t>Yvonne Ries</w:t>
        <w:tab/>
        <w:t>Queensland Catholic Education Commission</w:t>
      </w:r>
      <w:r>
        <w:rPr/>
      </w:r>
    </w:p>
    <w:p>
      <w:pPr>
        <w:pStyle w:val="BodyText"/>
        <w:tabs>
          <w:tab w:pos="2491" w:val="left" w:leader="none"/>
        </w:tabs>
        <w:spacing w:line="399" w:lineRule="auto" w:before="0"/>
        <w:ind w:left="223" w:right="2623"/>
        <w:jc w:val="left"/>
      </w:pPr>
      <w:r>
        <w:rPr/>
        <w:pict>
          <v:group style="position:absolute;margin-left:42.519699pt;margin-top:14.817631pt;width:399.7pt;height:.1pt;mso-position-horizontal-relative:page;mso-position-vertical-relative:paragraph;z-index:-178984" coordorigin="850,296" coordsize="7994,2">
            <v:shape style="position:absolute;left:850;top:296;width:7994;height:2" coordorigin="850,296" coordsize="7994,0" path="m850,296l8844,296e" filled="false" stroked="true" strokeweight=".3pt" strokecolor="#303b41">
              <v:path arrowok="t"/>
            </v:shape>
            <w10:wrap type="none"/>
          </v:group>
        </w:pict>
      </w:r>
      <w:r>
        <w:rPr/>
        <w:pict>
          <v:group style="position:absolute;margin-left:42.519699pt;margin-top:33.789429pt;width:399.7pt;height:.1pt;mso-position-horizontal-relative:page;mso-position-vertical-relative:paragraph;z-index:-178960" coordorigin="850,676" coordsize="7994,2">
            <v:shape style="position:absolute;left:850;top:676;width:7994;height:2" coordorigin="850,676" coordsize="7994,0" path="m850,676l8844,676e" filled="false" stroked="true" strokeweight=".3pt" strokecolor="#303b41">
              <v:path arrowok="t"/>
            </v:shape>
            <w10:wrap type="none"/>
          </v:group>
        </w:pict>
      </w:r>
      <w:r>
        <w:rPr/>
        <w:pict>
          <v:group style="position:absolute;margin-left:42.519699pt;margin-top:52.761288pt;width:399.7pt;height:.1pt;mso-position-horizontal-relative:page;mso-position-vertical-relative:paragraph;z-index:-178936" coordorigin="850,1055" coordsize="7994,2">
            <v:shape style="position:absolute;left:850;top:1055;width:7994;height:2" coordorigin="850,1055" coordsize="7994,0" path="m850,1055l8844,1055e" filled="false" stroked="true" strokeweight=".3pt" strokecolor="#303b41">
              <v:path arrowok="t"/>
            </v:shape>
            <w10:wrap type="none"/>
          </v:group>
        </w:pict>
      </w:r>
      <w:r>
        <w:rPr/>
        <w:pict>
          <v:group style="position:absolute;margin-left:42.519699pt;margin-top:71.733055pt;width:399.7pt;height:.1pt;mso-position-horizontal-relative:page;mso-position-vertical-relative:paragraph;z-index:-178912" coordorigin="850,1435" coordsize="7994,2">
            <v:shape style="position:absolute;left:850;top:1435;width:7994;height:2" coordorigin="850,1435" coordsize="7994,0" path="m850,1435l8844,1435e" filled="false" stroked="true" strokeweight=".3pt" strokecolor="#303b41">
              <v:path arrowok="t"/>
            </v:shape>
            <w10:wrap type="none"/>
          </v:group>
        </w:pict>
      </w:r>
      <w:r>
        <w:rPr>
          <w:color w:val="231F20"/>
        </w:rPr>
        <w:t>Stacie Hansel</w:t>
        <w:tab/>
        <w:t>Department of Education Queensland Janita </w:t>
      </w:r>
      <w:r>
        <w:rPr>
          <w:color w:val="231F20"/>
          <w:spacing w:val="-1"/>
        </w:rPr>
        <w:t>Valentine</w:t>
        <w:tab/>
      </w:r>
      <w:r>
        <w:rPr>
          <w:color w:val="231F20"/>
        </w:rPr>
        <w:t>Department of Education Queensland</w:t>
      </w:r>
      <w:r>
        <w:rPr>
          <w:color w:val="231F20"/>
          <w:spacing w:val="21"/>
        </w:rPr>
        <w:t> </w:t>
      </w:r>
      <w:r>
        <w:rPr>
          <w:color w:val="231F20"/>
        </w:rPr>
        <w:t>Josephine Wise</w:t>
        <w:tab/>
        <w:t>Independent Schools Queensland</w:t>
      </w:r>
      <w:r>
        <w:rPr>
          <w:color w:val="231F20"/>
          <w:spacing w:val="23"/>
        </w:rPr>
        <w:t> </w:t>
      </w:r>
      <w:r>
        <w:rPr>
          <w:color w:val="231F20"/>
        </w:rPr>
        <w:t>Gregor Cameron</w:t>
        <w:tab/>
        <w:t>Independent Schools Queensland</w:t>
      </w:r>
      <w:r>
        <w:rPr/>
      </w:r>
    </w:p>
    <w:p>
      <w:pPr>
        <w:pStyle w:val="BodyText"/>
        <w:tabs>
          <w:tab w:pos="2491" w:val="left" w:leader="none"/>
        </w:tabs>
        <w:spacing w:line="399" w:lineRule="auto" w:before="0"/>
        <w:ind w:left="223" w:right="2194"/>
        <w:jc w:val="left"/>
      </w:pPr>
      <w:r>
        <w:rPr/>
        <w:pict>
          <v:group style="position:absolute;margin-left:42.519699pt;margin-top:14.818868pt;width:399.7pt;height:.1pt;mso-position-horizontal-relative:page;mso-position-vertical-relative:paragraph;z-index:-178888" coordorigin="850,296" coordsize="7994,2">
            <v:shape style="position:absolute;left:850;top:296;width:7994;height:2" coordorigin="850,296" coordsize="7994,0" path="m850,296l8844,296e" filled="false" stroked="true" strokeweight=".3pt" strokecolor="#303b41">
              <v:path arrowok="t"/>
            </v:shape>
            <w10:wrap type="none"/>
          </v:group>
        </w:pict>
      </w:r>
      <w:r>
        <w:rPr/>
        <w:pict>
          <v:group style="position:absolute;margin-left:42.519699pt;margin-top:33.790665pt;width:399.7pt;height:.1pt;mso-position-horizontal-relative:page;mso-position-vertical-relative:paragraph;z-index:-178864" coordorigin="850,676" coordsize="7994,2">
            <v:shape style="position:absolute;left:850;top:676;width:7994;height:2" coordorigin="850,676" coordsize="7994,0" path="m850,676l8844,676e" filled="false" stroked="true" strokeweight=".3pt" strokecolor="#303b41">
              <v:path arrowok="t"/>
            </v:shape>
            <w10:wrap type="none"/>
          </v:group>
        </w:pict>
      </w:r>
      <w:r>
        <w:rPr>
          <w:color w:val="231F20"/>
        </w:rPr>
        <w:t>Neil McDonald</w:t>
        <w:tab/>
        <w:t>Queensland Education Leadership Institute Monica Conway</w:t>
        <w:tab/>
        <w:t>Catholic Education South Australia</w:t>
      </w:r>
      <w:r>
        <w:rPr/>
      </w:r>
    </w:p>
    <w:p>
      <w:pPr>
        <w:pStyle w:val="BodyText"/>
        <w:tabs>
          <w:tab w:pos="2491" w:val="left" w:leader="none"/>
        </w:tabs>
        <w:spacing w:line="240" w:lineRule="auto" w:before="0"/>
        <w:ind w:left="223" w:right="0"/>
        <w:jc w:val="both"/>
      </w:pPr>
      <w:r>
        <w:rPr>
          <w:color w:val="231F20"/>
        </w:rPr>
        <w:t>Bruno Vieceli</w:t>
        <w:tab/>
        <w:t>Catholic Education South Australia</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1" w:val="left" w:leader="none"/>
        </w:tabs>
        <w:spacing w:line="240" w:lineRule="auto" w:before="56"/>
        <w:ind w:left="223" w:right="0"/>
        <w:jc w:val="both"/>
      </w:pPr>
      <w:r>
        <w:rPr>
          <w:color w:val="231F20"/>
        </w:rPr>
        <w:t>Deb Merrett</w:t>
        <w:tab/>
        <w:t>South Australia Department for Education</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1" w:val="left" w:leader="none"/>
        </w:tabs>
        <w:spacing w:line="399" w:lineRule="auto" w:before="56"/>
        <w:ind w:left="223" w:right="1280"/>
        <w:jc w:val="both"/>
      </w:pPr>
      <w:r>
        <w:rPr/>
        <w:pict>
          <v:group style="position:absolute;margin-left:42.519699pt;margin-top:17.620152pt;width:399.7pt;height:.1pt;mso-position-horizontal-relative:page;mso-position-vertical-relative:paragraph;z-index:-178840" coordorigin="850,352" coordsize="7994,2">
            <v:shape style="position:absolute;left:850;top:352;width:7994;height:2" coordorigin="850,352" coordsize="7994,0" path="m850,352l8844,352e" filled="false" stroked="true" strokeweight=".3pt" strokecolor="#303b41">
              <v:path arrowok="t"/>
            </v:shape>
            <w10:wrap type="none"/>
          </v:group>
        </w:pict>
      </w:r>
      <w:r>
        <w:rPr/>
        <w:pict>
          <v:group style="position:absolute;margin-left:42.519699pt;margin-top:36.591949pt;width:399.7pt;height:.1pt;mso-position-horizontal-relative:page;mso-position-vertical-relative:paragraph;z-index:-178816" coordorigin="850,732" coordsize="7994,2">
            <v:shape style="position:absolute;left:850;top:732;width:7994;height:2" coordorigin="850,732" coordsize="7994,0" path="m850,732l8844,732e" filled="false" stroked="true" strokeweight=".3pt" strokecolor="#303b41">
              <v:path arrowok="t"/>
            </v:shape>
            <w10:wrap type="none"/>
          </v:group>
        </w:pict>
      </w:r>
      <w:r>
        <w:rPr/>
        <w:pict>
          <v:group style="position:absolute;margin-left:42.519699pt;margin-top:55.563747pt;width:399.7pt;height:.1pt;mso-position-horizontal-relative:page;mso-position-vertical-relative:paragraph;z-index:-178792" coordorigin="850,1111" coordsize="7994,2">
            <v:shape style="position:absolute;left:850;top:1111;width:7994;height:2" coordorigin="850,1111" coordsize="7994,0" path="m850,1111l8844,1111e" filled="false" stroked="true" strokeweight=".3pt" strokecolor="#303b41">
              <v:path arrowok="t"/>
            </v:shape>
            <w10:wrap type="none"/>
          </v:group>
        </w:pict>
      </w:r>
      <w:r>
        <w:rPr>
          <w:color w:val="231F20"/>
        </w:rPr>
        <w:t>Mary Hudson</w:t>
        <w:tab/>
        <w:t>Association of Independent Schools of South Australia Mary Pickett</w:t>
        <w:tab/>
        <w:t>Association of Independent Schools of South Australia Donna Bucher</w:t>
        <w:tab/>
        <w:t>Catholic Education </w:t>
      </w:r>
      <w:r>
        <w:rPr>
          <w:color w:val="231F20"/>
          <w:spacing w:val="-26"/>
        </w:rPr>
        <w:t>T</w:t>
      </w:r>
      <w:r>
        <w:rPr>
          <w:color w:val="231F20"/>
        </w:rPr>
        <w:t>asmania</w:t>
      </w:r>
      <w:r>
        <w:rPr/>
      </w:r>
    </w:p>
    <w:p>
      <w:pPr>
        <w:pStyle w:val="BodyText"/>
        <w:tabs>
          <w:tab w:pos="2491" w:val="left" w:leader="none"/>
        </w:tabs>
        <w:spacing w:line="240" w:lineRule="auto" w:before="0"/>
        <w:ind w:left="223" w:right="0"/>
        <w:jc w:val="both"/>
      </w:pPr>
      <w:r>
        <w:rPr>
          <w:color w:val="231F20"/>
        </w:rPr>
        <w:t>Saskia Hobbs</w:t>
        <w:tab/>
        <w:t>Catholic Education </w:t>
      </w:r>
      <w:r>
        <w:rPr>
          <w:color w:val="231F20"/>
          <w:spacing w:val="-26"/>
        </w:rPr>
        <w:t>T</w:t>
      </w:r>
      <w:r>
        <w:rPr>
          <w:color w:val="231F20"/>
        </w:rPr>
        <w:t>asmania</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1" w:val="left" w:leader="none"/>
        </w:tabs>
        <w:spacing w:line="240" w:lineRule="auto" w:before="56"/>
        <w:ind w:left="223" w:right="0"/>
        <w:jc w:val="both"/>
      </w:pPr>
      <w:r>
        <w:rPr>
          <w:color w:val="231F20"/>
        </w:rPr>
        <w:t>Anne </w:t>
      </w:r>
      <w:r>
        <w:rPr>
          <w:color w:val="231F20"/>
          <w:spacing w:val="-5"/>
        </w:rPr>
        <w:t>F</w:t>
      </w:r>
      <w:r>
        <w:rPr>
          <w:color w:val="231F20"/>
        </w:rPr>
        <w:t>edyk</w:t>
        <w:tab/>
        <w:t>Department of Education </w:t>
      </w:r>
      <w:r>
        <w:rPr>
          <w:color w:val="231F20"/>
          <w:spacing w:val="-26"/>
        </w:rPr>
        <w:t>T</w:t>
      </w:r>
      <w:r>
        <w:rPr>
          <w:color w:val="231F20"/>
        </w:rPr>
        <w:t>asmania</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1" w:val="left" w:leader="none"/>
        </w:tabs>
        <w:spacing w:line="240" w:lineRule="auto" w:before="56"/>
        <w:ind w:left="223" w:right="0"/>
        <w:jc w:val="both"/>
      </w:pPr>
      <w:r>
        <w:rPr>
          <w:color w:val="231F20"/>
        </w:rPr>
        <w:t>Brett Manion</w:t>
        <w:tab/>
        <w:t>Department of Education </w:t>
      </w:r>
      <w:r>
        <w:rPr>
          <w:color w:val="231F20"/>
          <w:spacing w:val="-26"/>
        </w:rPr>
        <w:t>T</w:t>
      </w:r>
      <w:r>
        <w:rPr>
          <w:color w:val="231F20"/>
        </w:rPr>
        <w:t>asmania</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1" w:val="left" w:leader="none"/>
        </w:tabs>
        <w:spacing w:line="240" w:lineRule="auto" w:before="56"/>
        <w:ind w:left="223" w:right="0"/>
        <w:jc w:val="both"/>
      </w:pPr>
      <w:r>
        <w:rPr>
          <w:color w:val="231F20"/>
        </w:rPr>
        <w:t>Jodee </w:t>
      </w:r>
      <w:r>
        <w:rPr>
          <w:color w:val="231F20"/>
          <w:spacing w:val="3"/>
        </w:rPr>
        <w:t>W</w:t>
      </w:r>
      <w:r>
        <w:rPr>
          <w:color w:val="231F20"/>
        </w:rPr>
        <w:t>ilson</w:t>
        <w:tab/>
        <w:t>Department of Education </w:t>
      </w:r>
      <w:r>
        <w:rPr>
          <w:color w:val="231F20"/>
          <w:spacing w:val="-26"/>
        </w:rPr>
        <w:t>T</w:t>
      </w:r>
      <w:r>
        <w:rPr>
          <w:color w:val="231F20"/>
        </w:rPr>
        <w:t>asmania</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1" w:val="left" w:leader="none"/>
        </w:tabs>
        <w:spacing w:line="240" w:lineRule="auto" w:before="56"/>
        <w:ind w:left="223" w:right="0"/>
        <w:jc w:val="both"/>
      </w:pPr>
      <w:r>
        <w:rPr>
          <w:color w:val="231F20"/>
        </w:rPr>
        <w:t>Sue </w:t>
      </w:r>
      <w:r>
        <w:rPr>
          <w:color w:val="231F20"/>
          <w:spacing w:val="-4"/>
        </w:rPr>
        <w:t>K</w:t>
      </w:r>
      <w:r>
        <w:rPr>
          <w:color w:val="231F20"/>
        </w:rPr>
        <w:t>ennedy</w:t>
        <w:tab/>
        <w:t>Department of Education </w:t>
      </w:r>
      <w:r>
        <w:rPr>
          <w:color w:val="231F20"/>
          <w:spacing w:val="-26"/>
        </w:rPr>
        <w:t>T</w:t>
      </w:r>
      <w:r>
        <w:rPr>
          <w:color w:val="231F20"/>
        </w:rPr>
        <w:t>asmania</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1" w:val="left" w:leader="none"/>
        </w:tabs>
        <w:spacing w:line="399" w:lineRule="auto" w:before="56"/>
        <w:ind w:left="223" w:right="3151"/>
        <w:jc w:val="both"/>
      </w:pPr>
      <w:r>
        <w:rPr/>
        <w:pict>
          <v:group style="position:absolute;margin-left:42.519699pt;margin-top:17.622551pt;width:399.7pt;height:.1pt;mso-position-horizontal-relative:page;mso-position-vertical-relative:paragraph;z-index:-178768" coordorigin="850,352" coordsize="7994,2">
            <v:shape style="position:absolute;left:850;top:352;width:7994;height:2" coordorigin="850,352" coordsize="7994,0" path="m850,352l8844,352e" filled="false" stroked="true" strokeweight=".3pt" strokecolor="#303b41">
              <v:path arrowok="t"/>
            </v:shape>
            <w10:wrap type="none"/>
          </v:group>
        </w:pict>
      </w:r>
      <w:r>
        <w:rPr/>
        <w:pict>
          <v:group style="position:absolute;margin-left:42.519699pt;margin-top:36.594456pt;width:399.7pt;height:.1pt;mso-position-horizontal-relative:page;mso-position-vertical-relative:paragraph;z-index:-178744" coordorigin="850,732" coordsize="7994,2">
            <v:shape style="position:absolute;left:850;top:732;width:7994;height:2" coordorigin="850,732" coordsize="7994,0" path="m850,732l8844,732e" filled="false" stroked="true" strokeweight=".3pt" strokecolor="#303b41">
              <v:path arrowok="t"/>
            </v:shape>
            <w10:wrap type="none"/>
          </v:group>
        </w:pict>
      </w:r>
      <w:r>
        <w:rPr/>
        <w:pict>
          <v:group style="position:absolute;margin-left:42.519699pt;margin-top:55.566254pt;width:399.7pt;height:.1pt;mso-position-horizontal-relative:page;mso-position-vertical-relative:paragraph;z-index:-178720" coordorigin="850,1111" coordsize="7994,2">
            <v:shape style="position:absolute;left:850;top:1111;width:7994;height:2" coordorigin="850,1111" coordsize="7994,0" path="m850,1111l8844,1111e" filled="false" stroked="true" strokeweight=".3pt" strokecolor="#303b41">
              <v:path arrowok="t"/>
            </v:shape>
            <w10:wrap type="none"/>
          </v:group>
        </w:pict>
      </w:r>
      <w:r>
        <w:rPr>
          <w:color w:val="231F20"/>
        </w:rPr>
        <w:t>Ara </w:t>
      </w:r>
      <w:r>
        <w:rPr>
          <w:color w:val="231F20"/>
          <w:spacing w:val="-6"/>
        </w:rPr>
        <w:t>P</w:t>
      </w:r>
      <w:r>
        <w:rPr>
          <w:color w:val="231F20"/>
        </w:rPr>
        <w:t>opowski</w:t>
        <w:tab/>
        <w:t>Independent Schools </w:t>
      </w:r>
      <w:r>
        <w:rPr>
          <w:color w:val="231F20"/>
          <w:spacing w:val="-26"/>
        </w:rPr>
        <w:t>T</w:t>
      </w:r>
      <w:r>
        <w:rPr>
          <w:color w:val="231F20"/>
        </w:rPr>
        <w:t>asmania</w:t>
      </w:r>
      <w:r>
        <w:rPr>
          <w:color w:val="231F20"/>
        </w:rPr>
        <w:t> Chrissy Gamble</w:t>
        <w:tab/>
        <w:t>Independent Schools </w:t>
      </w:r>
      <w:r>
        <w:rPr>
          <w:color w:val="231F20"/>
          <w:spacing w:val="-26"/>
        </w:rPr>
        <w:t>T</w:t>
      </w:r>
      <w:r>
        <w:rPr>
          <w:color w:val="231F20"/>
        </w:rPr>
        <w:t>asmania</w:t>
      </w:r>
      <w:r>
        <w:rPr>
          <w:color w:val="231F20"/>
        </w:rPr>
        <w:t> Michael Davies</w:t>
        <w:tab/>
        <w:t>Catholic Education Melbourne</w:t>
      </w:r>
      <w:r>
        <w:rPr/>
      </w:r>
    </w:p>
    <w:p>
      <w:pPr>
        <w:pStyle w:val="BodyText"/>
        <w:tabs>
          <w:tab w:pos="2491" w:val="left" w:leader="none"/>
        </w:tabs>
        <w:spacing w:line="240" w:lineRule="auto" w:before="0"/>
        <w:ind w:left="223" w:right="0"/>
        <w:jc w:val="both"/>
      </w:pPr>
      <w:r>
        <w:rPr>
          <w:color w:val="231F20"/>
        </w:rPr>
        <w:t>Chris Lennon</w:t>
        <w:tab/>
        <w:t>Catholic Education Melbourne</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1" w:val="left" w:leader="none"/>
        </w:tabs>
        <w:spacing w:line="399" w:lineRule="auto" w:before="56"/>
        <w:ind w:left="223" w:right="1967"/>
        <w:jc w:val="both"/>
      </w:pPr>
      <w:r>
        <w:rPr/>
        <w:pict>
          <v:group style="position:absolute;margin-left:42.519699pt;margin-top:17.623865pt;width:399.7pt;height:.1pt;mso-position-horizontal-relative:page;mso-position-vertical-relative:paragraph;z-index:-178696" coordorigin="850,352" coordsize="7994,2">
            <v:shape style="position:absolute;left:850;top:352;width:7994;height:2" coordorigin="850,352" coordsize="7994,0" path="m850,352l8844,352e" filled="false" stroked="true" strokeweight=".3pt" strokecolor="#303b41">
              <v:path arrowok="t"/>
            </v:shape>
            <w10:wrap type="none"/>
          </v:group>
        </w:pict>
      </w:r>
      <w:r>
        <w:rPr/>
        <w:pict>
          <v:group style="position:absolute;margin-left:42.519699pt;margin-top:36.595665pt;width:399.7pt;height:.1pt;mso-position-horizontal-relative:page;mso-position-vertical-relative:paragraph;z-index:-178672" coordorigin="850,732" coordsize="7994,2">
            <v:shape style="position:absolute;left:850;top:732;width:7994;height:2" coordorigin="850,732" coordsize="7994,0" path="m850,732l8844,732e" filled="false" stroked="true" strokeweight=".3pt" strokecolor="#303b41">
              <v:path arrowok="t"/>
            </v:shape>
            <w10:wrap type="none"/>
          </v:group>
        </w:pict>
      </w:r>
      <w:r>
        <w:rPr/>
        <w:pict>
          <v:group style="position:absolute;margin-left:42.519699pt;margin-top:55.567463pt;width:399.7pt;height:.1pt;mso-position-horizontal-relative:page;mso-position-vertical-relative:paragraph;z-index:-178648" coordorigin="850,1111" coordsize="7994,2">
            <v:shape style="position:absolute;left:850;top:1111;width:7994;height:2" coordorigin="850,1111" coordsize="7994,0" path="m850,1111l8844,1111e" filled="false" stroked="true" strokeweight=".3pt" strokecolor="#303b41">
              <v:path arrowok="t"/>
            </v:shape>
            <w10:wrap type="none"/>
          </v:group>
        </w:pict>
      </w:r>
      <w:r>
        <w:rPr>
          <w:color w:val="231F20"/>
        </w:rPr>
        <w:t>Stephanie Condon</w:t>
        <w:tab/>
        <w:t>Department of Education and </w:t>
      </w:r>
      <w:r>
        <w:rPr>
          <w:color w:val="231F20"/>
          <w:spacing w:val="-3"/>
        </w:rPr>
        <w:t>Training</w:t>
      </w:r>
      <w:r>
        <w:rPr>
          <w:color w:val="231F20"/>
        </w:rPr>
        <w:t> Victoria</w:t>
      </w:r>
      <w:r>
        <w:rPr>
          <w:color w:val="231F20"/>
          <w:spacing w:val="25"/>
        </w:rPr>
        <w:t> </w:t>
      </w:r>
      <w:r>
        <w:rPr>
          <w:color w:val="231F20"/>
        </w:rPr>
        <w:t>Neil Barker</w:t>
        <w:tab/>
        <w:t>Department of Education and </w:t>
      </w:r>
      <w:r>
        <w:rPr>
          <w:color w:val="231F20"/>
          <w:spacing w:val="-3"/>
        </w:rPr>
        <w:t>Training</w:t>
      </w:r>
      <w:r>
        <w:rPr>
          <w:color w:val="231F20"/>
        </w:rPr>
        <w:t> Victoria</w:t>
      </w:r>
      <w:r>
        <w:rPr>
          <w:color w:val="231F20"/>
          <w:spacing w:val="25"/>
        </w:rPr>
        <w:t> </w:t>
      </w:r>
      <w:r>
        <w:rPr>
          <w:color w:val="231F20"/>
        </w:rPr>
        <w:t>Jackie Macreadie</w:t>
        <w:tab/>
        <w:t>Independent Schools Victoria</w:t>
      </w:r>
      <w:r>
        <w:rPr/>
      </w:r>
    </w:p>
    <w:p>
      <w:pPr>
        <w:pStyle w:val="BodyText"/>
        <w:spacing w:line="240" w:lineRule="auto" w:before="0"/>
        <w:ind w:left="223" w:right="0"/>
        <w:jc w:val="both"/>
      </w:pPr>
      <w:r>
        <w:rPr>
          <w:color w:val="231F20"/>
        </w:rPr>
        <w:t>Karen Milkins-Hendry         </w:t>
      </w:r>
      <w:r>
        <w:rPr>
          <w:color w:val="231F20"/>
          <w:spacing w:val="10"/>
        </w:rPr>
        <w:t> </w:t>
      </w:r>
      <w:r>
        <w:rPr>
          <w:color w:val="231F20"/>
        </w:rPr>
        <w:t>Independent Schools Victoria</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1" w:val="left" w:leader="none"/>
        </w:tabs>
        <w:spacing w:line="240" w:lineRule="auto" w:before="56"/>
        <w:ind w:left="223" w:right="0"/>
        <w:jc w:val="both"/>
      </w:pPr>
      <w:r>
        <w:rPr>
          <w:color w:val="231F20"/>
        </w:rPr>
        <w:t>Shane Glasson</w:t>
        <w:tab/>
        <w:t>Catholic Education </w:t>
      </w:r>
      <w:r>
        <w:rPr>
          <w:color w:val="231F20"/>
          <w:spacing w:val="-1"/>
        </w:rPr>
        <w:t>Western</w:t>
      </w:r>
      <w:r>
        <w:rPr>
          <w:color w:val="231F20"/>
        </w:rPr>
        <w:t> Australia</w:t>
      </w:r>
      <w:r>
        <w:rPr/>
      </w:r>
    </w:p>
    <w:p>
      <w:pPr>
        <w:spacing w:line="240" w:lineRule="auto" w:before="6"/>
        <w:rPr>
          <w:rFonts w:ascii="Swis721 Lt BT" w:hAnsi="Swis721 Lt BT" w:cs="Swis721 Lt BT" w:eastAsia="Swis721 Lt BT"/>
          <w:sz w:val="5"/>
          <w:szCs w:val="5"/>
        </w:rPr>
      </w:pPr>
    </w:p>
    <w:p>
      <w:pPr>
        <w:spacing w:line="20" w:lineRule="atLeast"/>
        <w:ind w:left="107"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spacing w:after="0" w:line="20" w:lineRule="atLeast"/>
        <w:rPr>
          <w:rFonts w:ascii="Swis721 Lt BT" w:hAnsi="Swis721 Lt BT" w:cs="Swis721 Lt BT" w:eastAsia="Swis721 Lt BT"/>
          <w:sz w:val="2"/>
          <w:szCs w:val="2"/>
        </w:rPr>
        <w:sectPr>
          <w:pgSz w:w="9980" w:h="14180"/>
          <w:pgMar w:header="0" w:footer="452" w:top="1040" w:bottom="640" w:left="740" w:right="1020"/>
        </w:sectPr>
      </w:pPr>
    </w:p>
    <w:p>
      <w:pPr>
        <w:spacing w:before="58"/>
        <w:ind w:left="0" w:right="108" w:firstLine="0"/>
        <w:jc w:val="right"/>
        <w:rPr>
          <w:rFonts w:ascii="Swis721 Lt BT" w:hAnsi="Swis721 Lt BT" w:cs="Swis721 Lt BT" w:eastAsia="Swis721 Lt BT"/>
          <w:sz w:val="14"/>
          <w:szCs w:val="14"/>
        </w:rPr>
      </w:pPr>
      <w:bookmarkStart w:name="APPENDICES" w:id="49"/>
      <w:bookmarkEnd w:id="49"/>
      <w:r>
        <w:rPr/>
      </w: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7"/>
        <w:rPr>
          <w:rFonts w:ascii="Swis721 Lt BT" w:hAnsi="Swis721 Lt BT" w:cs="Swis721 Lt BT" w:eastAsia="Swis721 Lt BT"/>
          <w:sz w:val="24"/>
          <w:szCs w:val="24"/>
        </w:rPr>
      </w:pPr>
    </w:p>
    <w:p>
      <w:pPr>
        <w:spacing w:line="200" w:lineRule="atLeast"/>
        <w:ind w:left="113"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shape style="width:399.7pt;height:22.25pt;mso-position-horizontal-relative:char;mso-position-vertical-relative:line" type="#_x0000_t202" filled="true" fillcolor="#bfd22b" stroked="false">
            <v:textbox inset="0,0,0,0">
              <w:txbxContent>
                <w:p>
                  <w:pPr>
                    <w:tabs>
                      <w:tab w:pos="2381" w:val="left" w:leader="none"/>
                    </w:tabs>
                    <w:spacing w:before="81"/>
                    <w:ind w:left="113" w:right="0" w:firstLine="0"/>
                    <w:jc w:val="left"/>
                    <w:rPr>
                      <w:rFonts w:ascii="Swis721 Md BT" w:hAnsi="Swis721 Md BT" w:cs="Swis721 Md BT" w:eastAsia="Swis721 Md BT"/>
                      <w:sz w:val="20"/>
                      <w:szCs w:val="20"/>
                    </w:rPr>
                  </w:pPr>
                  <w:r>
                    <w:rPr>
                      <w:rFonts w:ascii="Swis721 Md BT"/>
                      <w:color w:val="231F20"/>
                      <w:sz w:val="20"/>
                    </w:rPr>
                    <w:t>Name</w:t>
                    <w:tab/>
                    <w:t>Organisation</w:t>
                  </w:r>
                  <w:r>
                    <w:rPr>
                      <w:rFonts w:ascii="Swis721 Md BT"/>
                      <w:sz w:val="20"/>
                    </w:rPr>
                  </w:r>
                </w:p>
              </w:txbxContent>
            </v:textbox>
            <v:fill type="solid"/>
            <w10:wrap type="none"/>
          </v:shape>
        </w:pict>
      </w:r>
      <w:r>
        <w:rPr>
          <w:rFonts w:ascii="Swis721 Lt BT" w:hAnsi="Swis721 Lt BT" w:cs="Swis721 Lt BT" w:eastAsia="Swis721 Lt BT"/>
          <w:sz w:val="20"/>
          <w:szCs w:val="20"/>
        </w:rPr>
      </w:r>
    </w:p>
    <w:p>
      <w:pPr>
        <w:pStyle w:val="BodyText"/>
        <w:tabs>
          <w:tab w:pos="2494" w:val="left" w:leader="none"/>
        </w:tabs>
        <w:spacing w:line="240" w:lineRule="auto" w:before="80"/>
        <w:ind w:left="227" w:right="0"/>
        <w:jc w:val="left"/>
      </w:pPr>
      <w:r>
        <w:rPr>
          <w:color w:val="231F20"/>
        </w:rPr>
        <w:t>Maria Outtrim</w:t>
        <w:tab/>
        <w:t>Catholic Education </w:t>
      </w:r>
      <w:r>
        <w:rPr>
          <w:color w:val="231F20"/>
          <w:spacing w:val="-1"/>
        </w:rPr>
        <w:t>Western</w:t>
      </w:r>
      <w:r>
        <w:rPr>
          <w:color w:val="231F20"/>
        </w:rPr>
        <w:t> Australia</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4" w:val="left" w:leader="none"/>
        </w:tabs>
        <w:spacing w:line="399" w:lineRule="auto" w:before="56"/>
        <w:ind w:left="227" w:right="2195"/>
        <w:jc w:val="left"/>
      </w:pPr>
      <w:r>
        <w:rPr/>
        <w:pict>
          <v:group style="position:absolute;margin-left:56.692898pt;margin-top:17.617027pt;width:399.7pt;height:.1pt;mso-position-horizontal-relative:page;mso-position-vertical-relative:paragraph;z-index:-178552" coordorigin="1134,352" coordsize="7994,2">
            <v:shape style="position:absolute;left:1134;top:352;width:7994;height:2" coordorigin="1134,352" coordsize="7994,0" path="m1134,352l9128,352e" filled="false" stroked="true" strokeweight=".3pt" strokecolor="#303b41">
              <v:path arrowok="t"/>
            </v:shape>
            <w10:wrap type="none"/>
          </v:group>
        </w:pict>
      </w:r>
      <w:r>
        <w:rPr/>
        <w:pict>
          <v:group style="position:absolute;margin-left:56.692898pt;margin-top:36.588825pt;width:399.7pt;height:.1pt;mso-position-horizontal-relative:page;mso-position-vertical-relative:paragraph;z-index:-178528" coordorigin="1134,732" coordsize="7994,2">
            <v:shape style="position:absolute;left:1134;top:732;width:7994;height:2" coordorigin="1134,732" coordsize="7994,0" path="m1134,732l9128,732e" filled="false" stroked="true" strokeweight=".3pt" strokecolor="#303b41">
              <v:path arrowok="t"/>
            </v:shape>
            <w10:wrap type="none"/>
          </v:group>
        </w:pict>
      </w:r>
      <w:r>
        <w:rPr>
          <w:color w:val="231F20"/>
          <w:spacing w:val="-2"/>
        </w:rPr>
        <w:t>Peter</w:t>
      </w:r>
      <w:r>
        <w:rPr>
          <w:color w:val="231F20"/>
        </w:rPr>
        <w:t> Glendenning</w:t>
        <w:tab/>
        <w:t>Department of Education </w:t>
      </w:r>
      <w:r>
        <w:rPr>
          <w:color w:val="231F20"/>
          <w:spacing w:val="-1"/>
        </w:rPr>
        <w:t>Western</w:t>
      </w:r>
      <w:r>
        <w:rPr>
          <w:color w:val="231F20"/>
        </w:rPr>
        <w:t> Australia</w:t>
      </w:r>
      <w:r>
        <w:rPr>
          <w:color w:val="231F20"/>
          <w:spacing w:val="27"/>
        </w:rPr>
        <w:t> </w:t>
      </w:r>
      <w:r>
        <w:rPr>
          <w:color w:val="231F20"/>
        </w:rPr>
        <w:t>David Price</w:t>
        <w:tab/>
        <w:t>Department of Education </w:t>
      </w:r>
      <w:r>
        <w:rPr>
          <w:color w:val="231F20"/>
          <w:spacing w:val="-1"/>
        </w:rPr>
        <w:t>Western</w:t>
      </w:r>
      <w:r>
        <w:rPr>
          <w:color w:val="231F20"/>
        </w:rPr>
        <w:t> Australia</w:t>
      </w:r>
      <w:r>
        <w:rPr/>
      </w:r>
    </w:p>
    <w:p>
      <w:pPr>
        <w:pStyle w:val="BodyText"/>
        <w:tabs>
          <w:tab w:pos="2494" w:val="left" w:leader="none"/>
        </w:tabs>
        <w:spacing w:line="240" w:lineRule="auto" w:before="0"/>
        <w:ind w:left="227" w:right="0"/>
        <w:jc w:val="left"/>
      </w:pPr>
      <w:r>
        <w:rPr>
          <w:color w:val="231F20"/>
        </w:rPr>
        <w:t>Ron Gorman</w:t>
        <w:tab/>
        <w:t>Association of Independent Schools </w:t>
      </w:r>
      <w:r>
        <w:rPr>
          <w:color w:val="231F20"/>
          <w:spacing w:val="-2"/>
        </w:rPr>
        <w:t>WA</w:t>
      </w:r>
      <w:r>
        <w:rPr/>
      </w: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pt" strokecolor="#303b41">
                <v:path arrowok="t"/>
              </v:shape>
            </v:group>
          </v:group>
        </w:pict>
      </w:r>
      <w:r>
        <w:rPr>
          <w:rFonts w:ascii="Swis721 Lt BT" w:hAnsi="Swis721 Lt BT" w:cs="Swis721 Lt BT" w:eastAsia="Swis721 Lt BT"/>
          <w:sz w:val="2"/>
          <w:szCs w:val="2"/>
        </w:rPr>
      </w:r>
    </w:p>
    <w:p>
      <w:pPr>
        <w:pStyle w:val="BodyText"/>
        <w:tabs>
          <w:tab w:pos="2494" w:val="left" w:leader="none"/>
        </w:tabs>
        <w:spacing w:line="399" w:lineRule="auto" w:before="56"/>
        <w:ind w:left="227" w:right="1749"/>
        <w:jc w:val="left"/>
      </w:pPr>
      <w:r>
        <w:rPr/>
        <w:pict>
          <v:group style="position:absolute;margin-left:56.692898pt;margin-top:17.617931pt;width:399.7pt;height:.1pt;mso-position-horizontal-relative:page;mso-position-vertical-relative:paragraph;z-index:-178504" coordorigin="1134,352" coordsize="7994,2">
            <v:shape style="position:absolute;left:1134;top:352;width:7994;height:2" coordorigin="1134,352" coordsize="7994,0" path="m1134,352l9128,352e" filled="false" stroked="true" strokeweight=".3pt" strokecolor="#303b41">
              <v:path arrowok="t"/>
            </v:shape>
            <w10:wrap type="none"/>
          </v:group>
        </w:pict>
      </w:r>
      <w:r>
        <w:rPr/>
        <w:pict>
          <v:group style="position:absolute;margin-left:56.692898pt;margin-top:36.58979pt;width:399.7pt;height:.1pt;mso-position-horizontal-relative:page;mso-position-vertical-relative:paragraph;z-index:-178480" coordorigin="1134,732" coordsize="7994,2">
            <v:shape style="position:absolute;left:1134;top:732;width:7994;height:2" coordorigin="1134,732" coordsize="7994,0" path="m1134,732l9128,732e" filled="false" stroked="true" strokeweight=".3pt" strokecolor="#303b41">
              <v:path arrowok="t"/>
            </v:shape>
            <w10:wrap type="none"/>
          </v:group>
        </w:pict>
      </w:r>
      <w:r>
        <w:rPr/>
        <w:pict>
          <v:group style="position:absolute;margin-left:56.692898pt;margin-top:55.561558pt;width:399.7pt;height:.1pt;mso-position-horizontal-relative:page;mso-position-vertical-relative:paragraph;z-index:-178456" coordorigin="1134,1111" coordsize="7994,2">
            <v:shape style="position:absolute;left:1134;top:1111;width:7994;height:2" coordorigin="1134,1111" coordsize="7994,0" path="m1134,1111l9128,1111e" filled="false" stroked="true" strokeweight=".3pt" strokecolor="#303b41">
              <v:path arrowok="t"/>
            </v:shape>
            <w10:wrap type="none"/>
          </v:group>
        </w:pict>
      </w:r>
      <w:r>
        <w:rPr/>
        <w:pict>
          <v:group style="position:absolute;margin-left:56.692898pt;margin-top:74.533356pt;width:399.7pt;height:.1pt;mso-position-horizontal-relative:page;mso-position-vertical-relative:paragraph;z-index:-178432" coordorigin="1134,1491" coordsize="7994,2">
            <v:shape style="position:absolute;left:1134;top:1491;width:7994;height:2" coordorigin="1134,1491" coordsize="7994,0" path="m1134,1491l9128,1491e" filled="false" stroked="true" strokeweight=".3pt" strokecolor="#303b41">
              <v:path arrowok="t"/>
            </v:shape>
            <w10:wrap type="none"/>
          </v:group>
        </w:pict>
      </w:r>
      <w:r>
        <w:rPr>
          <w:color w:val="231F20"/>
        </w:rPr>
        <w:t>Nicola Davies</w:t>
        <w:tab/>
        <w:t>Association of Independent Schools </w:t>
      </w:r>
      <w:r>
        <w:rPr>
          <w:color w:val="231F20"/>
          <w:spacing w:val="-2"/>
        </w:rPr>
        <w:t>WA</w:t>
      </w:r>
      <w:r>
        <w:rPr>
          <w:color w:val="231F20"/>
          <w:spacing w:val="20"/>
        </w:rPr>
        <w:t> </w:t>
      </w:r>
      <w:r>
        <w:rPr>
          <w:color w:val="231F20"/>
        </w:rPr>
        <w:t>Christine Crowther</w:t>
        <w:tab/>
        <w:t>Australian Government Department of Education</w:t>
      </w:r>
      <w:r>
        <w:rPr>
          <w:color w:val="231F20"/>
        </w:rPr>
        <w:t> Nikini </w:t>
      </w:r>
      <w:r>
        <w:rPr>
          <w:color w:val="231F20"/>
          <w:spacing w:val="-1"/>
        </w:rPr>
        <w:t>Weragoda</w:t>
        <w:tab/>
      </w:r>
      <w:r>
        <w:rPr>
          <w:color w:val="231F20"/>
        </w:rPr>
        <w:t>Australian Government Department of Education</w:t>
      </w:r>
      <w:r>
        <w:rPr>
          <w:color w:val="231F20"/>
          <w:spacing w:val="24"/>
        </w:rPr>
        <w:t> </w:t>
      </w:r>
      <w:r>
        <w:rPr>
          <w:color w:val="231F20"/>
        </w:rPr>
        <w:t>Jessie Bice</w:t>
        <w:tab/>
        <w:t>Independent Schools Council of Australia</w:t>
      </w:r>
      <w:r>
        <w:rPr/>
      </w:r>
    </w:p>
    <w:p>
      <w:pPr>
        <w:spacing w:after="0" w:line="399" w:lineRule="auto"/>
        <w:jc w:val="left"/>
        <w:sectPr>
          <w:pgSz w:w="9980" w:h="14180"/>
          <w:pgMar w:header="0" w:footer="452" w:top="360" w:bottom="640" w:left="1020" w:right="740"/>
        </w:sectPr>
      </w:pPr>
    </w:p>
    <w:p>
      <w:pPr>
        <w:pStyle w:val="Heading2"/>
        <w:spacing w:line="240" w:lineRule="auto" w:before="16"/>
        <w:ind w:right="0"/>
        <w:jc w:val="left"/>
        <w:rPr>
          <w:b w:val="0"/>
          <w:bCs w:val="0"/>
        </w:rPr>
      </w:pPr>
      <w:bookmarkStart w:name="_TOC_250000" w:id="50"/>
      <w:bookmarkStart w:name="APPENDIX 1: AITSL ORGANISATIONAL STRUCTU" w:id="51"/>
      <w:r>
        <w:rPr>
          <w:b w:val="0"/>
        </w:rPr>
      </w:r>
      <w:r>
        <w:rPr>
          <w:color w:val="005E63"/>
        </w:rPr>
        <w:t>APPENDICES</w:t>
      </w:r>
      <w:bookmarkEnd w:id="50"/>
      <w:r>
        <w:rPr>
          <w:b w:val="0"/>
        </w:rPr>
      </w:r>
    </w:p>
    <w:p>
      <w:pPr>
        <w:spacing w:line="240" w:lineRule="auto" w:before="7"/>
        <w:rPr>
          <w:rFonts w:ascii="Swis721 BT" w:hAnsi="Swis721 BT" w:cs="Swis721 BT" w:eastAsia="Swis721 BT"/>
          <w:b/>
          <w:bCs/>
          <w:sz w:val="39"/>
          <w:szCs w:val="39"/>
        </w:rPr>
      </w:pPr>
    </w:p>
    <w:p>
      <w:pPr>
        <w:spacing w:before="0"/>
        <w:ind w:left="110" w:right="0" w:firstLine="0"/>
        <w:jc w:val="left"/>
        <w:rPr>
          <w:rFonts w:ascii="Swis721 BT" w:hAnsi="Swis721 BT" w:cs="Swis721 BT" w:eastAsia="Swis721 BT"/>
          <w:sz w:val="24"/>
          <w:szCs w:val="24"/>
        </w:rPr>
      </w:pPr>
      <w:r>
        <w:rPr>
          <w:rFonts w:ascii="Swis721 Hv BT"/>
          <w:b/>
          <w:color w:val="005E63"/>
          <w:sz w:val="24"/>
        </w:rPr>
        <w:t>APPENDIX</w:t>
      </w:r>
      <w:r>
        <w:rPr>
          <w:rFonts w:ascii="Swis721 Hv BT"/>
          <w:b/>
          <w:color w:val="005E63"/>
          <w:spacing w:val="-4"/>
          <w:sz w:val="24"/>
        </w:rPr>
        <w:t> </w:t>
      </w:r>
      <w:r>
        <w:rPr>
          <w:rFonts w:ascii="Swis721 Hv BT"/>
          <w:b/>
          <w:color w:val="005E63"/>
          <w:sz w:val="24"/>
        </w:rPr>
        <w:t>1:</w:t>
      </w:r>
      <w:r>
        <w:rPr>
          <w:rFonts w:ascii="Swis721 Hv BT"/>
          <w:b/>
          <w:color w:val="005E63"/>
          <w:spacing w:val="-9"/>
          <w:sz w:val="24"/>
        </w:rPr>
        <w:t> </w:t>
      </w:r>
      <w:r>
        <w:rPr>
          <w:rFonts w:ascii="Swis721 BT"/>
          <w:color w:val="005E63"/>
          <w:sz w:val="24"/>
        </w:rPr>
        <w:t>AITSL</w:t>
      </w:r>
      <w:r>
        <w:rPr>
          <w:rFonts w:ascii="Swis721 BT"/>
          <w:color w:val="005E63"/>
          <w:spacing w:val="-3"/>
          <w:sz w:val="24"/>
        </w:rPr>
        <w:t> </w:t>
      </w:r>
      <w:r>
        <w:rPr>
          <w:rFonts w:ascii="Swis721 BT"/>
          <w:color w:val="005E63"/>
          <w:spacing w:val="-1"/>
          <w:sz w:val="24"/>
        </w:rPr>
        <w:t>ORGANISATIONAL</w:t>
      </w:r>
      <w:r>
        <w:rPr>
          <w:rFonts w:ascii="Swis721 BT"/>
          <w:color w:val="005E63"/>
          <w:spacing w:val="-3"/>
          <w:sz w:val="24"/>
        </w:rPr>
        <w:t> </w:t>
      </w:r>
      <w:r>
        <w:rPr>
          <w:rFonts w:ascii="Swis721 BT"/>
          <w:color w:val="005E63"/>
          <w:sz w:val="24"/>
        </w:rPr>
        <w:t>STRUCTURE</w:t>
      </w:r>
      <w:r>
        <w:rPr>
          <w:rFonts w:ascii="Swis721 BT"/>
          <w:sz w:val="24"/>
        </w:rPr>
      </w:r>
    </w:p>
    <w:p>
      <w:pPr>
        <w:pStyle w:val="BodyText"/>
        <w:spacing w:line="240" w:lineRule="auto" w:before="215"/>
        <w:ind w:right="0"/>
        <w:jc w:val="left"/>
      </w:pPr>
      <w:r>
        <w:rPr>
          <w:color w:val="231F20"/>
        </w:rPr>
        <w:t>As at 30 June 2019</w:t>
      </w:r>
      <w:r>
        <w:rPr/>
      </w:r>
    </w:p>
    <w:p>
      <w:pPr>
        <w:spacing w:line="240" w:lineRule="auto" w:before="10"/>
        <w:rPr>
          <w:rFonts w:ascii="Swis721 Lt BT" w:hAnsi="Swis721 Lt BT" w:cs="Swis721 Lt BT" w:eastAsia="Swis721 Lt BT"/>
          <w:sz w:val="21"/>
          <w:szCs w:val="21"/>
        </w:rPr>
      </w:pPr>
    </w:p>
    <w:p>
      <w:pPr>
        <w:spacing w:line="200" w:lineRule="atLeast"/>
        <w:ind w:left="104" w:right="0" w:firstLine="0"/>
        <w:rPr>
          <w:rFonts w:ascii="Swis721 Lt BT" w:hAnsi="Swis721 Lt BT" w:cs="Swis721 Lt BT" w:eastAsia="Swis721 Lt BT"/>
          <w:sz w:val="20"/>
          <w:szCs w:val="20"/>
        </w:rPr>
      </w:pPr>
      <w:r>
        <w:rPr>
          <w:rFonts w:ascii="Swis721 Lt BT" w:hAnsi="Swis721 Lt BT" w:cs="Swis721 Lt BT" w:eastAsia="Swis721 Lt BT"/>
          <w:sz w:val="20"/>
          <w:szCs w:val="20"/>
        </w:rPr>
        <w:pict>
          <v:group style="width:400.3pt;height:298.45pt;mso-position-horizontal-relative:char;mso-position-vertical-relative:line" coordorigin="0,0" coordsize="8006,5969">
            <v:group style="position:absolute;left:3;top:3;width:8000;height:2" coordorigin="3,3" coordsize="8000,2">
              <v:shape style="position:absolute;left:3;top:3;width:8000;height:2" coordorigin="3,3" coordsize="8000,0" path="m3,3l8003,3e" filled="false" stroked="true" strokeweight=".3pt" strokecolor="#71797f">
                <v:path arrowok="t"/>
              </v:shape>
            </v:group>
            <v:group style="position:absolute;left:6;top:6;width:2;height:5957" coordorigin="6,6" coordsize="2,5957">
              <v:shape style="position:absolute;left:6;top:6;width:2;height:5957" coordorigin="6,6" coordsize="0,5957" path="m6,5963l6,6e" filled="false" stroked="true" strokeweight=".3pt" strokecolor="#71797f">
                <v:path arrowok="t"/>
              </v:shape>
            </v:group>
            <v:group style="position:absolute;left:8000;top:6;width:2;height:5957" coordorigin="8000,6" coordsize="2,5957">
              <v:shape style="position:absolute;left:8000;top:6;width:2;height:5957" coordorigin="8000,6" coordsize="0,5957" path="m8000,5963l8000,6e" filled="false" stroked="true" strokeweight=".3pt" strokecolor="#71797f">
                <v:path arrowok="t"/>
              </v:shape>
            </v:group>
            <v:group style="position:absolute;left:3;top:5966;width:8000;height:2" coordorigin="3,5966" coordsize="8000,2">
              <v:shape style="position:absolute;left:3;top:5966;width:8000;height:2" coordorigin="3,5966" coordsize="8000,0" path="m3,5966l8003,5966e" filled="false" stroked="true" strokeweight=".3pt" strokecolor="#71797f">
                <v:path arrowok="t"/>
              </v:shape>
            </v:group>
            <v:group style="position:absolute;left:260;top:3526;width:1151;height:2220" coordorigin="260,3526" coordsize="1151,2220">
              <v:shape style="position:absolute;left:260;top:3526;width:1151;height:2220" coordorigin="260,3526" coordsize="1151,2220" path="m260,5746l1410,5746,1410,3526,260,3526,260,5746xe" filled="true" fillcolor="#ebf0c9" stroked="false">
                <v:path arrowok="t"/>
                <v:fill type="solid"/>
              </v:shape>
            </v:group>
            <v:group style="position:absolute;left:260;top:3526;width:1151;height:2220" coordorigin="260,3526" coordsize="1151,2220">
              <v:shape style="position:absolute;left:260;top:3526;width:1151;height:2220" coordorigin="260,3526" coordsize="1151,2220" path="m260,5746l1410,5746,1410,3526,260,3526,260,5746xe" filled="false" stroked="true" strokeweight="1pt" strokecolor="#71797f">
                <v:path arrowok="t"/>
              </v:shape>
            </v:group>
            <v:group style="position:absolute;left:1525;top:3526;width:1151;height:2220" coordorigin="1525,3526" coordsize="1151,2220">
              <v:shape style="position:absolute;left:1525;top:3526;width:1151;height:2220" coordorigin="1525,3526" coordsize="1151,2220" path="m1525,5746l2675,5746,2675,3526,1525,3526,1525,5746xe" filled="true" fillcolor="#ebf0c9" stroked="false">
                <v:path arrowok="t"/>
                <v:fill type="solid"/>
              </v:shape>
            </v:group>
            <v:group style="position:absolute;left:1525;top:3526;width:1151;height:2220" coordorigin="1525,3526" coordsize="1151,2220">
              <v:shape style="position:absolute;left:1525;top:3526;width:1151;height:2220" coordorigin="1525,3526" coordsize="1151,2220" path="m1525,5746l2675,5746,2675,3526,1525,3526,1525,5746xe" filled="false" stroked="true" strokeweight="1.0pt" strokecolor="#71797f">
                <v:path arrowok="t"/>
              </v:shape>
            </v:group>
            <v:group style="position:absolute;left:2790;top:3526;width:1151;height:2220" coordorigin="2790,3526" coordsize="1151,2220">
              <v:shape style="position:absolute;left:2790;top:3526;width:1151;height:2220" coordorigin="2790,3526" coordsize="1151,2220" path="m2790,5746l3940,5746,3940,3526,2790,3526,2790,5746xe" filled="true" fillcolor="#ebf0c9" stroked="false">
                <v:path arrowok="t"/>
                <v:fill type="solid"/>
              </v:shape>
            </v:group>
            <v:group style="position:absolute;left:2790;top:3526;width:1151;height:2220" coordorigin="2790,3526" coordsize="1151,2220">
              <v:shape style="position:absolute;left:2790;top:3526;width:1151;height:2220" coordorigin="2790,3526" coordsize="1151,2220" path="m2790,5746l3940,5746,3940,3526,2790,3526,2790,5746xe" filled="false" stroked="true" strokeweight="1pt" strokecolor="#71797f">
                <v:path arrowok="t"/>
              </v:shape>
            </v:group>
            <v:group style="position:absolute;left:5321;top:3526;width:1151;height:2220" coordorigin="5321,3526" coordsize="1151,2220">
              <v:shape style="position:absolute;left:5321;top:3526;width:1151;height:2220" coordorigin="5321,3526" coordsize="1151,2220" path="m5321,5746l6471,5746,6471,3526,5321,3526,5321,5746xe" filled="true" fillcolor="#ebf0c9" stroked="false">
                <v:path arrowok="t"/>
                <v:fill type="solid"/>
              </v:shape>
            </v:group>
            <v:group style="position:absolute;left:5321;top:3526;width:1151;height:2220" coordorigin="5321,3526" coordsize="1151,2220">
              <v:shape style="position:absolute;left:5321;top:3526;width:1151;height:2220" coordorigin="5321,3526" coordsize="1151,2220" path="m5321,5746l6471,5746,6471,3526,5321,3526,5321,5746xe" filled="false" stroked="true" strokeweight="1pt" strokecolor="#71797f">
                <v:path arrowok="t"/>
              </v:shape>
            </v:group>
            <v:group style="position:absolute;left:6595;top:3526;width:1151;height:2220" coordorigin="6595,3526" coordsize="1151,2220">
              <v:shape style="position:absolute;left:6595;top:3526;width:1151;height:2220" coordorigin="6595,3526" coordsize="1151,2220" path="m6595,5746l7745,5746,7745,3526,6595,3526,6595,5746xe" filled="true" fillcolor="#ebf0c9" stroked="false">
                <v:path arrowok="t"/>
                <v:fill type="solid"/>
              </v:shape>
            </v:group>
            <v:group style="position:absolute;left:6595;top:3526;width:1151;height:2220" coordorigin="6595,3526" coordsize="1151,2220">
              <v:shape style="position:absolute;left:6595;top:3526;width:1151;height:2220" coordorigin="6595,3526" coordsize="1151,2220" path="m6595,5746l7745,5746,7745,3526,6595,3526,6595,5746xe" filled="false" stroked="true" strokeweight="1pt" strokecolor="#71797f">
                <v:path arrowok="t"/>
              </v:shape>
            </v:group>
            <v:group style="position:absolute;left:5733;top:351;width:2013;height:760" coordorigin="5733,351" coordsize="2013,760">
              <v:shape style="position:absolute;left:5733;top:351;width:2013;height:760" coordorigin="5733,351" coordsize="2013,760" path="m5733,1111l7746,1111,7746,351,5733,351,5733,1111xe" filled="true" fillcolor="#dddfe1" stroked="false">
                <v:path arrowok="t"/>
                <v:fill type="solid"/>
              </v:shape>
            </v:group>
            <v:group style="position:absolute;left:5733;top:351;width:2013;height:760" coordorigin="5733,351" coordsize="2013,760">
              <v:shape style="position:absolute;left:5733;top:351;width:2013;height:760" coordorigin="5733,351" coordsize="2013,760" path="m5733,1111l7746,1111,7746,351,5733,351,5733,1111xe" filled="false" stroked="true" strokeweight="1pt" strokecolor="#71797f">
                <v:path arrowok="t"/>
              </v:shape>
            </v:group>
            <v:group style="position:absolute;left:5733;top:1245;width:2013;height:760" coordorigin="5733,1245" coordsize="2013,760">
              <v:shape style="position:absolute;left:5733;top:1245;width:2013;height:760" coordorigin="5733,1245" coordsize="2013,760" path="m5733,2005l7746,2005,7746,1245,5733,1245,5733,2005xe" filled="true" fillcolor="#dddfe1" stroked="false">
                <v:path arrowok="t"/>
                <v:fill type="solid"/>
              </v:shape>
            </v:group>
            <v:group style="position:absolute;left:5733;top:1245;width:2013;height:760" coordorigin="5733,1245" coordsize="2013,760">
              <v:shape style="position:absolute;left:5733;top:1245;width:2013;height:760" coordorigin="5733,1245" coordsize="2013,760" path="m5733,2005l7746,2005,7746,1245,5733,1245,5733,2005xe" filled="false" stroked="true" strokeweight="1pt" strokecolor="#71797f">
                <v:path arrowok="t"/>
              </v:shape>
            </v:group>
            <v:group style="position:absolute;left:5733;top:2139;width:2013;height:760" coordorigin="5733,2139" coordsize="2013,760">
              <v:shape style="position:absolute;left:5733;top:2139;width:2013;height:760" coordorigin="5733,2139" coordsize="2013,760" path="m5733,2899l7746,2899,7746,2139,5733,2139,5733,2899xe" filled="true" fillcolor="#dddfe1" stroked="false">
                <v:path arrowok="t"/>
                <v:fill type="solid"/>
              </v:shape>
            </v:group>
            <v:group style="position:absolute;left:5733;top:2139;width:2013;height:760" coordorigin="5733,2139" coordsize="2013,760">
              <v:shape style="position:absolute;left:5733;top:2139;width:2013;height:760" coordorigin="5733,2139" coordsize="2013,760" path="m5733,2899l7746,2899,7746,2139,5733,2139,5733,2899xe" filled="false" stroked="true" strokeweight="1pt" strokecolor="#71797f">
                <v:path arrowok="t"/>
              </v:shape>
            </v:group>
            <v:group style="position:absolute;left:786;top:771;width:1030;height:2756" coordorigin="786,771" coordsize="1030,2756">
              <v:shape style="position:absolute;left:786;top:771;width:1030;height:2756" coordorigin="786,771" coordsize="1030,2756" path="m1816,771l786,771,786,3526e" filled="false" stroked="true" strokeweight="1pt" strokecolor="#71797f">
                <v:path arrowok="t"/>
              </v:shape>
            </v:group>
            <v:group style="position:absolute;left:2551;top:1408;width:2;height:377" coordorigin="2551,1408" coordsize="2,377">
              <v:shape style="position:absolute;left:2551;top:1408;width:2;height:377" coordorigin="2551,1408" coordsize="0,377" path="m2551,1408l2551,1785e" filled="false" stroked="true" strokeweight="1pt" strokecolor="#71797f">
                <v:path arrowok="t"/>
              </v:shape>
            </v:group>
            <v:group style="position:absolute;left:2551;top:2970;width:2;height:279" coordorigin="2551,2970" coordsize="2,279">
              <v:shape style="position:absolute;left:2551;top:2970;width:2;height:279" coordorigin="2551,2970" coordsize="0,279" path="m2551,2970l2551,3248e" filled="false" stroked="true" strokeweight="1pt" strokecolor="#71797f">
                <v:path arrowok="t"/>
              </v:shape>
            </v:group>
            <v:group style="position:absolute;left:1124;top:3247;width:5918;height:280" coordorigin="1124,3247" coordsize="5918,280">
              <v:shape style="position:absolute;left:1124;top:3247;width:5918;height:280" coordorigin="1124,3247" coordsize="5918,280" path="m7041,3526l7041,3247,1124,3247,1124,3526e" filled="false" stroked="true" strokeweight="1pt" strokecolor="#71797f">
                <v:path arrowok="t"/>
              </v:shape>
            </v:group>
            <v:group style="position:absolute;left:5341;top:602;width:393;height:1985" coordorigin="5341,602" coordsize="393,1985">
              <v:shape style="position:absolute;left:5341;top:602;width:393;height:1985" coordorigin="5341,602" coordsize="393,1985" path="m5733,602l5341,602,5341,2587,5733,2587e" filled="false" stroked="true" strokeweight="1pt" strokecolor="#71797f">
                <v:path arrowok="t"/>
              </v:shape>
            </v:group>
            <v:group style="position:absolute;left:3092;top:1408;width:2641;height:190" coordorigin="3092,1408" coordsize="2641,190">
              <v:shape style="position:absolute;left:3092;top:1408;width:2641;height:190" coordorigin="3092,1408" coordsize="2641,190" path="m3092,1408l3092,1597,5733,1597e" filled="false" stroked="true" strokeweight="1.0pt" strokecolor="#71797f">
                <v:path arrowok="t"/>
              </v:shape>
            </v:group>
            <v:group style="position:absolute;left:2479;top:3248;width:2;height:278" coordorigin="2479,3248" coordsize="2,278">
              <v:shape style="position:absolute;left:2479;top:3248;width:2;height:278" coordorigin="2479,3248" coordsize="0,278" path="m2479,3248l2479,3526e" filled="false" stroked="true" strokeweight="1pt" strokecolor="#71797f">
                <v:path arrowok="t"/>
              </v:shape>
            </v:group>
            <v:group style="position:absolute;left:3998;top:3248;width:2;height:278" coordorigin="3998,3248" coordsize="2,278">
              <v:shape style="position:absolute;left:3998;top:3248;width:2;height:278" coordorigin="3998,3248" coordsize="0,278" path="m3998,3248l3998,3526e" filled="false" stroked="true" strokeweight="1pt" strokecolor="#71797f">
                <v:path arrowok="t"/>
              </v:shape>
            </v:group>
            <v:group style="position:absolute;left:5527;top:3248;width:2;height:278" coordorigin="5527,3248" coordsize="2,278">
              <v:shape style="position:absolute;left:5527;top:3248;width:2;height:278" coordorigin="5527,3248" coordsize="0,278" path="m5527,3248l5527,3526e" filled="false" stroked="true" strokeweight="1pt" strokecolor="#71797f">
                <v:path arrowok="t"/>
              </v:shape>
            </v:group>
            <v:group style="position:absolute;left:1816;top:223;width:2013;height:1185" coordorigin="1816,223" coordsize="2013,1185">
              <v:shape style="position:absolute;left:1816;top:223;width:2013;height:1185" coordorigin="1816,223" coordsize="2013,1185" path="m1816,1408l3828,1408,3828,223,1816,223,1816,1408xe" filled="true" fillcolor="#005e63" stroked="false">
                <v:path arrowok="t"/>
                <v:fill type="solid"/>
              </v:shape>
            </v:group>
            <v:group style="position:absolute;left:1816;top:223;width:2013;height:1185" coordorigin="1816,223" coordsize="2013,1185">
              <v:shape style="position:absolute;left:1816;top:223;width:2013;height:1185" coordorigin="1816,223" coordsize="2013,1185" path="m1816,1408l3828,1408,3828,223,1816,223,1816,1408xe" filled="false" stroked="true" strokeweight="1.0pt" strokecolor="#71797f">
                <v:path arrowok="t"/>
              </v:shape>
            </v:group>
            <v:group style="position:absolute;left:1816;top:1785;width:2013;height:1185" coordorigin="1816,1785" coordsize="2013,1185">
              <v:shape style="position:absolute;left:1816;top:1785;width:2013;height:1185" coordorigin="1816,1785" coordsize="2013,1185" path="m1816,2970l3828,2970,3828,1785,1816,1785,1816,2970xe" filled="true" fillcolor="#00757a" stroked="false">
                <v:path arrowok="t"/>
                <v:fill type="solid"/>
              </v:shape>
            </v:group>
            <v:group style="position:absolute;left:1816;top:1785;width:2013;height:1185" coordorigin="1816,1785" coordsize="2013,1185">
              <v:shape style="position:absolute;left:1816;top:1785;width:2013;height:1185" coordorigin="1816,1785" coordsize="2013,1185" path="m1816,2970l3828,2970,3828,1785,1816,1785,1816,2970xe" filled="false" stroked="true" strokeweight="1.0pt" strokecolor="#71797f">
                <v:path arrowok="t"/>
              </v:shape>
              <v:shape style="position:absolute;left:4056;top:3526;width:1151;height:2220" type="#_x0000_t202" filled="true" fillcolor="#ebf0c9" stroked="true" strokeweight="1pt" strokecolor="#71797f">
                <v:textbox inset="0,0,0,0">
                  <w:txbxContent>
                    <w:p>
                      <w:pPr>
                        <w:spacing w:line="240" w:lineRule="auto" w:before="6"/>
                        <w:rPr>
                          <w:rFonts w:ascii="Swis721 Lt BT" w:hAnsi="Swis721 Lt BT" w:cs="Swis721 Lt BT" w:eastAsia="Swis721 Lt BT"/>
                          <w:sz w:val="23"/>
                          <w:szCs w:val="23"/>
                        </w:rPr>
                      </w:pPr>
                    </w:p>
                    <w:p>
                      <w:pPr>
                        <w:spacing w:before="0"/>
                        <w:ind w:left="136" w:right="135" w:hanging="1"/>
                        <w:jc w:val="center"/>
                        <w:rPr>
                          <w:rFonts w:ascii="Swis721 Lt BT" w:hAnsi="Swis721 Lt BT" w:cs="Swis721 Lt BT" w:eastAsia="Swis721 Lt BT"/>
                          <w:sz w:val="16"/>
                          <w:szCs w:val="16"/>
                        </w:rPr>
                      </w:pPr>
                      <w:r>
                        <w:rPr>
                          <w:rFonts w:ascii="Swis721 Lt BT"/>
                          <w:color w:val="231F20"/>
                          <w:sz w:val="16"/>
                        </w:rPr>
                        <w:t>General </w:t>
                      </w:r>
                      <w:r>
                        <w:rPr>
                          <w:rFonts w:ascii="Swis721 Lt BT"/>
                          <w:color w:val="231F20"/>
                          <w:spacing w:val="-2"/>
                          <w:sz w:val="16"/>
                        </w:rPr>
                        <w:t>Manager,</w:t>
                      </w:r>
                      <w:r>
                        <w:rPr>
                          <w:rFonts w:ascii="Swis721 Lt BT"/>
                          <w:color w:val="231F20"/>
                          <w:spacing w:val="21"/>
                          <w:sz w:val="16"/>
                        </w:rPr>
                        <w:t> </w:t>
                      </w:r>
                      <w:r>
                        <w:rPr>
                          <w:rFonts w:ascii="Swis721 Lt BT"/>
                          <w:color w:val="231F20"/>
                          <w:sz w:val="16"/>
                        </w:rPr>
                        <w:t>Comm-</w:t>
                      </w:r>
                      <w:r>
                        <w:rPr>
                          <w:rFonts w:ascii="Swis721 Lt BT"/>
                          <w:color w:val="231F20"/>
                          <w:sz w:val="16"/>
                        </w:rPr>
                        <w:t> unications and External Relations</w:t>
                      </w:r>
                      <w:r>
                        <w:rPr>
                          <w:rFonts w:ascii="Swis721 Lt BT"/>
                          <w:sz w:val="16"/>
                        </w:rPr>
                      </w:r>
                    </w:p>
                    <w:p>
                      <w:pPr>
                        <w:spacing w:before="113"/>
                        <w:ind w:left="175" w:right="173" w:firstLine="0"/>
                        <w:jc w:val="center"/>
                        <w:rPr>
                          <w:rFonts w:ascii="Swis721 Md BT" w:hAnsi="Swis721 Md BT" w:cs="Swis721 Md BT" w:eastAsia="Swis721 Md BT"/>
                          <w:sz w:val="16"/>
                          <w:szCs w:val="16"/>
                        </w:rPr>
                      </w:pPr>
                      <w:r>
                        <w:rPr>
                          <w:rFonts w:ascii="Swis721 Md BT"/>
                          <w:color w:val="231F20"/>
                          <w:sz w:val="16"/>
                        </w:rPr>
                        <w:t>Ms Dianne Jickell</w:t>
                      </w:r>
                      <w:r>
                        <w:rPr>
                          <w:rFonts w:ascii="Swis721 Md BT"/>
                          <w:sz w:val="16"/>
                        </w:rPr>
                      </w:r>
                    </w:p>
                  </w:txbxContent>
                </v:textbox>
                <v:fill type="solid"/>
                <w10:wrap type="none"/>
              </v:shape>
              <v:shape style="position:absolute;left:2516;top:727;width:613;height:220" type="#_x0000_t202" filled="false" stroked="false">
                <v:textbox inset="0,0,0,0">
                  <w:txbxContent>
                    <w:p>
                      <w:pPr>
                        <w:spacing w:line="220" w:lineRule="exact" w:before="0"/>
                        <w:ind w:left="0" w:right="0" w:firstLine="0"/>
                        <w:jc w:val="left"/>
                        <w:rPr>
                          <w:rFonts w:ascii="Swis721 Md BT" w:hAnsi="Swis721 Md BT" w:cs="Swis721 Md BT" w:eastAsia="Swis721 Md BT"/>
                          <w:sz w:val="22"/>
                          <w:szCs w:val="22"/>
                        </w:rPr>
                      </w:pPr>
                      <w:r>
                        <w:rPr>
                          <w:rFonts w:ascii="Swis721 Md BT"/>
                          <w:color w:val="FFFFFF"/>
                          <w:sz w:val="22"/>
                        </w:rPr>
                        <w:t>Board</w:t>
                      </w:r>
                      <w:r>
                        <w:rPr>
                          <w:rFonts w:ascii="Swis721 Md BT"/>
                          <w:sz w:val="22"/>
                        </w:rPr>
                      </w:r>
                    </w:p>
                  </w:txbxContent>
                </v:textbox>
                <w10:wrap type="none"/>
              </v:shape>
              <v:shape style="position:absolute;left:6147;top:540;width:1184;height:418" type="#_x0000_t202" filled="false" stroked="false">
                <v:textbox inset="0,0,0,0">
                  <w:txbxContent>
                    <w:p>
                      <w:pPr>
                        <w:spacing w:line="197" w:lineRule="exact" w:before="0"/>
                        <w:ind w:left="0" w:right="0" w:firstLine="0"/>
                        <w:jc w:val="center"/>
                        <w:rPr>
                          <w:rFonts w:ascii="Swis721 Lt BT" w:hAnsi="Swis721 Lt BT" w:cs="Swis721 Lt BT" w:eastAsia="Swis721 Lt BT"/>
                          <w:sz w:val="19"/>
                          <w:szCs w:val="19"/>
                        </w:rPr>
                      </w:pPr>
                      <w:r>
                        <w:rPr>
                          <w:rFonts w:ascii="Swis721 Lt BT"/>
                          <w:color w:val="231F20"/>
                          <w:sz w:val="19"/>
                        </w:rPr>
                        <w:t>Audit and Risk</w:t>
                      </w:r>
                      <w:r>
                        <w:rPr>
                          <w:rFonts w:ascii="Swis721 Lt BT"/>
                          <w:sz w:val="19"/>
                        </w:rPr>
                      </w:r>
                    </w:p>
                    <w:p>
                      <w:pPr>
                        <w:spacing w:line="220" w:lineRule="exact" w:before="0"/>
                        <w:ind w:left="0" w:right="0" w:firstLine="0"/>
                        <w:jc w:val="center"/>
                        <w:rPr>
                          <w:rFonts w:ascii="Swis721 Lt BT" w:hAnsi="Swis721 Lt BT" w:cs="Swis721 Lt BT" w:eastAsia="Swis721 Lt BT"/>
                          <w:sz w:val="19"/>
                          <w:szCs w:val="19"/>
                        </w:rPr>
                      </w:pPr>
                      <w:r>
                        <w:rPr>
                          <w:rFonts w:ascii="Swis721 Lt BT"/>
                          <w:color w:val="231F20"/>
                          <w:sz w:val="19"/>
                        </w:rPr>
                        <w:t>Committee</w:t>
                      </w:r>
                      <w:r>
                        <w:rPr>
                          <w:rFonts w:ascii="Swis721 Lt BT"/>
                          <w:sz w:val="19"/>
                        </w:rPr>
                      </w:r>
                    </w:p>
                  </w:txbxContent>
                </v:textbox>
                <w10:wrap type="none"/>
              </v:shape>
              <v:shape style="position:absolute;left:5939;top:1549;width:1602;height:190" type="#_x0000_t202" filled="false" stroked="false">
                <v:textbox inset="0,0,0,0">
                  <w:txbxContent>
                    <w:p>
                      <w:pPr>
                        <w:spacing w:line="190" w:lineRule="exact" w:before="0"/>
                        <w:ind w:left="0" w:right="0" w:firstLine="0"/>
                        <w:jc w:val="left"/>
                        <w:rPr>
                          <w:rFonts w:ascii="Swis721 Lt BT" w:hAnsi="Swis721 Lt BT" w:cs="Swis721 Lt BT" w:eastAsia="Swis721 Lt BT"/>
                          <w:sz w:val="19"/>
                          <w:szCs w:val="19"/>
                        </w:rPr>
                      </w:pPr>
                      <w:r>
                        <w:rPr>
                          <w:rFonts w:ascii="Swis721 Lt BT"/>
                          <w:color w:val="231F20"/>
                          <w:sz w:val="19"/>
                        </w:rPr>
                        <w:t>Finance Committee</w:t>
                      </w:r>
                      <w:r>
                        <w:rPr>
                          <w:rFonts w:ascii="Swis721 Lt BT"/>
                          <w:sz w:val="19"/>
                        </w:rPr>
                      </w:r>
                    </w:p>
                  </w:txbxContent>
                </v:textbox>
                <w10:wrap type="none"/>
              </v:shape>
              <v:shape style="position:absolute;left:2194;top:2024;width:1257;height:744" type="#_x0000_t202" filled="false" stroked="false">
                <v:textbox inset="0,0,0,0">
                  <w:txbxContent>
                    <w:p>
                      <w:pPr>
                        <w:spacing w:line="194" w:lineRule="exact" w:before="0"/>
                        <w:ind w:left="0" w:right="0" w:firstLine="0"/>
                        <w:jc w:val="center"/>
                        <w:rPr>
                          <w:rFonts w:ascii="Swis721 Lt BT" w:hAnsi="Swis721 Lt BT" w:cs="Swis721 Lt BT" w:eastAsia="Swis721 Lt BT"/>
                          <w:sz w:val="19"/>
                          <w:szCs w:val="19"/>
                        </w:rPr>
                      </w:pPr>
                      <w:r>
                        <w:rPr>
                          <w:rFonts w:ascii="Swis721 Lt BT"/>
                          <w:color w:val="FFFFFF"/>
                          <w:sz w:val="19"/>
                        </w:rPr>
                        <w:t>Chief Executive</w:t>
                      </w:r>
                      <w:r>
                        <w:rPr>
                          <w:rFonts w:ascii="Swis721 Lt BT"/>
                          <w:sz w:val="19"/>
                        </w:rPr>
                      </w:r>
                    </w:p>
                    <w:p>
                      <w:pPr>
                        <w:spacing w:line="224" w:lineRule="exact" w:before="0"/>
                        <w:ind w:left="0" w:right="0" w:firstLine="0"/>
                        <w:jc w:val="center"/>
                        <w:rPr>
                          <w:rFonts w:ascii="Swis721 Lt BT" w:hAnsi="Swis721 Lt BT" w:cs="Swis721 Lt BT" w:eastAsia="Swis721 Lt BT"/>
                          <w:sz w:val="19"/>
                          <w:szCs w:val="19"/>
                        </w:rPr>
                      </w:pPr>
                      <w:r>
                        <w:rPr>
                          <w:rFonts w:ascii="Swis721 Lt BT"/>
                          <w:color w:val="FFFFFF"/>
                          <w:sz w:val="19"/>
                        </w:rPr>
                        <w:t>Officer</w:t>
                      </w:r>
                      <w:r>
                        <w:rPr>
                          <w:rFonts w:ascii="Swis721 Lt BT"/>
                          <w:sz w:val="19"/>
                        </w:rPr>
                      </w:r>
                    </w:p>
                    <w:p>
                      <w:pPr>
                        <w:spacing w:line="220" w:lineRule="exact" w:before="105"/>
                        <w:ind w:left="0" w:right="0" w:firstLine="0"/>
                        <w:jc w:val="center"/>
                        <w:rPr>
                          <w:rFonts w:ascii="Swis721 Md BT" w:hAnsi="Swis721 Md BT" w:cs="Swis721 Md BT" w:eastAsia="Swis721 Md BT"/>
                          <w:sz w:val="19"/>
                          <w:szCs w:val="19"/>
                        </w:rPr>
                      </w:pPr>
                      <w:r>
                        <w:rPr>
                          <w:rFonts w:ascii="Swis721 Md BT"/>
                          <w:color w:val="FFFFFF"/>
                          <w:sz w:val="19"/>
                        </w:rPr>
                        <w:t>Mr Mark Grant</w:t>
                      </w:r>
                      <w:r>
                        <w:rPr>
                          <w:rFonts w:ascii="Swis721 Md BT"/>
                          <w:sz w:val="19"/>
                        </w:rPr>
                      </w:r>
                    </w:p>
                  </w:txbxContent>
                </v:textbox>
                <w10:wrap type="none"/>
              </v:shape>
              <v:shape style="position:absolute;left:6166;top:2329;width:1148;height:418" type="#_x0000_t202" filled="false" stroked="false">
                <v:textbox inset="0,0,0,0">
                  <w:txbxContent>
                    <w:p>
                      <w:pPr>
                        <w:spacing w:line="197" w:lineRule="exact" w:before="0"/>
                        <w:ind w:left="0" w:right="0" w:firstLine="0"/>
                        <w:jc w:val="center"/>
                        <w:rPr>
                          <w:rFonts w:ascii="Swis721 Lt BT" w:hAnsi="Swis721 Lt BT" w:cs="Swis721 Lt BT" w:eastAsia="Swis721 Lt BT"/>
                          <w:sz w:val="19"/>
                          <w:szCs w:val="19"/>
                        </w:rPr>
                      </w:pPr>
                      <w:r>
                        <w:rPr>
                          <w:rFonts w:ascii="Swis721 Lt BT"/>
                          <w:color w:val="231F20"/>
                          <w:sz w:val="19"/>
                        </w:rPr>
                        <w:t>Remuneration</w:t>
                      </w:r>
                      <w:r>
                        <w:rPr>
                          <w:rFonts w:ascii="Swis721 Lt BT"/>
                          <w:sz w:val="19"/>
                        </w:rPr>
                      </w:r>
                    </w:p>
                    <w:p>
                      <w:pPr>
                        <w:spacing w:line="220" w:lineRule="exact" w:before="0"/>
                        <w:ind w:left="0" w:right="0" w:firstLine="0"/>
                        <w:jc w:val="center"/>
                        <w:rPr>
                          <w:rFonts w:ascii="Swis721 Lt BT" w:hAnsi="Swis721 Lt BT" w:cs="Swis721 Lt BT" w:eastAsia="Swis721 Lt BT"/>
                          <w:sz w:val="19"/>
                          <w:szCs w:val="19"/>
                        </w:rPr>
                      </w:pPr>
                      <w:r>
                        <w:rPr>
                          <w:rFonts w:ascii="Swis721 Lt BT"/>
                          <w:color w:val="231F20"/>
                          <w:sz w:val="19"/>
                        </w:rPr>
                        <w:t>Committee</w:t>
                      </w:r>
                      <w:r>
                        <w:rPr>
                          <w:rFonts w:ascii="Swis721 Lt BT"/>
                          <w:sz w:val="19"/>
                        </w:rPr>
                      </w:r>
                    </w:p>
                  </w:txbxContent>
                </v:textbox>
                <w10:wrap type="none"/>
              </v:shape>
              <v:shape style="position:absolute;left:443;top:3747;width:785;height:1810" type="#_x0000_t202" filled="false" stroked="false">
                <v:textbox inset="0,0,0,0">
                  <w:txbxContent>
                    <w:p>
                      <w:pPr>
                        <w:spacing w:line="166" w:lineRule="exact" w:before="0"/>
                        <w:ind w:left="0" w:right="0" w:firstLine="0"/>
                        <w:jc w:val="center"/>
                        <w:rPr>
                          <w:rFonts w:ascii="Swis721 Lt BT" w:hAnsi="Swis721 Lt BT" w:cs="Swis721 Lt BT" w:eastAsia="Swis721 Lt BT"/>
                          <w:sz w:val="16"/>
                          <w:szCs w:val="16"/>
                        </w:rPr>
                      </w:pPr>
                      <w:r>
                        <w:rPr>
                          <w:rFonts w:ascii="Swis721 Lt BT"/>
                          <w:color w:val="231F20"/>
                          <w:sz w:val="16"/>
                        </w:rPr>
                        <w:t>Company</w:t>
                      </w:r>
                      <w:r>
                        <w:rPr>
                          <w:rFonts w:ascii="Swis721 Lt BT"/>
                          <w:sz w:val="16"/>
                        </w:rPr>
                      </w:r>
                    </w:p>
                    <w:p>
                      <w:pPr>
                        <w:spacing w:before="0"/>
                        <w:ind w:left="0" w:right="0" w:hanging="1"/>
                        <w:jc w:val="center"/>
                        <w:rPr>
                          <w:rFonts w:ascii="Swis721 Lt BT" w:hAnsi="Swis721 Lt BT" w:cs="Swis721 Lt BT" w:eastAsia="Swis721 Lt BT"/>
                          <w:sz w:val="16"/>
                          <w:szCs w:val="16"/>
                        </w:rPr>
                      </w:pPr>
                      <w:r>
                        <w:rPr>
                          <w:rFonts w:ascii="Swis721 Lt BT"/>
                          <w:color w:val="231F20"/>
                          <w:spacing w:val="-2"/>
                          <w:sz w:val="16"/>
                        </w:rPr>
                        <w:t>Secretary,</w:t>
                      </w:r>
                      <w:r>
                        <w:rPr>
                          <w:rFonts w:ascii="Swis721 Lt BT"/>
                          <w:color w:val="231F20"/>
                          <w:spacing w:val="27"/>
                          <w:sz w:val="16"/>
                        </w:rPr>
                        <w:t> </w:t>
                      </w:r>
                      <w:r>
                        <w:rPr>
                          <w:rFonts w:ascii="Swis721 Lt BT"/>
                          <w:color w:val="231F20"/>
                          <w:sz w:val="16"/>
                        </w:rPr>
                        <w:t>Legal</w:t>
                      </w:r>
                      <w:r>
                        <w:rPr>
                          <w:rFonts w:ascii="Swis721 Lt BT"/>
                          <w:color w:val="231F20"/>
                          <w:sz w:val="16"/>
                        </w:rPr>
                        <w:t> Advisor &amp; General Manager AFM CSFG</w:t>
                      </w:r>
                      <w:r>
                        <w:rPr>
                          <w:rFonts w:ascii="Swis721 Lt BT"/>
                          <w:sz w:val="16"/>
                        </w:rPr>
                      </w:r>
                    </w:p>
                    <w:p>
                      <w:pPr>
                        <w:spacing w:before="113"/>
                        <w:ind w:left="111" w:right="109" w:firstLine="0"/>
                        <w:jc w:val="center"/>
                        <w:rPr>
                          <w:rFonts w:ascii="Swis721 Md BT" w:hAnsi="Swis721 Md BT" w:cs="Swis721 Md BT" w:eastAsia="Swis721 Md BT"/>
                          <w:sz w:val="16"/>
                          <w:szCs w:val="16"/>
                        </w:rPr>
                      </w:pPr>
                      <w:r>
                        <w:rPr>
                          <w:rFonts w:ascii="Swis721 Md BT"/>
                          <w:color w:val="231F20"/>
                          <w:sz w:val="16"/>
                        </w:rPr>
                        <w:t>Ms Lisa Molloy</w:t>
                      </w:r>
                      <w:r>
                        <w:rPr>
                          <w:rFonts w:ascii="Swis721 Md BT"/>
                          <w:sz w:val="16"/>
                        </w:rPr>
                      </w:r>
                    </w:p>
                  </w:txbxContent>
                </v:textbox>
                <w10:wrap type="none"/>
              </v:shape>
              <v:shape style="position:absolute;left:1653;top:4131;width:895;height:1042" type="#_x0000_t202" filled="false" stroked="false">
                <v:textbox inset="0,0,0,0">
                  <w:txbxContent>
                    <w:p>
                      <w:pPr>
                        <w:spacing w:line="166" w:lineRule="exact" w:before="0"/>
                        <w:ind w:left="-1" w:right="0" w:firstLine="0"/>
                        <w:jc w:val="center"/>
                        <w:rPr>
                          <w:rFonts w:ascii="Swis721 Lt BT" w:hAnsi="Swis721 Lt BT" w:cs="Swis721 Lt BT" w:eastAsia="Swis721 Lt BT"/>
                          <w:sz w:val="16"/>
                          <w:szCs w:val="16"/>
                        </w:rPr>
                      </w:pPr>
                      <w:r>
                        <w:rPr>
                          <w:rFonts w:ascii="Swis721 Lt BT"/>
                          <w:color w:val="231F20"/>
                          <w:sz w:val="16"/>
                        </w:rPr>
                        <w:t>Deputy Chief</w:t>
                      </w:r>
                      <w:r>
                        <w:rPr>
                          <w:rFonts w:ascii="Swis721 Lt BT"/>
                          <w:sz w:val="16"/>
                        </w:rPr>
                      </w:r>
                    </w:p>
                    <w:p>
                      <w:pPr>
                        <w:spacing w:before="0"/>
                        <w:ind w:left="118" w:right="116" w:firstLine="0"/>
                        <w:jc w:val="center"/>
                        <w:rPr>
                          <w:rFonts w:ascii="Swis721 Lt BT" w:hAnsi="Swis721 Lt BT" w:cs="Swis721 Lt BT" w:eastAsia="Swis721 Lt BT"/>
                          <w:sz w:val="16"/>
                          <w:szCs w:val="16"/>
                        </w:rPr>
                      </w:pPr>
                      <w:r>
                        <w:rPr>
                          <w:rFonts w:ascii="Swis721 Lt BT"/>
                          <w:color w:val="231F20"/>
                          <w:sz w:val="16"/>
                        </w:rPr>
                        <w:t>Executive Officer</w:t>
                      </w:r>
                      <w:r>
                        <w:rPr>
                          <w:rFonts w:ascii="Swis721 Lt BT"/>
                          <w:sz w:val="16"/>
                        </w:rPr>
                      </w:r>
                    </w:p>
                    <w:p>
                      <w:pPr>
                        <w:spacing w:before="113"/>
                        <w:ind w:left="18" w:right="16" w:firstLine="0"/>
                        <w:jc w:val="center"/>
                        <w:rPr>
                          <w:rFonts w:ascii="Swis721 Md BT" w:hAnsi="Swis721 Md BT" w:cs="Swis721 Md BT" w:eastAsia="Swis721 Md BT"/>
                          <w:sz w:val="16"/>
                          <w:szCs w:val="16"/>
                        </w:rPr>
                      </w:pPr>
                      <w:r>
                        <w:rPr>
                          <w:rFonts w:ascii="Swis721 Md BT"/>
                          <w:color w:val="231F20"/>
                          <w:sz w:val="16"/>
                        </w:rPr>
                        <w:t>Mr Edmund Mission</w:t>
                      </w:r>
                      <w:r>
                        <w:rPr>
                          <w:rFonts w:ascii="Swis721 Md BT"/>
                          <w:sz w:val="16"/>
                        </w:rPr>
                      </w:r>
                    </w:p>
                  </w:txbxContent>
                </v:textbox>
                <w10:wrap type="none"/>
              </v:shape>
              <v:shape style="position:absolute;left:3057;top:4131;width:617;height:1042" type="#_x0000_t202" filled="false" stroked="false">
                <v:textbox inset="0,0,0,0">
                  <w:txbxContent>
                    <w:p>
                      <w:pPr>
                        <w:spacing w:line="166" w:lineRule="exact" w:before="0"/>
                        <w:ind w:left="-1" w:right="0" w:firstLine="0"/>
                        <w:jc w:val="center"/>
                        <w:rPr>
                          <w:rFonts w:ascii="Swis721 Lt BT" w:hAnsi="Swis721 Lt BT" w:cs="Swis721 Lt BT" w:eastAsia="Swis721 Lt BT"/>
                          <w:sz w:val="16"/>
                          <w:szCs w:val="16"/>
                        </w:rPr>
                      </w:pPr>
                      <w:r>
                        <w:rPr>
                          <w:rFonts w:ascii="Swis721 Lt BT"/>
                          <w:color w:val="231F20"/>
                          <w:sz w:val="16"/>
                        </w:rPr>
                        <w:t>Chief</w:t>
                      </w:r>
                      <w:r>
                        <w:rPr>
                          <w:rFonts w:ascii="Swis721 Lt BT"/>
                          <w:sz w:val="16"/>
                        </w:rPr>
                      </w:r>
                    </w:p>
                    <w:p>
                      <w:pPr>
                        <w:spacing w:before="0"/>
                        <w:ind w:left="0" w:right="0" w:firstLine="0"/>
                        <w:jc w:val="center"/>
                        <w:rPr>
                          <w:rFonts w:ascii="Swis721 Lt BT" w:hAnsi="Swis721 Lt BT" w:cs="Swis721 Lt BT" w:eastAsia="Swis721 Lt BT"/>
                          <w:sz w:val="16"/>
                          <w:szCs w:val="16"/>
                        </w:rPr>
                      </w:pPr>
                      <w:r>
                        <w:rPr>
                          <w:rFonts w:ascii="Swis721 Lt BT"/>
                          <w:color w:val="231F20"/>
                          <w:sz w:val="16"/>
                        </w:rPr>
                        <w:t>Financial Officer</w:t>
                      </w:r>
                      <w:r>
                        <w:rPr>
                          <w:rFonts w:ascii="Swis721 Lt BT"/>
                          <w:sz w:val="16"/>
                        </w:rPr>
                      </w:r>
                    </w:p>
                    <w:p>
                      <w:pPr>
                        <w:spacing w:before="113"/>
                        <w:ind w:left="123" w:right="36" w:hanging="85"/>
                        <w:jc w:val="left"/>
                        <w:rPr>
                          <w:rFonts w:ascii="Swis721 Md BT" w:hAnsi="Swis721 Md BT" w:cs="Swis721 Md BT" w:eastAsia="Swis721 Md BT"/>
                          <w:sz w:val="16"/>
                          <w:szCs w:val="16"/>
                        </w:rPr>
                      </w:pPr>
                      <w:r>
                        <w:rPr>
                          <w:rFonts w:ascii="Swis721 Md BT"/>
                          <w:color w:val="231F20"/>
                          <w:sz w:val="16"/>
                        </w:rPr>
                        <w:t>Mr Don Abell</w:t>
                      </w:r>
                      <w:r>
                        <w:rPr>
                          <w:rFonts w:ascii="Swis721 Md BT"/>
                          <w:sz w:val="16"/>
                        </w:rPr>
                      </w:r>
                    </w:p>
                  </w:txbxContent>
                </v:textbox>
                <w10:wrap type="none"/>
              </v:shape>
              <v:shape style="position:absolute;left:5503;top:3939;width:786;height:1426" type="#_x0000_t202" filled="false" stroked="false">
                <v:textbox inset="0,0,0,0">
                  <w:txbxContent>
                    <w:p>
                      <w:pPr>
                        <w:spacing w:line="166" w:lineRule="exact" w:before="0"/>
                        <w:ind w:left="0" w:right="0" w:firstLine="0"/>
                        <w:jc w:val="center"/>
                        <w:rPr>
                          <w:rFonts w:ascii="Swis721 Lt BT" w:hAnsi="Swis721 Lt BT" w:cs="Swis721 Lt BT" w:eastAsia="Swis721 Lt BT"/>
                          <w:sz w:val="16"/>
                          <w:szCs w:val="16"/>
                        </w:rPr>
                      </w:pPr>
                      <w:r>
                        <w:rPr>
                          <w:rFonts w:ascii="Swis721 Lt BT"/>
                          <w:color w:val="231F20"/>
                          <w:sz w:val="16"/>
                        </w:rPr>
                        <w:t>General</w:t>
                      </w:r>
                      <w:r>
                        <w:rPr>
                          <w:rFonts w:ascii="Swis721 Lt BT"/>
                          <w:sz w:val="16"/>
                        </w:rPr>
                      </w:r>
                    </w:p>
                    <w:p>
                      <w:pPr>
                        <w:spacing w:before="0"/>
                        <w:ind w:left="0" w:right="0" w:firstLine="0"/>
                        <w:jc w:val="center"/>
                        <w:rPr>
                          <w:rFonts w:ascii="Swis721 Lt BT" w:hAnsi="Swis721 Lt BT" w:cs="Swis721 Lt BT" w:eastAsia="Swis721 Lt BT"/>
                          <w:sz w:val="16"/>
                          <w:szCs w:val="16"/>
                        </w:rPr>
                      </w:pPr>
                      <w:r>
                        <w:rPr>
                          <w:rFonts w:ascii="Swis721 Lt BT"/>
                          <w:color w:val="231F20"/>
                          <w:spacing w:val="-2"/>
                          <w:sz w:val="16"/>
                        </w:rPr>
                        <w:t>Manager,</w:t>
                      </w:r>
                      <w:r>
                        <w:rPr>
                          <w:rFonts w:ascii="Swis721 Lt BT"/>
                          <w:color w:val="231F20"/>
                          <w:spacing w:val="21"/>
                          <w:sz w:val="16"/>
                        </w:rPr>
                        <w:t> </w:t>
                      </w:r>
                      <w:r>
                        <w:rPr>
                          <w:rFonts w:ascii="Swis721 Lt BT"/>
                          <w:color w:val="231F20"/>
                          <w:spacing w:val="-3"/>
                          <w:sz w:val="16"/>
                        </w:rPr>
                        <w:t>Teaching</w:t>
                      </w:r>
                      <w:r>
                        <w:rPr>
                          <w:rFonts w:ascii="Swis721 Lt BT"/>
                          <w:color w:val="231F20"/>
                          <w:spacing w:val="22"/>
                          <w:sz w:val="16"/>
                        </w:rPr>
                        <w:t> </w:t>
                      </w:r>
                      <w:r>
                        <w:rPr>
                          <w:rFonts w:ascii="Swis721 Lt BT"/>
                          <w:color w:val="231F20"/>
                          <w:sz w:val="16"/>
                        </w:rPr>
                        <w:t>and School</w:t>
                      </w:r>
                      <w:r>
                        <w:rPr>
                          <w:rFonts w:ascii="Swis721 Lt BT"/>
                          <w:color w:val="231F20"/>
                          <w:sz w:val="16"/>
                        </w:rPr>
                        <w:t> Leadership</w:t>
                      </w:r>
                      <w:r>
                        <w:rPr>
                          <w:rFonts w:ascii="Swis721 Lt BT"/>
                          <w:sz w:val="16"/>
                        </w:rPr>
                      </w:r>
                    </w:p>
                    <w:p>
                      <w:pPr>
                        <w:spacing w:before="113"/>
                        <w:ind w:left="42" w:right="40" w:firstLine="0"/>
                        <w:jc w:val="center"/>
                        <w:rPr>
                          <w:rFonts w:ascii="Swis721 Md BT" w:hAnsi="Swis721 Md BT" w:cs="Swis721 Md BT" w:eastAsia="Swis721 Md BT"/>
                          <w:sz w:val="16"/>
                          <w:szCs w:val="16"/>
                        </w:rPr>
                      </w:pPr>
                      <w:r>
                        <w:rPr>
                          <w:rFonts w:ascii="Swis721 Md BT"/>
                          <w:color w:val="231F20"/>
                          <w:sz w:val="16"/>
                        </w:rPr>
                        <w:t>Mr Daniel Pinchas</w:t>
                      </w:r>
                      <w:r>
                        <w:rPr>
                          <w:rFonts w:ascii="Swis721 Md BT"/>
                          <w:sz w:val="16"/>
                        </w:rPr>
                      </w:r>
                    </w:p>
                  </w:txbxContent>
                </v:textbox>
                <w10:wrap type="none"/>
              </v:shape>
              <v:shape style="position:absolute;left:6752;top:4035;width:836;height:1234" type="#_x0000_t202" filled="false" stroked="false">
                <v:textbox inset="0,0,0,0">
                  <w:txbxContent>
                    <w:p>
                      <w:pPr>
                        <w:spacing w:line="166" w:lineRule="exact" w:before="0"/>
                        <w:ind w:left="0" w:right="0" w:firstLine="0"/>
                        <w:jc w:val="center"/>
                        <w:rPr>
                          <w:rFonts w:ascii="Swis721 Lt BT" w:hAnsi="Swis721 Lt BT" w:cs="Swis721 Lt BT" w:eastAsia="Swis721 Lt BT"/>
                          <w:sz w:val="16"/>
                          <w:szCs w:val="16"/>
                        </w:rPr>
                      </w:pPr>
                      <w:r>
                        <w:rPr>
                          <w:rFonts w:ascii="Swis721 Lt BT"/>
                          <w:color w:val="231F20"/>
                          <w:sz w:val="16"/>
                        </w:rPr>
                        <w:t>General</w:t>
                      </w:r>
                      <w:r>
                        <w:rPr>
                          <w:rFonts w:ascii="Swis721 Lt BT"/>
                          <w:sz w:val="16"/>
                        </w:rPr>
                      </w:r>
                    </w:p>
                    <w:p>
                      <w:pPr>
                        <w:spacing w:before="0"/>
                        <w:ind w:left="0" w:right="0" w:hanging="1"/>
                        <w:jc w:val="center"/>
                        <w:rPr>
                          <w:rFonts w:ascii="Swis721 Lt BT" w:hAnsi="Swis721 Lt BT" w:cs="Swis721 Lt BT" w:eastAsia="Swis721 Lt BT"/>
                          <w:sz w:val="16"/>
                          <w:szCs w:val="16"/>
                        </w:rPr>
                      </w:pPr>
                      <w:r>
                        <w:rPr>
                          <w:rFonts w:ascii="Swis721 Lt BT"/>
                          <w:color w:val="231F20"/>
                          <w:spacing w:val="-2"/>
                          <w:sz w:val="16"/>
                        </w:rPr>
                        <w:t>Manager,</w:t>
                      </w:r>
                      <w:r>
                        <w:rPr>
                          <w:rFonts w:ascii="Swis721 Lt BT"/>
                          <w:color w:val="231F20"/>
                          <w:spacing w:val="21"/>
                          <w:sz w:val="16"/>
                        </w:rPr>
                        <w:t> </w:t>
                      </w:r>
                      <w:r>
                        <w:rPr>
                          <w:rFonts w:ascii="Swis721 Lt BT"/>
                          <w:color w:val="231F20"/>
                          <w:sz w:val="16"/>
                        </w:rPr>
                        <w:t>Evidence</w:t>
                      </w:r>
                      <w:r>
                        <w:rPr>
                          <w:rFonts w:ascii="Swis721 Lt BT"/>
                          <w:color w:val="231F20"/>
                          <w:sz w:val="16"/>
                        </w:rPr>
                        <w:t> and Impact</w:t>
                      </w:r>
                      <w:r>
                        <w:rPr>
                          <w:rFonts w:ascii="Swis721 Lt BT"/>
                          <w:sz w:val="16"/>
                        </w:rPr>
                      </w:r>
                    </w:p>
                    <w:p>
                      <w:pPr>
                        <w:spacing w:before="113"/>
                        <w:ind w:left="0" w:right="0" w:firstLine="0"/>
                        <w:jc w:val="center"/>
                        <w:rPr>
                          <w:rFonts w:ascii="Swis721 Md BT" w:hAnsi="Swis721 Md BT" w:cs="Swis721 Md BT" w:eastAsia="Swis721 Md BT"/>
                          <w:sz w:val="16"/>
                          <w:szCs w:val="16"/>
                        </w:rPr>
                      </w:pPr>
                      <w:r>
                        <w:rPr>
                          <w:rFonts w:ascii="Swis721 Md BT"/>
                          <w:color w:val="231F20"/>
                          <w:sz w:val="16"/>
                        </w:rPr>
                        <w:t>Mr Xian-Zhi Soon</w:t>
                      </w:r>
                      <w:r>
                        <w:rPr>
                          <w:rFonts w:ascii="Swis721 Md BT"/>
                          <w:sz w:val="16"/>
                        </w:rPr>
                      </w:r>
                    </w:p>
                  </w:txbxContent>
                </v:textbox>
                <w10:wrap type="none"/>
              </v:shape>
            </v:group>
          </v:group>
        </w:pict>
      </w:r>
      <w:r>
        <w:rPr>
          <w:rFonts w:ascii="Swis721 Lt BT" w:hAnsi="Swis721 Lt BT" w:cs="Swis721 Lt BT" w:eastAsia="Swis721 Lt BT"/>
          <w:sz w:val="20"/>
          <w:szCs w:val="20"/>
        </w:rPr>
      </w:r>
    </w:p>
    <w:p>
      <w:pPr>
        <w:spacing w:line="240" w:lineRule="auto" w:before="9"/>
        <w:rPr>
          <w:rFonts w:ascii="Swis721 Lt BT" w:hAnsi="Swis721 Lt BT" w:cs="Swis721 Lt BT" w:eastAsia="Swis721 Lt BT"/>
          <w:sz w:val="24"/>
          <w:szCs w:val="24"/>
        </w:rPr>
      </w:pPr>
    </w:p>
    <w:p>
      <w:pPr>
        <w:spacing w:after="0" w:line="240" w:lineRule="auto"/>
        <w:rPr>
          <w:rFonts w:ascii="Swis721 Lt BT" w:hAnsi="Swis721 Lt BT" w:cs="Swis721 Lt BT" w:eastAsia="Swis721 Lt BT"/>
          <w:sz w:val="24"/>
          <w:szCs w:val="24"/>
        </w:rPr>
        <w:sectPr>
          <w:pgSz w:w="9980" w:h="14180"/>
          <w:pgMar w:header="0" w:footer="452" w:top="1040" w:bottom="640" w:left="740" w:right="1020"/>
        </w:sectPr>
      </w:pPr>
    </w:p>
    <w:p>
      <w:pPr>
        <w:pStyle w:val="BodyText"/>
        <w:spacing w:line="240" w:lineRule="auto" w:before="69"/>
        <w:ind w:right="48"/>
        <w:jc w:val="left"/>
      </w:pPr>
      <w:r>
        <w:rPr>
          <w:color w:val="231F20"/>
        </w:rPr>
        <w:t>During the reporting period there were several changes to AITSL’s organisational structure:</w:t>
      </w:r>
      <w:r>
        <w:rPr/>
      </w:r>
    </w:p>
    <w:p>
      <w:pPr>
        <w:pStyle w:val="BodyText"/>
        <w:spacing w:line="240" w:lineRule="auto"/>
        <w:ind w:left="337" w:right="48" w:hanging="227"/>
        <w:jc w:val="left"/>
      </w:pPr>
      <w:r>
        <w:rPr>
          <w:rFonts w:ascii="Arial" w:hAnsi="Arial"/>
          <w:color w:val="00757A"/>
        </w:rPr>
        <w:t>ϐ </w:t>
      </w:r>
      <w:r>
        <w:rPr>
          <w:rFonts w:ascii="Arial" w:hAnsi="Arial"/>
          <w:color w:val="00757A"/>
          <w:spacing w:val="8"/>
        </w:rPr>
        <w:t> </w:t>
      </w:r>
      <w:r>
        <w:rPr>
          <w:color w:val="231F20"/>
          <w:spacing w:val="-1"/>
        </w:rPr>
        <w:t>Former</w:t>
      </w:r>
      <w:r>
        <w:rPr>
          <w:color w:val="231F20"/>
        </w:rPr>
        <w:t> CEO</w:t>
      </w:r>
      <w:r>
        <w:rPr>
          <w:color w:val="231F20"/>
          <w:spacing w:val="1"/>
        </w:rPr>
        <w:t> </w:t>
      </w:r>
      <w:r>
        <w:rPr>
          <w:color w:val="231F20"/>
        </w:rPr>
        <w:t>Lisa</w:t>
      </w:r>
      <w:r>
        <w:rPr>
          <w:color w:val="231F20"/>
          <w:spacing w:val="1"/>
        </w:rPr>
        <w:t> </w:t>
      </w:r>
      <w:r>
        <w:rPr>
          <w:color w:val="231F20"/>
        </w:rPr>
        <w:t>Rogers departed</w:t>
      </w:r>
      <w:r>
        <w:rPr>
          <w:color w:val="231F20"/>
          <w:spacing w:val="1"/>
        </w:rPr>
        <w:t> </w:t>
      </w:r>
      <w:r>
        <w:rPr>
          <w:color w:val="231F20"/>
        </w:rPr>
        <w:t>in</w:t>
      </w:r>
      <w:r>
        <w:rPr>
          <w:color w:val="231F20"/>
          <w:spacing w:val="21"/>
        </w:rPr>
        <w:t> </w:t>
      </w:r>
      <w:r>
        <w:rPr>
          <w:color w:val="231F20"/>
          <w:spacing w:val="-2"/>
        </w:rPr>
        <w:t>January.</w:t>
      </w:r>
      <w:r>
        <w:rPr>
          <w:color w:val="231F20"/>
        </w:rPr>
        <w:t> The Deputy CEO was appointed</w:t>
      </w:r>
      <w:r>
        <w:rPr>
          <w:color w:val="231F20"/>
          <w:spacing w:val="21"/>
        </w:rPr>
        <w:t> </w:t>
      </w:r>
      <w:r>
        <w:rPr>
          <w:color w:val="231F20"/>
        </w:rPr>
        <w:t>CEO in an acting </w:t>
      </w:r>
      <w:r>
        <w:rPr>
          <w:color w:val="231F20"/>
          <w:spacing w:val="-2"/>
        </w:rPr>
        <w:t>capacity,</w:t>
      </w:r>
      <w:r>
        <w:rPr>
          <w:color w:val="231F20"/>
        </w:rPr>
        <w:t> and his direct</w:t>
      </w:r>
      <w:r>
        <w:rPr>
          <w:color w:val="231F20"/>
          <w:spacing w:val="23"/>
        </w:rPr>
        <w:t> </w:t>
      </w:r>
      <w:r>
        <w:rPr>
          <w:color w:val="231F20"/>
        </w:rPr>
        <w:t>reports were delegated between the</w:t>
      </w:r>
      <w:r>
        <w:rPr>
          <w:color w:val="231F20"/>
        </w:rPr>
        <w:t> existing senior executive team.</w:t>
      </w:r>
      <w:r>
        <w:rPr/>
      </w:r>
    </w:p>
    <w:p>
      <w:pPr>
        <w:pStyle w:val="BodyText"/>
        <w:spacing w:line="240" w:lineRule="auto"/>
        <w:ind w:left="337" w:right="48" w:hanging="227"/>
        <w:jc w:val="left"/>
      </w:pPr>
      <w:r>
        <w:rPr>
          <w:rFonts w:ascii="Arial" w:hAnsi="Arial"/>
          <w:color w:val="00757A"/>
        </w:rPr>
        <w:t>ϐ </w:t>
      </w:r>
      <w:r>
        <w:rPr>
          <w:rFonts w:ascii="Arial" w:hAnsi="Arial"/>
          <w:color w:val="00757A"/>
          <w:spacing w:val="8"/>
        </w:rPr>
        <w:t> </w:t>
      </w:r>
      <w:r>
        <w:rPr>
          <w:color w:val="231F20"/>
        </w:rPr>
        <w:t>New General</w:t>
      </w:r>
      <w:r>
        <w:rPr>
          <w:color w:val="231F20"/>
          <w:spacing w:val="1"/>
        </w:rPr>
        <w:t> </w:t>
      </w:r>
      <w:r>
        <w:rPr>
          <w:color w:val="231F20"/>
        </w:rPr>
        <w:t>Manager</w:t>
      </w:r>
      <w:r>
        <w:rPr>
          <w:color w:val="231F20"/>
          <w:spacing w:val="1"/>
        </w:rPr>
        <w:t> </w:t>
      </w:r>
      <w:r>
        <w:rPr>
          <w:color w:val="231F20"/>
        </w:rPr>
        <w:t>for Evidence</w:t>
      </w:r>
      <w:r>
        <w:rPr>
          <w:color w:val="231F20"/>
          <w:spacing w:val="1"/>
        </w:rPr>
        <w:t> </w:t>
      </w:r>
      <w:r>
        <w:rPr>
          <w:color w:val="231F20"/>
        </w:rPr>
        <w:t>and</w:t>
      </w:r>
      <w:r>
        <w:rPr>
          <w:color w:val="231F20"/>
        </w:rPr>
        <w:t> Impact, Zhi Soon, commenced in March.</w:t>
      </w:r>
      <w:r>
        <w:rPr/>
      </w:r>
    </w:p>
    <w:p>
      <w:pPr>
        <w:pStyle w:val="BodyText"/>
        <w:spacing w:line="240" w:lineRule="auto"/>
        <w:ind w:right="0"/>
        <w:jc w:val="left"/>
      </w:pPr>
      <w:r>
        <w:rPr>
          <w:rFonts w:ascii="Arial" w:hAnsi="Arial"/>
          <w:color w:val="00757A"/>
        </w:rPr>
        <w:t>ϐ </w:t>
      </w:r>
      <w:r>
        <w:rPr>
          <w:rFonts w:ascii="Arial" w:hAnsi="Arial"/>
          <w:color w:val="00757A"/>
          <w:spacing w:val="8"/>
        </w:rPr>
        <w:t> </w:t>
      </w:r>
      <w:r>
        <w:rPr>
          <w:color w:val="231F20"/>
        </w:rPr>
        <w:t>New</w:t>
      </w:r>
      <w:r>
        <w:rPr>
          <w:color w:val="231F20"/>
          <w:spacing w:val="-1"/>
        </w:rPr>
        <w:t> </w:t>
      </w:r>
      <w:r>
        <w:rPr>
          <w:color w:val="231F20"/>
          <w:spacing w:val="-2"/>
        </w:rPr>
        <w:t>CEO,</w:t>
      </w:r>
      <w:r>
        <w:rPr>
          <w:color w:val="231F20"/>
        </w:rPr>
        <w:t> Mark</w:t>
      </w:r>
      <w:r>
        <w:rPr>
          <w:color w:val="231F20"/>
          <w:spacing w:val="-1"/>
        </w:rPr>
        <w:t> </w:t>
      </w:r>
      <w:r>
        <w:rPr>
          <w:color w:val="231F20"/>
        </w:rPr>
        <w:t>Grant, commenced</w:t>
      </w:r>
      <w:r>
        <w:rPr>
          <w:color w:val="231F20"/>
          <w:spacing w:val="-1"/>
        </w:rPr>
        <w:t> </w:t>
      </w:r>
      <w:r>
        <w:rPr>
          <w:color w:val="231F20"/>
        </w:rPr>
        <w:t>in April.</w:t>
      </w:r>
      <w:r>
        <w:rPr/>
      </w:r>
    </w:p>
    <w:p>
      <w:pPr>
        <w:spacing w:before="69"/>
        <w:ind w:left="110" w:right="0" w:firstLine="0"/>
        <w:jc w:val="left"/>
        <w:rPr>
          <w:rFonts w:ascii="Swis721 BT" w:hAnsi="Swis721 BT" w:cs="Swis721 BT" w:eastAsia="Swis721 BT"/>
          <w:sz w:val="19"/>
          <w:szCs w:val="19"/>
        </w:rPr>
      </w:pPr>
      <w:r>
        <w:rPr/>
        <w:br w:type="column"/>
      </w:r>
      <w:r>
        <w:rPr>
          <w:rFonts w:ascii="Swis721 BT"/>
          <w:b/>
          <w:color w:val="231F20"/>
          <w:sz w:val="19"/>
        </w:rPr>
        <w:t>Staffing</w:t>
      </w:r>
      <w:r>
        <w:rPr>
          <w:rFonts w:ascii="Swis721 BT"/>
          <w:b/>
          <w:color w:val="231F20"/>
          <w:spacing w:val="-2"/>
          <w:sz w:val="19"/>
        </w:rPr>
        <w:t> </w:t>
      </w:r>
      <w:r>
        <w:rPr>
          <w:rFonts w:ascii="Swis721 BT"/>
          <w:b/>
          <w:color w:val="231F20"/>
          <w:sz w:val="19"/>
        </w:rPr>
        <w:t>as</w:t>
      </w:r>
      <w:r>
        <w:rPr>
          <w:rFonts w:ascii="Swis721 BT"/>
          <w:b/>
          <w:color w:val="231F20"/>
          <w:spacing w:val="-1"/>
          <w:sz w:val="19"/>
        </w:rPr>
        <w:t> </w:t>
      </w:r>
      <w:r>
        <w:rPr>
          <w:rFonts w:ascii="Swis721 BT"/>
          <w:b/>
          <w:color w:val="231F20"/>
          <w:sz w:val="19"/>
        </w:rPr>
        <w:t>at</w:t>
      </w:r>
      <w:r>
        <w:rPr>
          <w:rFonts w:ascii="Swis721 BT"/>
          <w:b/>
          <w:color w:val="231F20"/>
          <w:spacing w:val="-2"/>
          <w:sz w:val="19"/>
        </w:rPr>
        <w:t> </w:t>
      </w:r>
      <w:r>
        <w:rPr>
          <w:rFonts w:ascii="Swis721 BT"/>
          <w:b/>
          <w:color w:val="231F20"/>
          <w:sz w:val="19"/>
        </w:rPr>
        <w:t>30</w:t>
      </w:r>
      <w:r>
        <w:rPr>
          <w:rFonts w:ascii="Swis721 BT"/>
          <w:b/>
          <w:color w:val="231F20"/>
          <w:spacing w:val="-1"/>
          <w:sz w:val="19"/>
        </w:rPr>
        <w:t> </w:t>
      </w:r>
      <w:r>
        <w:rPr>
          <w:rFonts w:ascii="Swis721 BT"/>
          <w:b/>
          <w:color w:val="231F20"/>
          <w:sz w:val="19"/>
        </w:rPr>
        <w:t>June</w:t>
      </w:r>
      <w:r>
        <w:rPr>
          <w:rFonts w:ascii="Swis721 BT"/>
          <w:b/>
          <w:color w:val="231F20"/>
          <w:spacing w:val="-1"/>
          <w:sz w:val="19"/>
        </w:rPr>
        <w:t> </w:t>
      </w:r>
      <w:r>
        <w:rPr>
          <w:rFonts w:ascii="Swis721 BT"/>
          <w:b/>
          <w:color w:val="231F20"/>
          <w:sz w:val="19"/>
        </w:rPr>
        <w:t>2019:</w:t>
      </w:r>
      <w:r>
        <w:rPr>
          <w:rFonts w:ascii="Swis721 BT"/>
          <w:sz w:val="19"/>
        </w:rPr>
      </w:r>
    </w:p>
    <w:p>
      <w:pPr>
        <w:pStyle w:val="BodyText"/>
        <w:spacing w:line="240" w:lineRule="auto"/>
        <w:ind w:right="0"/>
        <w:jc w:val="left"/>
      </w:pPr>
      <w:r>
        <w:rPr>
          <w:rFonts w:ascii="Arial" w:hAnsi="Arial"/>
          <w:color w:val="00757A"/>
        </w:rPr>
        <w:t>ϐ </w:t>
      </w:r>
      <w:r>
        <w:rPr>
          <w:rFonts w:ascii="Arial" w:hAnsi="Arial"/>
          <w:color w:val="00757A"/>
          <w:spacing w:val="8"/>
        </w:rPr>
        <w:t> </w:t>
      </w:r>
      <w:r>
        <w:rPr>
          <w:color w:val="231F20"/>
          <w:spacing w:val="-6"/>
        </w:rPr>
        <w:t>Total</w:t>
      </w:r>
      <w:r>
        <w:rPr>
          <w:color w:val="231F20"/>
          <w:spacing w:val="1"/>
        </w:rPr>
        <w:t> </w:t>
      </w:r>
      <w:r>
        <w:rPr>
          <w:color w:val="231F20"/>
        </w:rPr>
        <w:t>head</w:t>
      </w:r>
      <w:r>
        <w:rPr>
          <w:color w:val="231F20"/>
          <w:spacing w:val="1"/>
        </w:rPr>
        <w:t> </w:t>
      </w:r>
      <w:r>
        <w:rPr>
          <w:color w:val="231F20"/>
        </w:rPr>
        <w:t>count:</w:t>
      </w:r>
      <w:r>
        <w:rPr>
          <w:color w:val="231F20"/>
          <w:spacing w:val="1"/>
        </w:rPr>
        <w:t> </w:t>
      </w:r>
      <w:r>
        <w:rPr>
          <w:color w:val="231F20"/>
        </w:rPr>
        <w:t>81</w:t>
      </w:r>
      <w:r>
        <w:rPr/>
      </w:r>
    </w:p>
    <w:p>
      <w:pPr>
        <w:pStyle w:val="BodyText"/>
        <w:spacing w:line="240" w:lineRule="auto"/>
        <w:ind w:left="337" w:right="53" w:hanging="227"/>
        <w:jc w:val="left"/>
      </w:pPr>
      <w:r>
        <w:rPr>
          <w:rFonts w:ascii="Arial" w:hAnsi="Arial"/>
          <w:color w:val="00757A"/>
        </w:rPr>
        <w:t>ϐ </w:t>
      </w:r>
      <w:r>
        <w:rPr>
          <w:rFonts w:ascii="Arial" w:hAnsi="Arial"/>
          <w:color w:val="00757A"/>
          <w:spacing w:val="8"/>
        </w:rPr>
        <w:t> </w:t>
      </w:r>
      <w:r>
        <w:rPr>
          <w:color w:val="231F20"/>
        </w:rPr>
        <w:t>FTE:</w:t>
      </w:r>
      <w:r>
        <w:rPr>
          <w:color w:val="231F20"/>
          <w:spacing w:val="1"/>
        </w:rPr>
        <w:t> </w:t>
      </w:r>
      <w:r>
        <w:rPr>
          <w:color w:val="231F20"/>
        </w:rPr>
        <w:t>65.21 (excluding</w:t>
      </w:r>
      <w:r>
        <w:rPr>
          <w:color w:val="231F20"/>
          <w:spacing w:val="1"/>
        </w:rPr>
        <w:t> </w:t>
      </w:r>
      <w:r>
        <w:rPr>
          <w:color w:val="231F20"/>
        </w:rPr>
        <w:t>casuals),</w:t>
      </w:r>
      <w:r>
        <w:rPr>
          <w:color w:val="231F20"/>
          <w:spacing w:val="1"/>
        </w:rPr>
        <w:t> </w:t>
      </w:r>
      <w:r>
        <w:rPr>
          <w:color w:val="231F20"/>
        </w:rPr>
        <w:t>65.78</w:t>
      </w:r>
      <w:r>
        <w:rPr>
          <w:color w:val="231F20"/>
          <w:spacing w:val="23"/>
        </w:rPr>
        <w:t> </w:t>
      </w:r>
      <w:r>
        <w:rPr>
          <w:color w:val="231F20"/>
        </w:rPr>
        <w:t>(including casuals)</w:t>
      </w:r>
      <w:r>
        <w:rPr/>
      </w:r>
    </w:p>
    <w:p>
      <w:pPr>
        <w:pStyle w:val="BodyText"/>
        <w:spacing w:line="359" w:lineRule="auto"/>
        <w:ind w:right="1725" w:hanging="1"/>
        <w:jc w:val="both"/>
      </w:pPr>
      <w:r>
        <w:rPr>
          <w:rFonts w:ascii="Arial" w:hAnsi="Arial"/>
          <w:color w:val="00757A"/>
        </w:rPr>
        <w:t>ϐ</w:t>
      </w:r>
      <w:r>
        <w:rPr>
          <w:rFonts w:ascii="Arial" w:hAnsi="Arial"/>
          <w:color w:val="00757A"/>
          <w:spacing w:val="8"/>
        </w:rPr>
        <w:t> </w:t>
      </w:r>
      <w:r>
        <w:rPr>
          <w:color w:val="231F20"/>
          <w:spacing w:val="-1"/>
        </w:rPr>
        <w:t>Full-time</w:t>
      </w:r>
      <w:r>
        <w:rPr>
          <w:color w:val="231F20"/>
          <w:spacing w:val="1"/>
        </w:rPr>
        <w:t> </w:t>
      </w:r>
      <w:r>
        <w:rPr>
          <w:color w:val="231F20"/>
        </w:rPr>
        <w:t>employees:</w:t>
      </w:r>
      <w:r>
        <w:rPr>
          <w:color w:val="231F20"/>
          <w:spacing w:val="1"/>
        </w:rPr>
        <w:t> </w:t>
      </w:r>
      <w:r>
        <w:rPr>
          <w:color w:val="231F20"/>
        </w:rPr>
        <w:t>61</w:t>
      </w:r>
      <w:r>
        <w:rPr>
          <w:color w:val="231F20"/>
          <w:spacing w:val="24"/>
        </w:rPr>
        <w:t> </w:t>
      </w:r>
      <w:r>
        <w:rPr>
          <w:rFonts w:ascii="Arial" w:hAnsi="Arial"/>
          <w:color w:val="00757A"/>
        </w:rPr>
        <w:t>ϐ</w:t>
      </w:r>
      <w:r>
        <w:rPr>
          <w:rFonts w:ascii="Arial" w:hAnsi="Arial"/>
          <w:color w:val="00757A"/>
          <w:spacing w:val="9"/>
        </w:rPr>
        <w:t> </w:t>
      </w:r>
      <w:r>
        <w:rPr>
          <w:color w:val="231F20"/>
          <w:spacing w:val="-2"/>
        </w:rPr>
        <w:t>Part-time</w:t>
      </w:r>
      <w:r>
        <w:rPr>
          <w:color w:val="231F20"/>
          <w:spacing w:val="1"/>
        </w:rPr>
        <w:t> </w:t>
      </w:r>
      <w:r>
        <w:rPr>
          <w:color w:val="231F20"/>
        </w:rPr>
        <w:t>employees:</w:t>
      </w:r>
      <w:r>
        <w:rPr>
          <w:color w:val="231F20"/>
          <w:spacing w:val="1"/>
        </w:rPr>
        <w:t> </w:t>
      </w:r>
      <w:r>
        <w:rPr>
          <w:color w:val="231F20"/>
        </w:rPr>
        <w:t>16</w:t>
      </w:r>
      <w:r>
        <w:rPr>
          <w:color w:val="231F20"/>
          <w:spacing w:val="28"/>
        </w:rPr>
        <w:t> </w:t>
      </w:r>
      <w:r>
        <w:rPr>
          <w:rFonts w:ascii="Arial" w:hAnsi="Arial"/>
          <w:color w:val="00757A"/>
        </w:rPr>
        <w:t>ϐ </w:t>
      </w:r>
      <w:r>
        <w:rPr>
          <w:rFonts w:ascii="Arial" w:hAnsi="Arial"/>
          <w:color w:val="00757A"/>
          <w:spacing w:val="9"/>
        </w:rPr>
        <w:t> </w:t>
      </w:r>
      <w:r>
        <w:rPr>
          <w:color w:val="231F20"/>
        </w:rPr>
        <w:t>Casual</w:t>
      </w:r>
      <w:r>
        <w:rPr>
          <w:color w:val="231F20"/>
          <w:spacing w:val="1"/>
        </w:rPr>
        <w:t> </w:t>
      </w:r>
      <w:r>
        <w:rPr>
          <w:color w:val="231F20"/>
        </w:rPr>
        <w:t>employees:</w:t>
      </w:r>
      <w:r>
        <w:rPr>
          <w:color w:val="231F20"/>
          <w:spacing w:val="1"/>
        </w:rPr>
        <w:t> </w:t>
      </w:r>
      <w:r>
        <w:rPr>
          <w:color w:val="231F20"/>
        </w:rPr>
        <w:t>4</w:t>
      </w:r>
      <w:r>
        <w:rPr/>
      </w:r>
    </w:p>
    <w:p>
      <w:pPr>
        <w:pStyle w:val="BodyText"/>
        <w:spacing w:line="240" w:lineRule="auto" w:before="0"/>
        <w:ind w:left="111" w:right="0" w:hanging="1"/>
        <w:jc w:val="left"/>
      </w:pPr>
      <w:r>
        <w:rPr>
          <w:rFonts w:ascii="Arial" w:hAnsi="Arial"/>
          <w:color w:val="00757A"/>
        </w:rPr>
        <w:t>ϐ </w:t>
      </w:r>
      <w:r>
        <w:rPr>
          <w:rFonts w:ascii="Arial" w:hAnsi="Arial"/>
          <w:color w:val="00757A"/>
          <w:spacing w:val="8"/>
        </w:rPr>
        <w:t> </w:t>
      </w:r>
      <w:r>
        <w:rPr>
          <w:color w:val="231F20"/>
          <w:spacing w:val="-2"/>
        </w:rPr>
        <w:t>Gender:</w:t>
      </w:r>
      <w:r>
        <w:rPr>
          <w:color w:val="231F20"/>
          <w:spacing w:val="-4"/>
        </w:rPr>
        <w:t> </w:t>
      </w:r>
      <w:r>
        <w:rPr>
          <w:color w:val="231F20"/>
          <w:spacing w:val="-1"/>
        </w:rPr>
        <w:t>58</w:t>
      </w:r>
      <w:r>
        <w:rPr>
          <w:color w:val="231F20"/>
          <w:spacing w:val="-3"/>
        </w:rPr>
        <w:t> Females</w:t>
      </w:r>
      <w:r>
        <w:rPr>
          <w:color w:val="231F20"/>
          <w:spacing w:val="-4"/>
        </w:rPr>
        <w:t> </w:t>
      </w:r>
      <w:r>
        <w:rPr>
          <w:color w:val="231F20"/>
          <w:spacing w:val="-2"/>
        </w:rPr>
        <w:t>(71%);</w:t>
      </w:r>
      <w:r>
        <w:rPr>
          <w:color w:val="231F20"/>
          <w:spacing w:val="-3"/>
        </w:rPr>
        <w:t> </w:t>
      </w:r>
      <w:r>
        <w:rPr>
          <w:color w:val="231F20"/>
          <w:spacing w:val="-1"/>
        </w:rPr>
        <w:t>23</w:t>
      </w:r>
      <w:r>
        <w:rPr>
          <w:color w:val="231F20"/>
          <w:spacing w:val="-4"/>
        </w:rPr>
        <w:t> </w:t>
      </w:r>
      <w:r>
        <w:rPr>
          <w:color w:val="231F20"/>
          <w:spacing w:val="-2"/>
        </w:rPr>
        <w:t>Males</w:t>
      </w:r>
      <w:r>
        <w:rPr>
          <w:color w:val="231F20"/>
          <w:spacing w:val="-3"/>
        </w:rPr>
        <w:t> </w:t>
      </w:r>
      <w:r>
        <w:rPr>
          <w:color w:val="231F20"/>
          <w:spacing w:val="-2"/>
        </w:rPr>
        <w:t>(28%)</w:t>
      </w:r>
      <w:r>
        <w:rPr/>
      </w:r>
    </w:p>
    <w:p>
      <w:pPr>
        <w:pStyle w:val="BodyText"/>
        <w:spacing w:line="240" w:lineRule="auto"/>
        <w:ind w:left="338" w:right="255" w:hanging="227"/>
        <w:jc w:val="left"/>
      </w:pPr>
      <w:r>
        <w:rPr>
          <w:rFonts w:ascii="Arial" w:hAnsi="Arial"/>
          <w:color w:val="00757A"/>
        </w:rPr>
        <w:t>ϐ </w:t>
      </w:r>
      <w:r>
        <w:rPr>
          <w:rFonts w:ascii="Arial" w:hAnsi="Arial"/>
          <w:color w:val="00757A"/>
          <w:spacing w:val="6"/>
        </w:rPr>
        <w:t> </w:t>
      </w:r>
      <w:r>
        <w:rPr>
          <w:color w:val="231F20"/>
        </w:rPr>
        <w:t>Staff location: The Canberra office closed</w:t>
      </w:r>
      <w:r>
        <w:rPr>
          <w:color w:val="231F20"/>
        </w:rPr>
        <w:t> 14 June 2019. Three staff were made redundant; one staff member continues to work remotely from Canberra on a casual basis. All remaining staff are based in the Melbourne</w:t>
      </w:r>
      <w:r>
        <w:rPr>
          <w:color w:val="231F20"/>
          <w:spacing w:val="-5"/>
        </w:rPr>
        <w:t> </w:t>
      </w:r>
      <w:r>
        <w:rPr>
          <w:color w:val="231F20"/>
        </w:rPr>
        <w:t>office.</w:t>
      </w:r>
      <w:r>
        <w:rPr/>
      </w:r>
    </w:p>
    <w:p>
      <w:pPr>
        <w:spacing w:after="0" w:line="240" w:lineRule="auto"/>
        <w:jc w:val="left"/>
        <w:sectPr>
          <w:type w:val="continuous"/>
          <w:pgSz w:w="9980" w:h="14180"/>
          <w:pgMar w:top="0" w:bottom="280" w:left="740" w:right="1020"/>
          <w:cols w:num="2" w:equalWidth="0">
            <w:col w:w="3938" w:space="229"/>
            <w:col w:w="4053"/>
          </w:cols>
        </w:sectPr>
      </w:pPr>
    </w:p>
    <w:p>
      <w:pPr>
        <w:spacing w:before="58"/>
        <w:ind w:left="0" w:right="108" w:firstLine="0"/>
        <w:jc w:val="right"/>
        <w:rPr>
          <w:rFonts w:ascii="Swis721 Lt BT" w:hAnsi="Swis721 Lt BT" w:cs="Swis721 Lt BT" w:eastAsia="Swis721 Lt BT"/>
          <w:sz w:val="14"/>
          <w:szCs w:val="14"/>
        </w:rPr>
      </w:pPr>
      <w:bookmarkStart w:name="APPENDIX 2: CONSULTANCIES AND FUNDING CO" w:id="52"/>
      <w:bookmarkEnd w:id="52"/>
      <w:r>
        <w:rPr/>
      </w:r>
      <w:bookmarkStart w:name="APPENDIX 3: SUMMARY OF COMPLIANCE" w:id="53"/>
      <w:bookmarkEnd w:id="53"/>
      <w:r>
        <w:rPr/>
      </w:r>
      <w:r>
        <w:rPr>
          <w:rFonts w:ascii="Swis721 Lt BT" w:hAnsi="Swis721 Lt BT" w:cs="Swis721 Lt BT" w:eastAsia="Swis721 Lt BT"/>
          <w:color w:val="231F20"/>
          <w:spacing w:val="-1"/>
          <w:sz w:val="14"/>
          <w:szCs w:val="14"/>
        </w:rPr>
        <w:t>ANNUAL</w:t>
      </w:r>
      <w:r>
        <w:rPr>
          <w:rFonts w:ascii="Swis721 Lt BT" w:hAnsi="Swis721 Lt BT" w:cs="Swis721 Lt BT" w:eastAsia="Swis721 Lt BT"/>
          <w:color w:val="231F20"/>
          <w:sz w:val="14"/>
          <w:szCs w:val="14"/>
        </w:rPr>
        <w:t> REPORT 2018–19</w:t>
      </w:r>
      <w:r>
        <w:rPr>
          <w:rFonts w:ascii="Swis721 Lt BT" w:hAnsi="Swis721 Lt BT" w:cs="Swis721 Lt BT" w:eastAsia="Swis721 Lt BT"/>
          <w:sz w:val="14"/>
          <w:szCs w:val="14"/>
        </w:rPr>
      </w:r>
    </w:p>
    <w:p>
      <w:pPr>
        <w:spacing w:line="240" w:lineRule="auto" w:before="0"/>
        <w:rPr>
          <w:rFonts w:ascii="Swis721 Lt BT" w:hAnsi="Swis721 Lt BT" w:cs="Swis721 Lt BT" w:eastAsia="Swis721 Lt BT"/>
          <w:sz w:val="20"/>
          <w:szCs w:val="20"/>
        </w:rPr>
      </w:pPr>
    </w:p>
    <w:p>
      <w:pPr>
        <w:spacing w:line="240" w:lineRule="auto" w:before="3"/>
        <w:rPr>
          <w:rFonts w:ascii="Swis721 Lt BT" w:hAnsi="Swis721 Lt BT" w:cs="Swis721 Lt BT" w:eastAsia="Swis721 Lt BT"/>
          <w:sz w:val="16"/>
          <w:szCs w:val="16"/>
        </w:rPr>
      </w:pPr>
    </w:p>
    <w:p>
      <w:pPr>
        <w:spacing w:before="61"/>
        <w:ind w:left="113" w:right="0" w:firstLine="0"/>
        <w:jc w:val="left"/>
        <w:rPr>
          <w:rFonts w:ascii="Swis721 BT" w:hAnsi="Swis721 BT" w:cs="Swis721 BT" w:eastAsia="Swis721 BT"/>
          <w:sz w:val="24"/>
          <w:szCs w:val="24"/>
        </w:rPr>
      </w:pPr>
      <w:r>
        <w:rPr>
          <w:rFonts w:ascii="Swis721 Hv BT"/>
          <w:b/>
          <w:color w:val="005E63"/>
          <w:sz w:val="24"/>
        </w:rPr>
        <w:t>APPENDIX</w:t>
      </w:r>
      <w:r>
        <w:rPr>
          <w:rFonts w:ascii="Swis721 Hv BT"/>
          <w:b/>
          <w:color w:val="005E63"/>
          <w:spacing w:val="-3"/>
          <w:sz w:val="24"/>
        </w:rPr>
        <w:t> </w:t>
      </w:r>
      <w:r>
        <w:rPr>
          <w:rFonts w:ascii="Swis721 Hv BT"/>
          <w:b/>
          <w:color w:val="005E63"/>
          <w:sz w:val="24"/>
        </w:rPr>
        <w:t>2:</w:t>
      </w:r>
      <w:r>
        <w:rPr>
          <w:rFonts w:ascii="Swis721 Hv BT"/>
          <w:b/>
          <w:color w:val="005E63"/>
          <w:spacing w:val="-9"/>
          <w:sz w:val="24"/>
        </w:rPr>
        <w:t> </w:t>
      </w:r>
      <w:r>
        <w:rPr>
          <w:rFonts w:ascii="Swis721 BT"/>
          <w:color w:val="005E63"/>
          <w:spacing w:val="-3"/>
          <w:sz w:val="24"/>
        </w:rPr>
        <w:t>CONSULTANCIES</w:t>
      </w:r>
      <w:r>
        <w:rPr>
          <w:rFonts w:ascii="Swis721 BT"/>
          <w:color w:val="005E63"/>
          <w:spacing w:val="-2"/>
          <w:sz w:val="24"/>
        </w:rPr>
        <w:t> </w:t>
      </w:r>
      <w:r>
        <w:rPr>
          <w:rFonts w:ascii="Swis721 BT"/>
          <w:color w:val="005E63"/>
          <w:sz w:val="24"/>
        </w:rPr>
        <w:t>AND</w:t>
      </w:r>
      <w:r>
        <w:rPr>
          <w:rFonts w:ascii="Swis721 BT"/>
          <w:color w:val="005E63"/>
          <w:spacing w:val="-3"/>
          <w:sz w:val="24"/>
        </w:rPr>
        <w:t> </w:t>
      </w:r>
      <w:r>
        <w:rPr>
          <w:rFonts w:ascii="Swis721 BT"/>
          <w:color w:val="005E63"/>
          <w:sz w:val="24"/>
        </w:rPr>
        <w:t>FUNDING</w:t>
      </w:r>
      <w:r>
        <w:rPr>
          <w:rFonts w:ascii="Swis721 BT"/>
          <w:color w:val="005E63"/>
          <w:spacing w:val="-2"/>
          <w:sz w:val="24"/>
        </w:rPr>
        <w:t> </w:t>
      </w:r>
      <w:r>
        <w:rPr>
          <w:rFonts w:ascii="Swis721 BT"/>
          <w:color w:val="005E63"/>
          <w:sz w:val="24"/>
        </w:rPr>
        <w:t>CONTRACTS</w:t>
      </w:r>
      <w:r>
        <w:rPr>
          <w:rFonts w:ascii="Swis721 BT"/>
          <w:sz w:val="24"/>
        </w:rPr>
      </w:r>
    </w:p>
    <w:p>
      <w:pPr>
        <w:pStyle w:val="BodyText"/>
        <w:spacing w:line="240" w:lineRule="auto" w:before="215"/>
        <w:ind w:left="113" w:right="466"/>
        <w:jc w:val="left"/>
      </w:pPr>
      <w:r>
        <w:rPr>
          <w:color w:val="231F20"/>
        </w:rPr>
        <w:t>AITSL</w:t>
      </w:r>
      <w:r>
        <w:rPr>
          <w:color w:val="231F20"/>
          <w:spacing w:val="-2"/>
        </w:rPr>
        <w:t> </w:t>
      </w:r>
      <w:r>
        <w:rPr>
          <w:color w:val="231F20"/>
        </w:rPr>
        <w:t>engages</w:t>
      </w:r>
      <w:r>
        <w:rPr>
          <w:color w:val="231F20"/>
          <w:spacing w:val="-2"/>
        </w:rPr>
        <w:t> </w:t>
      </w:r>
      <w:r>
        <w:rPr>
          <w:color w:val="231F20"/>
        </w:rPr>
        <w:t>consultants with</w:t>
      </w:r>
      <w:r>
        <w:rPr>
          <w:color w:val="231F20"/>
          <w:spacing w:val="-2"/>
        </w:rPr>
        <w:t> </w:t>
      </w:r>
      <w:r>
        <w:rPr>
          <w:color w:val="231F20"/>
        </w:rPr>
        <w:t>specialist</w:t>
      </w:r>
      <w:r>
        <w:rPr>
          <w:color w:val="231F20"/>
          <w:spacing w:val="-2"/>
        </w:rPr>
        <w:t> </w:t>
      </w:r>
      <w:r>
        <w:rPr>
          <w:color w:val="231F20"/>
        </w:rPr>
        <w:t>expertise to</w:t>
      </w:r>
      <w:r>
        <w:rPr>
          <w:color w:val="231F20"/>
          <w:spacing w:val="-2"/>
        </w:rPr>
        <w:t> </w:t>
      </w:r>
      <w:r>
        <w:rPr>
          <w:color w:val="231F20"/>
        </w:rPr>
        <w:t>assist with</w:t>
      </w:r>
      <w:r>
        <w:rPr>
          <w:color w:val="231F20"/>
          <w:spacing w:val="-2"/>
        </w:rPr>
        <w:t> </w:t>
      </w:r>
      <w:r>
        <w:rPr>
          <w:color w:val="231F20"/>
        </w:rPr>
        <w:t>the</w:t>
      </w:r>
      <w:r>
        <w:rPr>
          <w:color w:val="231F20"/>
          <w:spacing w:val="-2"/>
        </w:rPr>
        <w:t> </w:t>
      </w:r>
      <w:r>
        <w:rPr>
          <w:color w:val="231F20"/>
        </w:rPr>
        <w:t>fulfilment of</w:t>
      </w:r>
      <w:r>
        <w:rPr>
          <w:color w:val="231F20"/>
          <w:spacing w:val="-2"/>
        </w:rPr>
        <w:t> </w:t>
      </w:r>
      <w:r>
        <w:rPr>
          <w:color w:val="231F20"/>
        </w:rPr>
        <w:t>the</w:t>
      </w:r>
      <w:r>
        <w:rPr>
          <w:color w:val="231F20"/>
        </w:rPr>
        <w:t> organisation’s responsibilities.</w:t>
      </w:r>
      <w:r>
        <w:rPr/>
      </w:r>
    </w:p>
    <w:p>
      <w:pPr>
        <w:pStyle w:val="BodyText"/>
        <w:spacing w:line="240" w:lineRule="auto"/>
        <w:ind w:left="113" w:right="107"/>
        <w:jc w:val="left"/>
      </w:pPr>
      <w:r>
        <w:rPr>
          <w:color w:val="231F20"/>
        </w:rPr>
        <w:t>During 2018–19, 19 new consultancy contracts were entered into involving total actual expenditure</w:t>
      </w:r>
      <w:r>
        <w:rPr>
          <w:color w:val="231F20"/>
          <w:spacing w:val="-1"/>
        </w:rPr>
        <w:t> </w:t>
      </w:r>
      <w:r>
        <w:rPr>
          <w:color w:val="231F20"/>
        </w:rPr>
        <w:t>of</w:t>
      </w:r>
      <w:r>
        <w:rPr>
          <w:color w:val="231F20"/>
          <w:spacing w:val="-1"/>
        </w:rPr>
        <w:t> </w:t>
      </w:r>
      <w:r>
        <w:rPr>
          <w:color w:val="231F20"/>
        </w:rPr>
        <w:t>$657,155.27</w:t>
      </w:r>
      <w:r>
        <w:rPr>
          <w:color w:val="231F20"/>
          <w:spacing w:val="-1"/>
        </w:rPr>
        <w:t> </w:t>
      </w:r>
      <w:r>
        <w:rPr>
          <w:color w:val="231F20"/>
        </w:rPr>
        <w:t>(inclusive</w:t>
      </w:r>
      <w:r>
        <w:rPr>
          <w:color w:val="231F20"/>
          <w:spacing w:val="-1"/>
        </w:rPr>
        <w:t> </w:t>
      </w:r>
      <w:r>
        <w:rPr>
          <w:color w:val="231F20"/>
        </w:rPr>
        <w:t>of</w:t>
      </w:r>
      <w:r>
        <w:rPr>
          <w:color w:val="231F20"/>
          <w:spacing w:val="-1"/>
        </w:rPr>
        <w:t> </w:t>
      </w:r>
      <w:r>
        <w:rPr>
          <w:color w:val="231F20"/>
        </w:rPr>
        <w:t>GST).</w:t>
      </w:r>
      <w:r>
        <w:rPr>
          <w:color w:val="231F20"/>
          <w:spacing w:val="-1"/>
        </w:rPr>
        <w:t> </w:t>
      </w:r>
      <w:r>
        <w:rPr>
          <w:color w:val="231F20"/>
        </w:rPr>
        <w:t>In</w:t>
      </w:r>
      <w:r>
        <w:rPr>
          <w:color w:val="231F20"/>
          <w:spacing w:val="-1"/>
        </w:rPr>
        <w:t> </w:t>
      </w:r>
      <w:r>
        <w:rPr>
          <w:color w:val="231F20"/>
        </w:rPr>
        <w:t>addition,</w:t>
      </w:r>
      <w:r>
        <w:rPr>
          <w:color w:val="231F20"/>
          <w:spacing w:val="-1"/>
        </w:rPr>
        <w:t> </w:t>
      </w:r>
      <w:r>
        <w:rPr>
          <w:color w:val="231F20"/>
        </w:rPr>
        <w:t>33</w:t>
      </w:r>
      <w:r>
        <w:rPr>
          <w:color w:val="231F20"/>
          <w:spacing w:val="-1"/>
        </w:rPr>
        <w:t> </w:t>
      </w:r>
      <w:r>
        <w:rPr>
          <w:color w:val="231F20"/>
        </w:rPr>
        <w:t>ongoing</w:t>
      </w:r>
      <w:r>
        <w:rPr>
          <w:color w:val="231F20"/>
          <w:spacing w:val="-1"/>
        </w:rPr>
        <w:t> </w:t>
      </w:r>
      <w:r>
        <w:rPr>
          <w:color w:val="231F20"/>
        </w:rPr>
        <w:t>consultancy</w:t>
      </w:r>
      <w:r>
        <w:rPr>
          <w:color w:val="231F20"/>
          <w:spacing w:val="-1"/>
        </w:rPr>
        <w:t> </w:t>
      </w:r>
      <w:r>
        <w:rPr>
          <w:color w:val="231F20"/>
        </w:rPr>
        <w:t>contracts</w:t>
      </w:r>
      <w:r>
        <w:rPr>
          <w:color w:val="231F20"/>
          <w:spacing w:val="-1"/>
        </w:rPr>
        <w:t> </w:t>
      </w:r>
      <w:r>
        <w:rPr>
          <w:color w:val="231F20"/>
        </w:rPr>
        <w:t>were</w:t>
      </w:r>
      <w:r>
        <w:rPr>
          <w:color w:val="231F20"/>
        </w:rPr>
        <w:t> active during 2018–19, involving a total actual expenditure of $425,434.38 (inclusive of GST).</w:t>
      </w:r>
      <w:r>
        <w:rPr/>
      </w:r>
    </w:p>
    <w:p>
      <w:pPr>
        <w:spacing w:line="240" w:lineRule="auto" w:before="0"/>
        <w:rPr>
          <w:rFonts w:ascii="Swis721 Lt BT" w:hAnsi="Swis721 Lt BT" w:cs="Swis721 Lt BT" w:eastAsia="Swis721 Lt BT"/>
          <w:sz w:val="18"/>
          <w:szCs w:val="18"/>
        </w:rPr>
      </w:pPr>
    </w:p>
    <w:p>
      <w:pPr>
        <w:spacing w:line="240" w:lineRule="auto" w:before="3"/>
        <w:rPr>
          <w:rFonts w:ascii="Swis721 Lt BT" w:hAnsi="Swis721 Lt BT" w:cs="Swis721 Lt BT" w:eastAsia="Swis721 Lt BT"/>
          <w:sz w:val="26"/>
          <w:szCs w:val="26"/>
        </w:rPr>
      </w:pPr>
    </w:p>
    <w:p>
      <w:pPr>
        <w:spacing w:before="0"/>
        <w:ind w:left="113" w:right="0" w:firstLine="0"/>
        <w:jc w:val="left"/>
        <w:rPr>
          <w:rFonts w:ascii="Swis721 BT" w:hAnsi="Swis721 BT" w:cs="Swis721 BT" w:eastAsia="Swis721 BT"/>
          <w:sz w:val="24"/>
          <w:szCs w:val="24"/>
        </w:rPr>
      </w:pPr>
      <w:r>
        <w:rPr>
          <w:rFonts w:ascii="Swis721 Hv BT"/>
          <w:b/>
          <w:color w:val="005E63"/>
          <w:sz w:val="24"/>
        </w:rPr>
        <w:t>APPENDIX</w:t>
      </w:r>
      <w:r>
        <w:rPr>
          <w:rFonts w:ascii="Swis721 Hv BT"/>
          <w:b/>
          <w:color w:val="005E63"/>
          <w:spacing w:val="-4"/>
          <w:sz w:val="24"/>
        </w:rPr>
        <w:t> </w:t>
      </w:r>
      <w:r>
        <w:rPr>
          <w:rFonts w:ascii="Swis721 Hv BT"/>
          <w:b/>
          <w:color w:val="005E63"/>
          <w:sz w:val="24"/>
        </w:rPr>
        <w:t>3:</w:t>
      </w:r>
      <w:r>
        <w:rPr>
          <w:rFonts w:ascii="Swis721 Hv BT"/>
          <w:b/>
          <w:color w:val="005E63"/>
          <w:spacing w:val="-9"/>
          <w:sz w:val="24"/>
        </w:rPr>
        <w:t> </w:t>
      </w:r>
      <w:r>
        <w:rPr>
          <w:rFonts w:ascii="Swis721 BT"/>
          <w:color w:val="005E63"/>
          <w:sz w:val="24"/>
        </w:rPr>
        <w:t>SUMMARY</w:t>
      </w:r>
      <w:r>
        <w:rPr>
          <w:rFonts w:ascii="Swis721 BT"/>
          <w:color w:val="005E63"/>
          <w:spacing w:val="-3"/>
          <w:sz w:val="24"/>
        </w:rPr>
        <w:t> </w:t>
      </w:r>
      <w:r>
        <w:rPr>
          <w:rFonts w:ascii="Swis721 BT"/>
          <w:color w:val="005E63"/>
          <w:sz w:val="24"/>
        </w:rPr>
        <w:t>OF</w:t>
      </w:r>
      <w:r>
        <w:rPr>
          <w:rFonts w:ascii="Swis721 BT"/>
          <w:color w:val="005E63"/>
          <w:spacing w:val="-3"/>
          <w:sz w:val="24"/>
        </w:rPr>
        <w:t> </w:t>
      </w:r>
      <w:r>
        <w:rPr>
          <w:rFonts w:ascii="Swis721 BT"/>
          <w:color w:val="005E63"/>
          <w:sz w:val="24"/>
        </w:rPr>
        <w:t>COMPLIANCE</w:t>
      </w:r>
      <w:r>
        <w:rPr>
          <w:rFonts w:ascii="Swis721 BT"/>
          <w:sz w:val="24"/>
        </w:rPr>
      </w:r>
    </w:p>
    <w:p>
      <w:pPr>
        <w:spacing w:before="101"/>
        <w:ind w:left="113" w:right="408" w:firstLine="0"/>
        <w:jc w:val="left"/>
        <w:rPr>
          <w:rFonts w:ascii="Swis721 Lt BT" w:hAnsi="Swis721 Lt BT" w:cs="Swis721 Lt BT" w:eastAsia="Swis721 Lt BT"/>
          <w:sz w:val="19"/>
          <w:szCs w:val="19"/>
        </w:rPr>
      </w:pPr>
      <w:r>
        <w:rPr>
          <w:rFonts w:ascii="Swis721 Lt BT"/>
          <w:color w:val="231F20"/>
          <w:sz w:val="19"/>
        </w:rPr>
        <w:t>Under the </w:t>
      </w:r>
      <w:r>
        <w:rPr>
          <w:rFonts w:ascii="Swis721 Lt BT"/>
          <w:i/>
          <w:color w:val="231F20"/>
          <w:sz w:val="19"/>
        </w:rPr>
        <w:t>Public Governance, Performance and Accountability Rule 2014 </w:t>
      </w:r>
      <w:r>
        <w:rPr>
          <w:rFonts w:ascii="Swis721 Lt BT"/>
          <w:color w:val="231F20"/>
          <w:spacing w:val="-3"/>
          <w:sz w:val="19"/>
        </w:rPr>
        <w:t>(PGPA</w:t>
      </w:r>
      <w:r>
        <w:rPr>
          <w:rFonts w:ascii="Swis721 Lt BT"/>
          <w:color w:val="231F20"/>
          <w:sz w:val="19"/>
        </w:rPr>
        <w:t> Rule), AITSL</w:t>
      </w:r>
      <w:r>
        <w:rPr>
          <w:rFonts w:ascii="Swis721 Lt BT"/>
          <w:color w:val="231F20"/>
          <w:spacing w:val="22"/>
          <w:sz w:val="19"/>
        </w:rPr>
        <w:t> </w:t>
      </w:r>
      <w:r>
        <w:rPr>
          <w:rFonts w:ascii="Swis721 Lt BT"/>
          <w:color w:val="231F20"/>
          <w:sz w:val="19"/>
        </w:rPr>
        <w:t>is required to provide an index of the mandatory annual report requirements from Section 28E.</w:t>
      </w:r>
      <w:r>
        <w:rPr>
          <w:rFonts w:ascii="Swis721 Lt BT"/>
          <w:color w:val="231F20"/>
          <w:spacing w:val="23"/>
          <w:sz w:val="19"/>
        </w:rPr>
        <w:t> </w:t>
      </w:r>
      <w:r>
        <w:rPr>
          <w:rFonts w:ascii="Swis721 Lt BT"/>
          <w:color w:val="231F20"/>
          <w:sz w:val="19"/>
        </w:rPr>
        <w:t>Below is an index that provides the location of these mandatory requirements within this</w:t>
      </w:r>
      <w:r>
        <w:rPr>
          <w:rFonts w:ascii="Swis721 Lt BT"/>
          <w:color w:val="231F20"/>
          <w:sz w:val="19"/>
        </w:rPr>
        <w:t> annual report.</w:t>
      </w:r>
      <w:r>
        <w:rPr>
          <w:rFonts w:ascii="Swis721 Lt BT"/>
          <w:sz w:val="19"/>
        </w:rPr>
      </w:r>
    </w:p>
    <w:p>
      <w:pPr>
        <w:spacing w:line="240" w:lineRule="auto" w:before="0"/>
        <w:rPr>
          <w:rFonts w:ascii="Swis721 Lt BT" w:hAnsi="Swis721 Lt BT" w:cs="Swis721 Lt BT" w:eastAsia="Swis721 Lt BT"/>
          <w:sz w:val="18"/>
          <w:szCs w:val="18"/>
        </w:rPr>
      </w:pPr>
    </w:p>
    <w:p>
      <w:pPr>
        <w:spacing w:before="127"/>
        <w:ind w:left="113" w:right="0" w:firstLine="0"/>
        <w:jc w:val="left"/>
        <w:rPr>
          <w:rFonts w:ascii="Swis721 Md BT" w:hAnsi="Swis721 Md BT" w:cs="Swis721 Md BT" w:eastAsia="Swis721 Md BT"/>
          <w:sz w:val="22"/>
          <w:szCs w:val="22"/>
        </w:rPr>
      </w:pPr>
      <w:r>
        <w:rPr>
          <w:rFonts w:ascii="Swis721 Md BT"/>
          <w:i/>
          <w:color w:val="00757A"/>
          <w:spacing w:val="-1"/>
          <w:sz w:val="22"/>
        </w:rPr>
        <w:t>Public</w:t>
      </w:r>
      <w:r>
        <w:rPr>
          <w:rFonts w:ascii="Swis721 Md BT"/>
          <w:i/>
          <w:color w:val="00757A"/>
          <w:sz w:val="22"/>
        </w:rPr>
        <w:t> Governance, Performance and Accountability Rule 2014</w:t>
      </w:r>
      <w:r>
        <w:rPr>
          <w:rFonts w:ascii="Swis721 Md BT"/>
          <w:sz w:val="22"/>
        </w:rPr>
      </w:r>
    </w:p>
    <w:p>
      <w:pPr>
        <w:spacing w:line="240" w:lineRule="auto" w:before="10"/>
        <w:rPr>
          <w:rFonts w:ascii="Swis721 Md BT" w:hAnsi="Swis721 Md BT" w:cs="Swis721 Md BT" w:eastAsia="Swis721 Md BT"/>
          <w:i/>
          <w:sz w:val="11"/>
          <w:szCs w:val="11"/>
        </w:rPr>
      </w:pPr>
    </w:p>
    <w:p>
      <w:pPr>
        <w:spacing w:line="200" w:lineRule="atLeast"/>
        <w:ind w:left="113" w:right="0" w:firstLine="0"/>
        <w:rPr>
          <w:rFonts w:ascii="Swis721 Md BT" w:hAnsi="Swis721 Md BT" w:cs="Swis721 Md BT" w:eastAsia="Swis721 Md BT"/>
          <w:sz w:val="20"/>
          <w:szCs w:val="20"/>
        </w:rPr>
      </w:pPr>
      <w:r>
        <w:rPr>
          <w:rFonts w:ascii="Swis721 Md BT" w:hAnsi="Swis721 Md BT" w:cs="Swis721 Md BT" w:eastAsia="Swis721 Md BT"/>
          <w:sz w:val="20"/>
          <w:szCs w:val="20"/>
        </w:rPr>
        <w:pict>
          <v:shape style="width:399.7pt;height:21.85pt;mso-position-horizontal-relative:char;mso-position-vertical-relative:line" type="#_x0000_t202" filled="true" fillcolor="#bfd22b" stroked="false">
            <v:textbox inset="0,0,0,0">
              <w:txbxContent>
                <w:p>
                  <w:pPr>
                    <w:tabs>
                      <w:tab w:pos="4138" w:val="left" w:leader="none"/>
                      <w:tab w:pos="5045" w:val="left" w:leader="none"/>
                      <w:tab w:pos="7313" w:val="left" w:leader="none"/>
                    </w:tabs>
                    <w:spacing w:before="83"/>
                    <w:ind w:left="113" w:right="0" w:firstLine="0"/>
                    <w:jc w:val="left"/>
                    <w:rPr>
                      <w:rFonts w:ascii="Swis721 Md BT" w:hAnsi="Swis721 Md BT" w:cs="Swis721 Md BT" w:eastAsia="Swis721 Md BT"/>
                      <w:sz w:val="19"/>
                      <w:szCs w:val="19"/>
                    </w:rPr>
                  </w:pPr>
                  <w:r>
                    <w:rPr>
                      <w:rFonts w:ascii="Swis721 Md BT"/>
                      <w:color w:val="231F20"/>
                      <w:sz w:val="19"/>
                    </w:rPr>
                    <w:t>Subject</w:t>
                    <w:tab/>
                  </w:r>
                  <w:r>
                    <w:rPr>
                      <w:rFonts w:ascii="Swis721 Md BT"/>
                      <w:color w:val="231F20"/>
                      <w:w w:val="95"/>
                      <w:sz w:val="19"/>
                    </w:rPr>
                    <w:t>Rule</w:t>
                    <w:tab/>
                  </w:r>
                  <w:r>
                    <w:rPr>
                      <w:rFonts w:ascii="Swis721 Md BT"/>
                      <w:color w:val="231F20"/>
                      <w:sz w:val="19"/>
                    </w:rPr>
                    <w:t>Location</w:t>
                    <w:tab/>
                  </w:r>
                  <w:r>
                    <w:rPr>
                      <w:rFonts w:ascii="Swis721 Md BT"/>
                      <w:color w:val="231F20"/>
                      <w:spacing w:val="-2"/>
                      <w:sz w:val="19"/>
                    </w:rPr>
                    <w:t>Page</w:t>
                  </w:r>
                  <w:r>
                    <w:rPr>
                      <w:rFonts w:ascii="Swis721 Md BT"/>
                      <w:sz w:val="19"/>
                    </w:rPr>
                  </w:r>
                </w:p>
              </w:txbxContent>
            </v:textbox>
            <v:fill type="solid"/>
            <w10:wrap type="none"/>
          </v:shape>
        </w:pict>
      </w:r>
      <w:r>
        <w:rPr>
          <w:rFonts w:ascii="Swis721 Md BT" w:hAnsi="Swis721 Md BT" w:cs="Swis721 Md BT" w:eastAsia="Swis721 Md BT"/>
          <w:sz w:val="20"/>
          <w:szCs w:val="20"/>
        </w:rPr>
      </w:r>
    </w:p>
    <w:p>
      <w:pPr>
        <w:spacing w:after="0" w:line="200" w:lineRule="atLeast"/>
        <w:rPr>
          <w:rFonts w:ascii="Swis721 Md BT" w:hAnsi="Swis721 Md BT" w:cs="Swis721 Md BT" w:eastAsia="Swis721 Md BT"/>
          <w:sz w:val="20"/>
          <w:szCs w:val="20"/>
        </w:rPr>
        <w:sectPr>
          <w:pgSz w:w="9980" w:h="14180"/>
          <w:pgMar w:header="0" w:footer="452" w:top="360" w:bottom="640" w:left="1020" w:right="740"/>
        </w:sectPr>
      </w:pPr>
    </w:p>
    <w:p>
      <w:pPr>
        <w:pStyle w:val="BodyText"/>
        <w:spacing w:line="240" w:lineRule="auto" w:before="80"/>
        <w:ind w:left="227" w:right="77"/>
        <w:jc w:val="both"/>
      </w:pPr>
      <w:r>
        <w:rPr/>
        <w:pict>
          <v:group style="position:absolute;margin-left:56.692894pt;margin-top:41.613258pt;width:399.7pt;height:.1pt;mso-position-horizontal-relative:page;mso-position-vertical-relative:paragraph;z-index:7576" coordorigin="1134,832" coordsize="7994,2">
            <v:shape style="position:absolute;left:1134;top:832;width:7994;height:2" coordorigin="1134,832" coordsize="7994,0" path="m1134,832l9128,832e" filled="false" stroked="true" strokeweight=".300005pt" strokecolor="#71797f">
              <v:path arrowok="t"/>
            </v:shape>
            <w10:wrap type="none"/>
          </v:group>
        </w:pict>
      </w:r>
      <w:r>
        <w:rPr>
          <w:color w:val="231F20"/>
        </w:rPr>
        <w:t>The annual report includes the purposes of the company as included in the company’s corporate plan for the period</w:t>
      </w:r>
      <w:r>
        <w:rPr/>
      </w:r>
    </w:p>
    <w:p>
      <w:pPr>
        <w:pStyle w:val="BodyText"/>
        <w:spacing w:line="240" w:lineRule="auto" w:before="151"/>
        <w:ind w:left="226" w:right="0"/>
        <w:jc w:val="left"/>
      </w:pPr>
      <w:r>
        <w:rPr/>
        <w:pict>
          <v:group style="position:absolute;margin-left:56.692894pt;margin-top:67.963554pt;width:399.7pt;height:.1pt;mso-position-horizontal-relative:page;mso-position-vertical-relative:paragraph;z-index:7600" coordorigin="1134,1359" coordsize="7994,2">
            <v:shape style="position:absolute;left:1134;top:1359;width:7994;height:2" coordorigin="1134,1359" coordsize="7994,0" path="m1134,1359l9128,1359e" filled="false" stroked="true" strokeweight=".300011pt" strokecolor="#71797f">
              <v:path arrowok="t"/>
            </v:shape>
            <w10:wrap type="none"/>
          </v:group>
        </w:pict>
      </w:r>
      <w:r>
        <w:rPr>
          <w:color w:val="231F20"/>
        </w:rPr>
        <w:t>The annual report includes the names of the persons holding the position of responsible minister or responsible ministers during the period, and the titles of those responsible ministers</w:t>
      </w:r>
      <w:r>
        <w:rPr/>
      </w:r>
    </w:p>
    <w:p>
      <w:pPr>
        <w:pStyle w:val="BodyText"/>
        <w:tabs>
          <w:tab w:pos="1134" w:val="left" w:leader="none"/>
          <w:tab w:pos="3603" w:val="right" w:leader="none"/>
        </w:tabs>
        <w:spacing w:line="240" w:lineRule="auto" w:before="80"/>
        <w:ind w:left="227" w:right="0"/>
        <w:jc w:val="left"/>
      </w:pPr>
      <w:r>
        <w:rPr>
          <w:w w:val="95"/>
        </w:rPr>
        <w:br w:type="column"/>
      </w:r>
      <w:r>
        <w:rPr>
          <w:color w:val="231F20"/>
          <w:w w:val="95"/>
        </w:rPr>
        <w:t>28E(a)</w:t>
        <w:tab/>
      </w:r>
      <w:r>
        <w:rPr>
          <w:color w:val="231F20"/>
        </w:rPr>
        <w:t>Corporate Governance</w:t>
        <w:tab/>
        <w:t>30</w:t>
      </w:r>
      <w:r>
        <w:rPr/>
      </w:r>
    </w:p>
    <w:p>
      <w:pPr>
        <w:pStyle w:val="BodyText"/>
        <w:spacing w:line="240" w:lineRule="auto" w:before="0"/>
        <w:ind w:left="1134" w:right="0"/>
        <w:jc w:val="left"/>
      </w:pPr>
      <w:r>
        <w:rPr>
          <w:color w:val="231F20"/>
        </w:rPr>
        <w:t>Statement</w:t>
      </w:r>
      <w:r>
        <w:rPr/>
      </w:r>
    </w:p>
    <w:p>
      <w:pPr>
        <w:pStyle w:val="BodyText"/>
        <w:tabs>
          <w:tab w:pos="1133" w:val="left" w:leader="none"/>
          <w:tab w:pos="3603" w:val="right" w:leader="none"/>
        </w:tabs>
        <w:spacing w:line="240" w:lineRule="auto" w:before="379"/>
        <w:ind w:left="226" w:right="0"/>
        <w:jc w:val="left"/>
      </w:pPr>
      <w:r>
        <w:rPr>
          <w:color w:val="231F20"/>
          <w:w w:val="95"/>
        </w:rPr>
        <w:t>28E(b)</w:t>
        <w:tab/>
      </w:r>
      <w:r>
        <w:rPr>
          <w:color w:val="231F20"/>
        </w:rPr>
        <w:t>Corporate Governance</w:t>
        <w:tab/>
        <w:t>31</w:t>
      </w:r>
      <w:r>
        <w:rPr/>
      </w:r>
    </w:p>
    <w:p>
      <w:pPr>
        <w:pStyle w:val="BodyText"/>
        <w:spacing w:line="240" w:lineRule="auto" w:before="0"/>
        <w:ind w:left="1133" w:right="0"/>
        <w:jc w:val="left"/>
      </w:pPr>
      <w:r>
        <w:rPr>
          <w:color w:val="231F20"/>
        </w:rPr>
        <w:t>Statement</w:t>
      </w:r>
      <w:r>
        <w:rPr/>
      </w:r>
    </w:p>
    <w:p>
      <w:pPr>
        <w:spacing w:after="0" w:line="240" w:lineRule="auto"/>
        <w:jc w:val="left"/>
        <w:sectPr>
          <w:type w:val="continuous"/>
          <w:pgSz w:w="9980" w:h="14180"/>
          <w:pgMar w:top="0" w:bottom="280" w:left="1020" w:right="740"/>
          <w:cols w:num="2" w:equalWidth="0">
            <w:col w:w="3830" w:space="195"/>
            <w:col w:w="4195"/>
          </w:cols>
        </w:sectPr>
      </w:pPr>
    </w:p>
    <w:p>
      <w:pPr>
        <w:pStyle w:val="BodyText"/>
        <w:spacing w:line="240" w:lineRule="auto" w:before="151"/>
        <w:ind w:left="226" w:right="324"/>
        <w:jc w:val="both"/>
      </w:pPr>
      <w:r>
        <w:rPr/>
        <w:pict>
          <v:group style="position:absolute;margin-left:56.692894pt;margin-top:45.163876pt;width:399.7pt;height:.1pt;mso-position-horizontal-relative:page;mso-position-vertical-relative:paragraph;z-index:7624" coordorigin="1134,903" coordsize="7994,2">
            <v:shape style="position:absolute;left:1134;top:903;width:7994;height:2" coordorigin="1134,903" coordsize="7994,0" path="m1134,903l9128,903e" filled="false" stroked="true" strokeweight=".30001pt" strokecolor="#71797f">
              <v:path arrowok="t"/>
            </v:shape>
            <w10:wrap type="none"/>
          </v:group>
        </w:pict>
      </w:r>
      <w:r>
        <w:rPr>
          <w:color w:val="231F20"/>
        </w:rPr>
        <w:t>The annual report includes any directions given to the entity by a minister during the period</w:t>
      </w:r>
      <w:r>
        <w:rPr/>
      </w:r>
    </w:p>
    <w:p>
      <w:pPr>
        <w:pStyle w:val="BodyText"/>
        <w:spacing w:line="240" w:lineRule="auto" w:before="151"/>
        <w:ind w:left="226" w:right="0"/>
        <w:jc w:val="left"/>
      </w:pPr>
      <w:r>
        <w:rPr/>
        <w:pict>
          <v:group style="position:absolute;margin-left:56.692894pt;margin-top:45.164165pt;width:399.7pt;height:.1pt;mso-position-horizontal-relative:page;mso-position-vertical-relative:paragraph;z-index:7648" coordorigin="1134,903" coordsize="7994,2">
            <v:shape style="position:absolute;left:1134;top:903;width:7994;height:2" coordorigin="1134,903" coordsize="7994,0" path="m1134,903l9128,903e" filled="false" stroked="true" strokeweight=".3pt" strokecolor="#71797f">
              <v:path arrowok="t"/>
            </v:shape>
            <w10:wrap type="none"/>
          </v:group>
        </w:pict>
      </w:r>
      <w:r>
        <w:rPr>
          <w:color w:val="231F20"/>
        </w:rPr>
        <w:t>The annual report includes government policy orders (under Section 93 of the </w:t>
      </w:r>
      <w:r>
        <w:rPr>
          <w:color w:val="231F20"/>
          <w:spacing w:val="-4"/>
        </w:rPr>
        <w:t>PGPA</w:t>
      </w:r>
      <w:r>
        <w:rPr>
          <w:color w:val="231F20"/>
        </w:rPr>
        <w:t> Act)</w:t>
      </w:r>
      <w:r>
        <w:rPr>
          <w:color w:val="231F20"/>
          <w:spacing w:val="21"/>
        </w:rPr>
        <w:t> </w:t>
      </w:r>
      <w:r>
        <w:rPr>
          <w:color w:val="231F20"/>
        </w:rPr>
        <w:t>and any instances of non-compliance</w:t>
      </w:r>
      <w:r>
        <w:rPr/>
      </w:r>
    </w:p>
    <w:p>
      <w:pPr>
        <w:pStyle w:val="BodyText"/>
        <w:spacing w:line="240" w:lineRule="auto" w:before="151"/>
        <w:ind w:left="226" w:right="426"/>
        <w:jc w:val="both"/>
      </w:pPr>
      <w:r>
        <w:rPr/>
        <w:pict>
          <v:group style="position:absolute;margin-left:56.692894pt;margin-top:45.164459pt;width:399.7pt;height:.1pt;mso-position-horizontal-relative:page;mso-position-vertical-relative:paragraph;z-index:7672" coordorigin="1134,903" coordsize="7994,2">
            <v:shape style="position:absolute;left:1134;top:903;width:7994;height:2" coordorigin="1134,903" coordsize="7994,0" path="m1134,903l9128,903e" filled="false" stroked="true" strokeweight=".300009pt" strokecolor="#71797f">
              <v:path arrowok="t"/>
            </v:shape>
            <w10:wrap type="none"/>
          </v:group>
        </w:pict>
      </w:r>
      <w:r>
        <w:rPr>
          <w:color w:val="231F20"/>
        </w:rPr>
        <w:t>The annual report includes particulars of non-compliance with a direction or order under 28E(c) or (d)</w:t>
      </w:r>
      <w:r>
        <w:rPr/>
      </w:r>
    </w:p>
    <w:p>
      <w:pPr>
        <w:pStyle w:val="BodyText"/>
        <w:spacing w:line="240" w:lineRule="auto" w:before="151"/>
        <w:ind w:left="226" w:right="127"/>
        <w:jc w:val="left"/>
      </w:pPr>
      <w:r>
        <w:rPr/>
        <w:pict>
          <v:group style="position:absolute;margin-left:56.692894pt;margin-top:67.964775pt;width:399.7pt;height:.1pt;mso-position-horizontal-relative:page;mso-position-vertical-relative:paragraph;z-index:7696" coordorigin="1134,1359" coordsize="7994,2">
            <v:shape style="position:absolute;left:1134;top:1359;width:7994;height:2" coordorigin="1134,1359" coordsize="7994,0" path="m1134,1359l9128,1359e" filled="false" stroked="true" strokeweight=".300006pt" strokecolor="#71797f">
              <v:path arrowok="t"/>
            </v:shape>
            <w10:wrap type="none"/>
          </v:group>
        </w:pict>
      </w:r>
      <w:r>
        <w:rPr>
          <w:color w:val="231F20"/>
        </w:rPr>
        <w:t>Information about Directors is provided, including</w:t>
      </w:r>
      <w:r>
        <w:rPr>
          <w:color w:val="231F20"/>
          <w:spacing w:val="-4"/>
        </w:rPr>
        <w:t> </w:t>
      </w:r>
      <w:r>
        <w:rPr>
          <w:color w:val="231F20"/>
        </w:rPr>
        <w:t>names,</w:t>
      </w:r>
      <w:r>
        <w:rPr>
          <w:color w:val="231F20"/>
          <w:spacing w:val="-4"/>
        </w:rPr>
        <w:t> </w:t>
      </w:r>
      <w:r>
        <w:rPr>
          <w:color w:val="231F20"/>
        </w:rPr>
        <w:t>qualifications,</w:t>
      </w:r>
      <w:r>
        <w:rPr>
          <w:color w:val="231F20"/>
          <w:spacing w:val="-4"/>
        </w:rPr>
        <w:t> </w:t>
      </w:r>
      <w:r>
        <w:rPr>
          <w:color w:val="231F20"/>
        </w:rPr>
        <w:t>experience,</w:t>
      </w:r>
      <w:r>
        <w:rPr>
          <w:color w:val="231F20"/>
        </w:rPr>
        <w:t> attendance at Board meetings and whether the Director is an executive or non-executive director</w:t>
      </w:r>
      <w:r>
        <w:rPr/>
      </w:r>
    </w:p>
    <w:p>
      <w:pPr>
        <w:pStyle w:val="BodyText"/>
        <w:tabs>
          <w:tab w:pos="1133" w:val="left" w:leader="none"/>
          <w:tab w:pos="3401" w:val="left" w:leader="none"/>
        </w:tabs>
        <w:spacing w:line="240" w:lineRule="auto" w:before="151"/>
        <w:ind w:left="226" w:right="0"/>
        <w:jc w:val="left"/>
      </w:pPr>
      <w:r>
        <w:rPr/>
        <w:br w:type="column"/>
      </w:r>
      <w:r>
        <w:rPr>
          <w:color w:val="231F20"/>
        </w:rPr>
        <w:t>28E(c)</w:t>
        <w:tab/>
        <w:t>N/A</w:t>
        <w:tab/>
        <w:t>N/A</w:t>
      </w:r>
      <w:r>
        <w:rPr/>
      </w:r>
    </w:p>
    <w:p>
      <w:pPr>
        <w:spacing w:line="240" w:lineRule="auto" w:before="0"/>
        <w:rPr>
          <w:rFonts w:ascii="Swis721 Lt BT" w:hAnsi="Swis721 Lt BT" w:cs="Swis721 Lt BT" w:eastAsia="Swis721 Lt BT"/>
          <w:sz w:val="18"/>
          <w:szCs w:val="18"/>
        </w:rPr>
      </w:pPr>
    </w:p>
    <w:p>
      <w:pPr>
        <w:spacing w:line="240" w:lineRule="auto" w:before="0"/>
        <w:rPr>
          <w:rFonts w:ascii="Swis721 Lt BT" w:hAnsi="Swis721 Lt BT" w:cs="Swis721 Lt BT" w:eastAsia="Swis721 Lt BT"/>
          <w:sz w:val="18"/>
          <w:szCs w:val="18"/>
        </w:rPr>
      </w:pPr>
    </w:p>
    <w:p>
      <w:pPr>
        <w:spacing w:line="240" w:lineRule="auto" w:before="8"/>
        <w:rPr>
          <w:rFonts w:ascii="Swis721 Lt BT" w:hAnsi="Swis721 Lt BT" w:cs="Swis721 Lt BT" w:eastAsia="Swis721 Lt BT"/>
          <w:sz w:val="14"/>
          <w:szCs w:val="14"/>
        </w:rPr>
      </w:pPr>
    </w:p>
    <w:p>
      <w:pPr>
        <w:pStyle w:val="BodyText"/>
        <w:tabs>
          <w:tab w:pos="1133" w:val="left" w:leader="none"/>
          <w:tab w:pos="3401" w:val="left" w:leader="none"/>
        </w:tabs>
        <w:spacing w:line="240" w:lineRule="auto" w:before="0"/>
        <w:ind w:left="226" w:right="0"/>
        <w:jc w:val="left"/>
      </w:pPr>
      <w:r>
        <w:rPr>
          <w:color w:val="231F20"/>
        </w:rPr>
        <w:t>28E(d)</w:t>
        <w:tab/>
        <w:t>N/A</w:t>
        <w:tab/>
        <w:t>N/A</w:t>
      </w:r>
      <w:r>
        <w:rPr/>
      </w:r>
    </w:p>
    <w:p>
      <w:pPr>
        <w:spacing w:line="240" w:lineRule="auto" w:before="0"/>
        <w:rPr>
          <w:rFonts w:ascii="Swis721 Lt BT" w:hAnsi="Swis721 Lt BT" w:cs="Swis721 Lt BT" w:eastAsia="Swis721 Lt BT"/>
          <w:sz w:val="18"/>
          <w:szCs w:val="18"/>
        </w:rPr>
      </w:pPr>
    </w:p>
    <w:p>
      <w:pPr>
        <w:spacing w:line="240" w:lineRule="auto" w:before="0"/>
        <w:rPr>
          <w:rFonts w:ascii="Swis721 Lt BT" w:hAnsi="Swis721 Lt BT" w:cs="Swis721 Lt BT" w:eastAsia="Swis721 Lt BT"/>
          <w:sz w:val="18"/>
          <w:szCs w:val="18"/>
        </w:rPr>
      </w:pPr>
    </w:p>
    <w:p>
      <w:pPr>
        <w:spacing w:line="240" w:lineRule="auto" w:before="8"/>
        <w:rPr>
          <w:rFonts w:ascii="Swis721 Lt BT" w:hAnsi="Swis721 Lt BT" w:cs="Swis721 Lt BT" w:eastAsia="Swis721 Lt BT"/>
          <w:sz w:val="14"/>
          <w:szCs w:val="14"/>
        </w:rPr>
      </w:pPr>
    </w:p>
    <w:p>
      <w:pPr>
        <w:pStyle w:val="BodyText"/>
        <w:tabs>
          <w:tab w:pos="1133" w:val="left" w:leader="none"/>
          <w:tab w:pos="3400" w:val="left" w:leader="none"/>
        </w:tabs>
        <w:spacing w:line="240" w:lineRule="auto" w:before="0"/>
        <w:ind w:left="226" w:right="0"/>
        <w:jc w:val="left"/>
      </w:pPr>
      <w:r>
        <w:rPr>
          <w:color w:val="231F20"/>
        </w:rPr>
        <w:t>28E(e)</w:t>
        <w:tab/>
        <w:t>N/A</w:t>
        <w:tab/>
        <w:t>N/A</w:t>
      </w:r>
      <w:r>
        <w:rPr/>
      </w:r>
    </w:p>
    <w:p>
      <w:pPr>
        <w:pStyle w:val="BodyText"/>
        <w:tabs>
          <w:tab w:pos="1133" w:val="left" w:leader="none"/>
          <w:tab w:pos="3602" w:val="right" w:leader="none"/>
        </w:tabs>
        <w:spacing w:line="240" w:lineRule="auto" w:before="607"/>
        <w:ind w:left="226" w:right="0"/>
        <w:jc w:val="left"/>
      </w:pPr>
      <w:r>
        <w:rPr>
          <w:color w:val="231F20"/>
        </w:rPr>
        <w:t>28E(f)</w:t>
        <w:tab/>
        <w:t>Directors’ Report</w:t>
        <w:tab/>
        <w:t>37</w:t>
      </w:r>
      <w:r>
        <w:rPr/>
      </w:r>
    </w:p>
    <w:p>
      <w:pPr>
        <w:spacing w:after="0" w:line="240" w:lineRule="auto"/>
        <w:jc w:val="left"/>
        <w:sectPr>
          <w:type w:val="continuous"/>
          <w:pgSz w:w="9980" w:h="14180"/>
          <w:pgMar w:top="0" w:bottom="280" w:left="1020" w:right="740"/>
          <w:cols w:num="2" w:equalWidth="0">
            <w:col w:w="3965" w:space="60"/>
            <w:col w:w="4195"/>
          </w:cols>
        </w:sectPr>
      </w:pPr>
    </w:p>
    <w:p>
      <w:pPr>
        <w:pStyle w:val="BodyText"/>
        <w:spacing w:line="240" w:lineRule="auto" w:before="151"/>
        <w:ind w:left="225" w:right="0"/>
        <w:jc w:val="left"/>
      </w:pPr>
      <w:r>
        <w:rPr>
          <w:color w:val="231F20"/>
        </w:rPr>
        <w:t>The annual report provides an outline of the organisational structure</w:t>
      </w:r>
      <w:r>
        <w:rPr/>
      </w:r>
    </w:p>
    <w:p>
      <w:pPr>
        <w:pStyle w:val="BodyText"/>
        <w:tabs>
          <w:tab w:pos="1132" w:val="left" w:leader="none"/>
          <w:tab w:pos="3602" w:val="right" w:leader="none"/>
        </w:tabs>
        <w:spacing w:line="240" w:lineRule="auto" w:before="151"/>
        <w:ind w:left="225" w:right="0"/>
        <w:jc w:val="left"/>
      </w:pPr>
      <w:r>
        <w:rPr/>
        <w:br w:type="column"/>
      </w:r>
      <w:r>
        <w:rPr>
          <w:color w:val="231F20"/>
        </w:rPr>
        <w:t>28E(g)</w:t>
        <w:tab/>
        <w:t>Corporate Governance</w:t>
        <w:tab/>
        <w:t>30</w:t>
      </w:r>
      <w:r>
        <w:rPr/>
      </w:r>
    </w:p>
    <w:p>
      <w:pPr>
        <w:pStyle w:val="BodyText"/>
        <w:spacing w:line="240" w:lineRule="auto" w:before="0"/>
        <w:ind w:left="1132" w:right="0"/>
        <w:jc w:val="left"/>
      </w:pPr>
      <w:r>
        <w:rPr>
          <w:color w:val="231F20"/>
        </w:rPr>
        <w:t>Statement</w:t>
      </w:r>
      <w:r>
        <w:rPr/>
      </w:r>
    </w:p>
    <w:p>
      <w:pPr>
        <w:pStyle w:val="BodyText"/>
        <w:tabs>
          <w:tab w:pos="3602" w:val="right" w:leader="none"/>
        </w:tabs>
        <w:spacing w:line="240" w:lineRule="auto"/>
        <w:ind w:left="1132" w:right="0"/>
        <w:jc w:val="left"/>
      </w:pPr>
      <w:r>
        <w:rPr>
          <w:color w:val="231F20"/>
        </w:rPr>
        <w:t>Directors’ Report</w:t>
        <w:tab/>
        <w:t>37</w:t>
      </w:r>
      <w:r>
        <w:rPr/>
      </w:r>
    </w:p>
    <w:p>
      <w:pPr>
        <w:pStyle w:val="BodyText"/>
        <w:tabs>
          <w:tab w:pos="3602" w:val="right" w:leader="none"/>
        </w:tabs>
        <w:spacing w:line="240" w:lineRule="auto"/>
        <w:ind w:left="1132" w:right="0"/>
        <w:jc w:val="left"/>
      </w:pPr>
      <w:r>
        <w:rPr>
          <w:color w:val="231F20"/>
        </w:rPr>
        <w:t>Appendix 1: AITSL</w:t>
        <w:tab/>
        <w:t>78</w:t>
      </w:r>
      <w:r>
        <w:rPr/>
      </w:r>
    </w:p>
    <w:p>
      <w:pPr>
        <w:pStyle w:val="BodyText"/>
        <w:spacing w:line="240" w:lineRule="auto" w:before="0"/>
        <w:ind w:left="1132" w:right="0"/>
        <w:jc w:val="left"/>
      </w:pPr>
      <w:r>
        <w:rPr>
          <w:color w:val="231F20"/>
        </w:rPr>
        <w:t>organisational structure</w:t>
      </w:r>
      <w:r>
        <w:rPr/>
      </w:r>
    </w:p>
    <w:p>
      <w:pPr>
        <w:spacing w:after="0" w:line="240" w:lineRule="auto"/>
        <w:jc w:val="left"/>
        <w:sectPr>
          <w:type w:val="continuous"/>
          <w:pgSz w:w="9980" w:h="14180"/>
          <w:pgMar w:top="0" w:bottom="280" w:left="1020" w:right="740"/>
          <w:cols w:num="2" w:equalWidth="0">
            <w:col w:w="3784" w:space="241"/>
            <w:col w:w="4195"/>
          </w:cols>
        </w:sectPr>
      </w:pPr>
    </w:p>
    <w:p>
      <w:pPr>
        <w:spacing w:line="240" w:lineRule="auto" w:before="6"/>
        <w:rPr>
          <w:rFonts w:ascii="Swis721 Lt BT" w:hAnsi="Swis721 Lt BT" w:cs="Swis721 Lt BT" w:eastAsia="Swis721 Lt BT"/>
          <w:sz w:val="5"/>
          <w:szCs w:val="5"/>
        </w:rPr>
      </w:pPr>
    </w:p>
    <w:p>
      <w:pPr>
        <w:spacing w:line="20" w:lineRule="atLeast"/>
        <w:ind w:left="110" w:right="0" w:firstLine="0"/>
        <w:rPr>
          <w:rFonts w:ascii="Swis721 Lt BT" w:hAnsi="Swis721 Lt BT" w:cs="Swis721 Lt BT" w:eastAsia="Swis721 Lt BT"/>
          <w:sz w:val="2"/>
          <w:szCs w:val="2"/>
        </w:rPr>
      </w:pPr>
      <w:r>
        <w:rPr>
          <w:rFonts w:ascii="Swis721 Lt BT" w:hAnsi="Swis721 Lt BT" w:cs="Swis721 Lt BT" w:eastAsia="Swis721 Lt BT"/>
          <w:sz w:val="2"/>
          <w:szCs w:val="2"/>
        </w:rPr>
        <w:pict>
          <v:group style="width:400pt;height:.3pt;mso-position-horizontal-relative:char;mso-position-vertical-relative:line" coordorigin="0,0" coordsize="8000,6">
            <v:group style="position:absolute;left:3;top:3;width:7994;height:2" coordorigin="3,3" coordsize="7994,2">
              <v:shape style="position:absolute;left:3;top:3;width:7994;height:2" coordorigin="3,3" coordsize="7994,0" path="m3,3l7997,3e" filled="false" stroked="true" strokeweight=".300003pt" strokecolor="#71797f">
                <v:path arrowok="t"/>
              </v:shape>
            </v:group>
          </v:group>
        </w:pict>
      </w:r>
      <w:r>
        <w:rPr>
          <w:rFonts w:ascii="Swis721 Lt BT" w:hAnsi="Swis721 Lt BT" w:cs="Swis721 Lt BT" w:eastAsia="Swis721 Lt BT"/>
          <w:sz w:val="2"/>
          <w:szCs w:val="2"/>
        </w:rPr>
      </w:r>
    </w:p>
    <w:p>
      <w:pPr>
        <w:spacing w:after="0" w:line="20" w:lineRule="atLeast"/>
        <w:rPr>
          <w:rFonts w:ascii="Swis721 Lt BT" w:hAnsi="Swis721 Lt BT" w:cs="Swis721 Lt BT" w:eastAsia="Swis721 Lt BT"/>
          <w:sz w:val="2"/>
          <w:szCs w:val="2"/>
        </w:rPr>
        <w:sectPr>
          <w:type w:val="continuous"/>
          <w:pgSz w:w="9980" w:h="14180"/>
          <w:pgMar w:top="0" w:bottom="280" w:left="1020" w:right="740"/>
        </w:sectPr>
      </w:pPr>
    </w:p>
    <w:p>
      <w:pPr>
        <w:spacing w:line="240" w:lineRule="auto" w:before="0"/>
        <w:rPr>
          <w:rFonts w:ascii="Times New Roman" w:hAnsi="Times New Roman" w:cs="Times New Roman" w:eastAsia="Times New Roman"/>
          <w:sz w:val="7"/>
          <w:szCs w:val="7"/>
        </w:rPr>
      </w:pPr>
    </w:p>
    <w:tbl>
      <w:tblPr>
        <w:tblW w:w="0" w:type="auto"/>
        <w:jc w:val="left"/>
        <w:tblInd w:w="110" w:type="dxa"/>
        <w:tblLayout w:type="fixed"/>
        <w:tblCellMar>
          <w:top w:w="0" w:type="dxa"/>
          <w:left w:w="0" w:type="dxa"/>
          <w:bottom w:w="0" w:type="dxa"/>
          <w:right w:w="0" w:type="dxa"/>
        </w:tblCellMar>
        <w:tblLook w:val="01E0"/>
      </w:tblPr>
      <w:tblGrid>
        <w:gridCol w:w="3905"/>
        <w:gridCol w:w="1011"/>
        <w:gridCol w:w="2242"/>
        <w:gridCol w:w="835"/>
      </w:tblGrid>
      <w:tr>
        <w:trPr>
          <w:trHeight w:val="436" w:hRule="exact"/>
        </w:trPr>
        <w:tc>
          <w:tcPr>
            <w:tcW w:w="3905"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83"/>
              <w:ind w:left="113" w:right="0"/>
              <w:jc w:val="left"/>
              <w:rPr>
                <w:rFonts w:ascii="Swis721 Md BT" w:hAnsi="Swis721 Md BT" w:cs="Swis721 Md BT" w:eastAsia="Swis721 Md BT"/>
                <w:sz w:val="19"/>
                <w:szCs w:val="19"/>
              </w:rPr>
            </w:pPr>
            <w:r>
              <w:rPr>
                <w:rFonts w:ascii="Swis721 Md BT"/>
                <w:color w:val="231F20"/>
                <w:sz w:val="19"/>
              </w:rPr>
              <w:t>Subject</w:t>
            </w:r>
            <w:r>
              <w:rPr>
                <w:rFonts w:ascii="Swis721 Md BT"/>
                <w:sz w:val="19"/>
              </w:rPr>
            </w:r>
          </w:p>
        </w:tc>
        <w:tc>
          <w:tcPr>
            <w:tcW w:w="1011"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83"/>
              <w:ind w:left="233" w:right="0"/>
              <w:jc w:val="left"/>
              <w:rPr>
                <w:rFonts w:ascii="Swis721 Md BT" w:hAnsi="Swis721 Md BT" w:cs="Swis721 Md BT" w:eastAsia="Swis721 Md BT"/>
                <w:sz w:val="19"/>
                <w:szCs w:val="19"/>
              </w:rPr>
            </w:pPr>
            <w:r>
              <w:rPr>
                <w:rFonts w:ascii="Swis721 Md BT"/>
                <w:color w:val="231F20"/>
                <w:sz w:val="19"/>
              </w:rPr>
              <w:t>Rule</w:t>
            </w:r>
            <w:r>
              <w:rPr>
                <w:rFonts w:ascii="Swis721 Md BT"/>
                <w:sz w:val="19"/>
              </w:rPr>
            </w:r>
          </w:p>
        </w:tc>
        <w:tc>
          <w:tcPr>
            <w:tcW w:w="2242"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83"/>
              <w:ind w:left="129" w:right="0"/>
              <w:jc w:val="left"/>
              <w:rPr>
                <w:rFonts w:ascii="Swis721 Md BT" w:hAnsi="Swis721 Md BT" w:cs="Swis721 Md BT" w:eastAsia="Swis721 Md BT"/>
                <w:sz w:val="19"/>
                <w:szCs w:val="19"/>
              </w:rPr>
            </w:pPr>
            <w:r>
              <w:rPr>
                <w:rFonts w:ascii="Swis721 Md BT"/>
                <w:color w:val="231F20"/>
                <w:sz w:val="19"/>
              </w:rPr>
              <w:t>Location</w:t>
            </w:r>
            <w:r>
              <w:rPr>
                <w:rFonts w:ascii="Swis721 Md BT"/>
                <w:sz w:val="19"/>
              </w:rPr>
            </w:r>
          </w:p>
        </w:tc>
        <w:tc>
          <w:tcPr>
            <w:tcW w:w="835" w:type="dxa"/>
            <w:tcBorders>
              <w:top w:val="nil" w:sz="6" w:space="0" w:color="auto"/>
              <w:left w:val="nil" w:sz="6" w:space="0" w:color="auto"/>
              <w:bottom w:val="nil" w:sz="6" w:space="0" w:color="auto"/>
              <w:right w:val="nil" w:sz="6" w:space="0" w:color="auto"/>
            </w:tcBorders>
            <w:shd w:val="clear" w:color="auto" w:fill="BFD22B"/>
          </w:tcPr>
          <w:p>
            <w:pPr>
              <w:pStyle w:val="TableParagraph"/>
              <w:spacing w:line="240" w:lineRule="auto" w:before="83"/>
              <w:ind w:left="154" w:right="0"/>
              <w:jc w:val="left"/>
              <w:rPr>
                <w:rFonts w:ascii="Swis721 Md BT" w:hAnsi="Swis721 Md BT" w:cs="Swis721 Md BT" w:eastAsia="Swis721 Md BT"/>
                <w:sz w:val="19"/>
                <w:szCs w:val="19"/>
              </w:rPr>
            </w:pPr>
            <w:r>
              <w:rPr>
                <w:rFonts w:ascii="Swis721 Md BT"/>
                <w:color w:val="231F20"/>
                <w:spacing w:val="-2"/>
                <w:sz w:val="19"/>
              </w:rPr>
              <w:t>Page</w:t>
            </w:r>
            <w:r>
              <w:rPr>
                <w:rFonts w:ascii="Swis721 Md BT"/>
                <w:sz w:val="19"/>
              </w:rPr>
            </w:r>
          </w:p>
        </w:tc>
      </w:tr>
      <w:tr>
        <w:trPr>
          <w:trHeight w:val="832" w:hRule="exact"/>
        </w:trPr>
        <w:tc>
          <w:tcPr>
            <w:tcW w:w="3905" w:type="dxa"/>
            <w:tcBorders>
              <w:top w:val="nil" w:sz="6" w:space="0" w:color="auto"/>
              <w:left w:val="nil" w:sz="6" w:space="0" w:color="auto"/>
              <w:bottom w:val="nil" w:sz="6" w:space="0" w:color="auto"/>
              <w:right w:val="nil" w:sz="6" w:space="0" w:color="auto"/>
            </w:tcBorders>
          </w:tcPr>
          <w:p>
            <w:pPr>
              <w:pStyle w:val="TableParagraph"/>
              <w:spacing w:line="240" w:lineRule="auto" w:before="80"/>
              <w:ind w:left="113" w:right="264"/>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The annual report provides statistics on the company’s employees on an ongoing and non-ongoing basis, including the following:</w:t>
            </w:r>
            <w:r>
              <w:rPr>
                <w:rFonts w:ascii="Swis721 Lt BT" w:hAnsi="Swis721 Lt BT" w:cs="Swis721 Lt BT" w:eastAsia="Swis721 Lt BT"/>
                <w:sz w:val="19"/>
                <w:szCs w:val="19"/>
              </w:rPr>
            </w:r>
          </w:p>
        </w:tc>
        <w:tc>
          <w:tcPr>
            <w:tcW w:w="1011" w:type="dxa"/>
            <w:tcBorders>
              <w:top w:val="nil" w:sz="6" w:space="0" w:color="auto"/>
              <w:left w:val="nil" w:sz="6" w:space="0" w:color="auto"/>
              <w:bottom w:val="nil" w:sz="6" w:space="0" w:color="auto"/>
              <w:right w:val="nil" w:sz="6" w:space="0" w:color="auto"/>
            </w:tcBorders>
          </w:tcPr>
          <w:p>
            <w:pPr>
              <w:pStyle w:val="TableParagraph"/>
              <w:spacing w:line="240" w:lineRule="auto" w:before="80"/>
              <w:ind w:left="233" w:right="0"/>
              <w:jc w:val="left"/>
              <w:rPr>
                <w:rFonts w:ascii="Swis721 Lt BT" w:hAnsi="Swis721 Lt BT" w:cs="Swis721 Lt BT" w:eastAsia="Swis721 Lt BT"/>
                <w:sz w:val="19"/>
                <w:szCs w:val="19"/>
              </w:rPr>
            </w:pPr>
            <w:r>
              <w:rPr>
                <w:rFonts w:ascii="Swis721 Lt BT"/>
                <w:color w:val="231F20"/>
                <w:sz w:val="19"/>
              </w:rPr>
              <w:t>28E(ga)</w:t>
            </w:r>
            <w:r>
              <w:rPr>
                <w:rFonts w:ascii="Swis721 Lt BT"/>
                <w:sz w:val="19"/>
              </w:rPr>
            </w:r>
          </w:p>
        </w:tc>
        <w:tc>
          <w:tcPr>
            <w:tcW w:w="2242" w:type="dxa"/>
            <w:tcBorders>
              <w:top w:val="nil" w:sz="6" w:space="0" w:color="auto"/>
              <w:left w:val="nil" w:sz="6" w:space="0" w:color="auto"/>
              <w:bottom w:val="nil" w:sz="6" w:space="0" w:color="auto"/>
              <w:right w:val="nil" w:sz="6" w:space="0" w:color="auto"/>
            </w:tcBorders>
          </w:tcPr>
          <w:p>
            <w:pPr>
              <w:pStyle w:val="TableParagraph"/>
              <w:spacing w:line="240" w:lineRule="auto" w:before="80"/>
              <w:ind w:left="129" w:right="189"/>
              <w:jc w:val="left"/>
              <w:rPr>
                <w:rFonts w:ascii="Swis721 Lt BT" w:hAnsi="Swis721 Lt BT" w:cs="Swis721 Lt BT" w:eastAsia="Swis721 Lt BT"/>
                <w:sz w:val="19"/>
                <w:szCs w:val="19"/>
              </w:rPr>
            </w:pPr>
            <w:r>
              <w:rPr>
                <w:rFonts w:ascii="Swis721 Lt BT"/>
                <w:color w:val="231F20"/>
                <w:sz w:val="19"/>
              </w:rPr>
              <w:t>Appendix 1: AITSL organisational structure</w:t>
            </w:r>
            <w:r>
              <w:rPr>
                <w:rFonts w:ascii="Swis721 Lt BT"/>
                <w:sz w:val="19"/>
              </w:rPr>
            </w:r>
          </w:p>
        </w:tc>
        <w:tc>
          <w:tcPr>
            <w:tcW w:w="835" w:type="dxa"/>
            <w:tcBorders>
              <w:top w:val="nil" w:sz="6" w:space="0" w:color="auto"/>
              <w:left w:val="nil" w:sz="6" w:space="0" w:color="auto"/>
              <w:bottom w:val="nil" w:sz="6" w:space="0" w:color="auto"/>
              <w:right w:val="nil" w:sz="6" w:space="0" w:color="auto"/>
            </w:tcBorders>
          </w:tcPr>
          <w:p>
            <w:pPr>
              <w:pStyle w:val="TableParagraph"/>
              <w:spacing w:line="240" w:lineRule="auto" w:before="80"/>
              <w:ind w:left="155" w:right="0"/>
              <w:jc w:val="left"/>
              <w:rPr>
                <w:rFonts w:ascii="Swis721 Lt BT" w:hAnsi="Swis721 Lt BT" w:cs="Swis721 Lt BT" w:eastAsia="Swis721 Lt BT"/>
                <w:sz w:val="19"/>
                <w:szCs w:val="19"/>
              </w:rPr>
            </w:pPr>
            <w:r>
              <w:rPr>
                <w:rFonts w:ascii="Swis721 Lt BT"/>
                <w:color w:val="231F20"/>
                <w:sz w:val="19"/>
              </w:rPr>
              <w:t>78</w:t>
            </w:r>
            <w:r>
              <w:rPr>
                <w:rFonts w:ascii="Swis721 Lt BT"/>
                <w:sz w:val="19"/>
              </w:rPr>
            </w:r>
          </w:p>
        </w:tc>
      </w:tr>
      <w:tr>
        <w:trPr>
          <w:trHeight w:val="320" w:hRule="exact"/>
        </w:trPr>
        <w:tc>
          <w:tcPr>
            <w:tcW w:w="3905" w:type="dxa"/>
            <w:tcBorders>
              <w:top w:val="nil" w:sz="6" w:space="0" w:color="auto"/>
              <w:left w:val="nil" w:sz="6" w:space="0" w:color="auto"/>
              <w:bottom w:val="nil" w:sz="6" w:space="0" w:color="auto"/>
              <w:right w:val="nil" w:sz="6" w:space="0" w:color="auto"/>
            </w:tcBorders>
          </w:tcPr>
          <w:p>
            <w:pPr>
              <w:pStyle w:val="TableParagraph"/>
              <w:spacing w:line="240" w:lineRule="auto" w:before="45"/>
              <w:ind w:left="113" w:right="0"/>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8"/>
                <w:sz w:val="19"/>
              </w:rPr>
              <w:t> </w:t>
            </w:r>
            <w:r>
              <w:rPr>
                <w:rFonts w:ascii="Swis721 Lt BT" w:hAnsi="Swis721 Lt BT"/>
                <w:color w:val="231F20"/>
                <w:sz w:val="19"/>
              </w:rPr>
              <w:t>statistics</w:t>
            </w:r>
            <w:r>
              <w:rPr>
                <w:rFonts w:ascii="Swis721 Lt BT" w:hAnsi="Swis721 Lt BT"/>
                <w:color w:val="231F20"/>
                <w:spacing w:val="1"/>
                <w:sz w:val="19"/>
              </w:rPr>
              <w:t> </w:t>
            </w:r>
            <w:r>
              <w:rPr>
                <w:rFonts w:ascii="Swis721 Lt BT" w:hAnsi="Swis721 Lt BT"/>
                <w:color w:val="231F20"/>
                <w:sz w:val="19"/>
              </w:rPr>
              <w:t>on</w:t>
            </w:r>
            <w:r>
              <w:rPr>
                <w:rFonts w:ascii="Swis721 Lt BT" w:hAnsi="Swis721 Lt BT"/>
                <w:color w:val="231F20"/>
                <w:spacing w:val="1"/>
                <w:sz w:val="19"/>
              </w:rPr>
              <w:t> </w:t>
            </w:r>
            <w:r>
              <w:rPr>
                <w:rFonts w:ascii="Swis721 Lt BT" w:hAnsi="Swis721 Lt BT"/>
                <w:color w:val="231F20"/>
                <w:sz w:val="19"/>
              </w:rPr>
              <w:t>full-time</w:t>
            </w:r>
            <w:r>
              <w:rPr>
                <w:rFonts w:ascii="Swis721 Lt BT" w:hAnsi="Swis721 Lt BT"/>
                <w:color w:val="231F20"/>
                <w:spacing w:val="1"/>
                <w:sz w:val="19"/>
              </w:rPr>
              <w:t> </w:t>
            </w:r>
            <w:r>
              <w:rPr>
                <w:rFonts w:ascii="Swis721 Lt BT" w:hAnsi="Swis721 Lt BT"/>
                <w:color w:val="231F20"/>
                <w:sz w:val="19"/>
              </w:rPr>
              <w:t>employees</w:t>
            </w:r>
            <w:r>
              <w:rPr>
                <w:rFonts w:ascii="Swis721 Lt BT" w:hAnsi="Swis721 Lt BT"/>
                <w:sz w:val="19"/>
              </w:rPr>
            </w:r>
          </w:p>
        </w:tc>
        <w:tc>
          <w:tcPr>
            <w:tcW w:w="1011" w:type="dxa"/>
            <w:tcBorders>
              <w:top w:val="nil" w:sz="6" w:space="0" w:color="auto"/>
              <w:left w:val="nil" w:sz="6" w:space="0" w:color="auto"/>
              <w:bottom w:val="nil" w:sz="6" w:space="0" w:color="auto"/>
              <w:right w:val="nil" w:sz="6" w:space="0" w:color="auto"/>
            </w:tcBorders>
          </w:tcPr>
          <w:p>
            <w:pPr/>
          </w:p>
        </w:tc>
        <w:tc>
          <w:tcPr>
            <w:tcW w:w="2242" w:type="dxa"/>
            <w:tcBorders>
              <w:top w:val="nil" w:sz="6" w:space="0" w:color="auto"/>
              <w:left w:val="nil" w:sz="6" w:space="0" w:color="auto"/>
              <w:bottom w:val="nil" w:sz="6" w:space="0" w:color="auto"/>
              <w:right w:val="nil" w:sz="6" w:space="0" w:color="auto"/>
            </w:tcBorders>
          </w:tcPr>
          <w:p>
            <w:pPr/>
          </w:p>
        </w:tc>
        <w:tc>
          <w:tcPr>
            <w:tcW w:w="835" w:type="dxa"/>
            <w:tcBorders>
              <w:top w:val="nil" w:sz="6" w:space="0" w:color="auto"/>
              <w:left w:val="nil" w:sz="6" w:space="0" w:color="auto"/>
              <w:bottom w:val="nil" w:sz="6" w:space="0" w:color="auto"/>
              <w:right w:val="nil" w:sz="6" w:space="0" w:color="auto"/>
            </w:tcBorders>
          </w:tcPr>
          <w:p>
            <w:pPr/>
          </w:p>
        </w:tc>
      </w:tr>
      <w:tr>
        <w:trPr>
          <w:trHeight w:val="285" w:hRule="exact"/>
        </w:trPr>
        <w:tc>
          <w:tcPr>
            <w:tcW w:w="3905" w:type="dxa"/>
            <w:tcBorders>
              <w:top w:val="nil" w:sz="6" w:space="0" w:color="auto"/>
              <w:left w:val="nil" w:sz="6" w:space="0" w:color="auto"/>
              <w:bottom w:val="nil" w:sz="6" w:space="0" w:color="auto"/>
              <w:right w:val="nil" w:sz="6" w:space="0" w:color="auto"/>
            </w:tcBorders>
          </w:tcPr>
          <w:p>
            <w:pPr>
              <w:pStyle w:val="TableParagraph"/>
              <w:spacing w:line="240" w:lineRule="auto" w:before="9"/>
              <w:ind w:left="113" w:right="0"/>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8"/>
                <w:sz w:val="19"/>
              </w:rPr>
              <w:t> </w:t>
            </w:r>
            <w:r>
              <w:rPr>
                <w:rFonts w:ascii="Swis721 Lt BT" w:hAnsi="Swis721 Lt BT"/>
                <w:color w:val="231F20"/>
                <w:sz w:val="19"/>
              </w:rPr>
              <w:t>statistics</w:t>
            </w:r>
            <w:r>
              <w:rPr>
                <w:rFonts w:ascii="Swis721 Lt BT" w:hAnsi="Swis721 Lt BT"/>
                <w:color w:val="231F20"/>
                <w:spacing w:val="1"/>
                <w:sz w:val="19"/>
              </w:rPr>
              <w:t> </w:t>
            </w:r>
            <w:r>
              <w:rPr>
                <w:rFonts w:ascii="Swis721 Lt BT" w:hAnsi="Swis721 Lt BT"/>
                <w:color w:val="231F20"/>
                <w:sz w:val="19"/>
              </w:rPr>
              <w:t>on</w:t>
            </w:r>
            <w:r>
              <w:rPr>
                <w:rFonts w:ascii="Swis721 Lt BT" w:hAnsi="Swis721 Lt BT"/>
                <w:color w:val="231F20"/>
                <w:spacing w:val="1"/>
                <w:sz w:val="19"/>
              </w:rPr>
              <w:t> </w:t>
            </w:r>
            <w:r>
              <w:rPr>
                <w:rFonts w:ascii="Swis721 Lt BT" w:hAnsi="Swis721 Lt BT"/>
                <w:color w:val="231F20"/>
                <w:spacing w:val="-1"/>
                <w:sz w:val="19"/>
              </w:rPr>
              <w:t>part-time</w:t>
            </w:r>
            <w:r>
              <w:rPr>
                <w:rFonts w:ascii="Swis721 Lt BT" w:hAnsi="Swis721 Lt BT"/>
                <w:color w:val="231F20"/>
                <w:spacing w:val="1"/>
                <w:sz w:val="19"/>
              </w:rPr>
              <w:t> </w:t>
            </w:r>
            <w:r>
              <w:rPr>
                <w:rFonts w:ascii="Swis721 Lt BT" w:hAnsi="Swis721 Lt BT"/>
                <w:color w:val="231F20"/>
                <w:sz w:val="19"/>
              </w:rPr>
              <w:t>employees</w:t>
            </w:r>
            <w:r>
              <w:rPr>
                <w:rFonts w:ascii="Swis721 Lt BT" w:hAnsi="Swis721 Lt BT"/>
                <w:sz w:val="19"/>
              </w:rPr>
            </w:r>
          </w:p>
        </w:tc>
        <w:tc>
          <w:tcPr>
            <w:tcW w:w="1011" w:type="dxa"/>
            <w:tcBorders>
              <w:top w:val="nil" w:sz="6" w:space="0" w:color="auto"/>
              <w:left w:val="nil" w:sz="6" w:space="0" w:color="auto"/>
              <w:bottom w:val="nil" w:sz="6" w:space="0" w:color="auto"/>
              <w:right w:val="nil" w:sz="6" w:space="0" w:color="auto"/>
            </w:tcBorders>
          </w:tcPr>
          <w:p>
            <w:pPr/>
          </w:p>
        </w:tc>
        <w:tc>
          <w:tcPr>
            <w:tcW w:w="2242" w:type="dxa"/>
            <w:tcBorders>
              <w:top w:val="nil" w:sz="6" w:space="0" w:color="auto"/>
              <w:left w:val="nil" w:sz="6" w:space="0" w:color="auto"/>
              <w:bottom w:val="nil" w:sz="6" w:space="0" w:color="auto"/>
              <w:right w:val="nil" w:sz="6" w:space="0" w:color="auto"/>
            </w:tcBorders>
          </w:tcPr>
          <w:p>
            <w:pPr/>
          </w:p>
        </w:tc>
        <w:tc>
          <w:tcPr>
            <w:tcW w:w="835" w:type="dxa"/>
            <w:tcBorders>
              <w:top w:val="nil" w:sz="6" w:space="0" w:color="auto"/>
              <w:left w:val="nil" w:sz="6" w:space="0" w:color="auto"/>
              <w:bottom w:val="nil" w:sz="6" w:space="0" w:color="auto"/>
              <w:right w:val="nil" w:sz="6" w:space="0" w:color="auto"/>
            </w:tcBorders>
          </w:tcPr>
          <w:p>
            <w:pPr/>
          </w:p>
        </w:tc>
      </w:tr>
      <w:tr>
        <w:trPr>
          <w:trHeight w:val="285" w:hRule="exact"/>
        </w:trPr>
        <w:tc>
          <w:tcPr>
            <w:tcW w:w="3905" w:type="dxa"/>
            <w:tcBorders>
              <w:top w:val="nil" w:sz="6" w:space="0" w:color="auto"/>
              <w:left w:val="nil" w:sz="6" w:space="0" w:color="auto"/>
              <w:bottom w:val="nil" w:sz="6" w:space="0" w:color="auto"/>
              <w:right w:val="nil" w:sz="6" w:space="0" w:color="auto"/>
            </w:tcBorders>
          </w:tcPr>
          <w:p>
            <w:pPr>
              <w:pStyle w:val="TableParagraph"/>
              <w:spacing w:line="240" w:lineRule="auto" w:before="9"/>
              <w:ind w:left="113" w:right="0"/>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9"/>
                <w:sz w:val="19"/>
              </w:rPr>
              <w:t> </w:t>
            </w:r>
            <w:r>
              <w:rPr>
                <w:rFonts w:ascii="Swis721 Lt BT" w:hAnsi="Swis721 Lt BT"/>
                <w:color w:val="231F20"/>
                <w:sz w:val="19"/>
              </w:rPr>
              <w:t>statistics</w:t>
            </w:r>
            <w:r>
              <w:rPr>
                <w:rFonts w:ascii="Swis721 Lt BT" w:hAnsi="Swis721 Lt BT"/>
                <w:color w:val="231F20"/>
                <w:spacing w:val="1"/>
                <w:sz w:val="19"/>
              </w:rPr>
              <w:t> </w:t>
            </w:r>
            <w:r>
              <w:rPr>
                <w:rFonts w:ascii="Swis721 Lt BT" w:hAnsi="Swis721 Lt BT"/>
                <w:color w:val="231F20"/>
                <w:sz w:val="19"/>
              </w:rPr>
              <w:t>on</w:t>
            </w:r>
            <w:r>
              <w:rPr>
                <w:rFonts w:ascii="Swis721 Lt BT" w:hAnsi="Swis721 Lt BT"/>
                <w:color w:val="231F20"/>
                <w:spacing w:val="1"/>
                <w:sz w:val="19"/>
              </w:rPr>
              <w:t> </w:t>
            </w:r>
            <w:r>
              <w:rPr>
                <w:rFonts w:ascii="Swis721 Lt BT" w:hAnsi="Swis721 Lt BT"/>
                <w:color w:val="231F20"/>
                <w:sz w:val="19"/>
              </w:rPr>
              <w:t>gender</w:t>
            </w:r>
            <w:r>
              <w:rPr>
                <w:rFonts w:ascii="Swis721 Lt BT" w:hAnsi="Swis721 Lt BT"/>
                <w:sz w:val="19"/>
              </w:rPr>
            </w:r>
          </w:p>
        </w:tc>
        <w:tc>
          <w:tcPr>
            <w:tcW w:w="1011" w:type="dxa"/>
            <w:tcBorders>
              <w:top w:val="nil" w:sz="6" w:space="0" w:color="auto"/>
              <w:left w:val="nil" w:sz="6" w:space="0" w:color="auto"/>
              <w:bottom w:val="nil" w:sz="6" w:space="0" w:color="auto"/>
              <w:right w:val="nil" w:sz="6" w:space="0" w:color="auto"/>
            </w:tcBorders>
          </w:tcPr>
          <w:p>
            <w:pPr/>
          </w:p>
        </w:tc>
        <w:tc>
          <w:tcPr>
            <w:tcW w:w="2242" w:type="dxa"/>
            <w:tcBorders>
              <w:top w:val="nil" w:sz="6" w:space="0" w:color="auto"/>
              <w:left w:val="nil" w:sz="6" w:space="0" w:color="auto"/>
              <w:bottom w:val="nil" w:sz="6" w:space="0" w:color="auto"/>
              <w:right w:val="nil" w:sz="6" w:space="0" w:color="auto"/>
            </w:tcBorders>
          </w:tcPr>
          <w:p>
            <w:pPr/>
          </w:p>
        </w:tc>
        <w:tc>
          <w:tcPr>
            <w:tcW w:w="835" w:type="dxa"/>
            <w:tcBorders>
              <w:top w:val="nil" w:sz="6" w:space="0" w:color="auto"/>
              <w:left w:val="nil" w:sz="6" w:space="0" w:color="auto"/>
              <w:bottom w:val="nil" w:sz="6" w:space="0" w:color="auto"/>
              <w:right w:val="nil" w:sz="6" w:space="0" w:color="auto"/>
            </w:tcBorders>
          </w:tcPr>
          <w:p>
            <w:pPr/>
          </w:p>
        </w:tc>
      </w:tr>
      <w:tr>
        <w:trPr>
          <w:trHeight w:val="309" w:hRule="exact"/>
        </w:trPr>
        <w:tc>
          <w:tcPr>
            <w:tcW w:w="3905" w:type="dxa"/>
            <w:tcBorders>
              <w:top w:val="nil" w:sz="6" w:space="0" w:color="auto"/>
              <w:left w:val="nil" w:sz="6" w:space="0" w:color="auto"/>
              <w:bottom w:val="single" w:sz="2" w:space="0" w:color="71797F"/>
              <w:right w:val="nil" w:sz="6" w:space="0" w:color="auto"/>
            </w:tcBorders>
          </w:tcPr>
          <w:p>
            <w:pPr>
              <w:pStyle w:val="TableParagraph"/>
              <w:spacing w:line="240" w:lineRule="auto" w:before="9"/>
              <w:ind w:left="113" w:right="0"/>
              <w:jc w:val="left"/>
              <w:rPr>
                <w:rFonts w:ascii="Swis721 Lt BT" w:hAnsi="Swis721 Lt BT" w:cs="Swis721 Lt BT" w:eastAsia="Swis721 Lt BT"/>
                <w:sz w:val="19"/>
                <w:szCs w:val="19"/>
              </w:rPr>
            </w:pPr>
            <w:r>
              <w:rPr>
                <w:rFonts w:ascii="Arial" w:hAnsi="Arial"/>
                <w:color w:val="00757A"/>
                <w:sz w:val="19"/>
              </w:rPr>
              <w:t>ϐ </w:t>
            </w:r>
            <w:r>
              <w:rPr>
                <w:rFonts w:ascii="Arial" w:hAnsi="Arial"/>
                <w:color w:val="00757A"/>
                <w:spacing w:val="8"/>
                <w:sz w:val="19"/>
              </w:rPr>
              <w:t> </w:t>
            </w:r>
            <w:r>
              <w:rPr>
                <w:rFonts w:ascii="Swis721 Lt BT" w:hAnsi="Swis721 Lt BT"/>
                <w:color w:val="231F20"/>
                <w:sz w:val="19"/>
              </w:rPr>
              <w:t>statistics</w:t>
            </w:r>
            <w:r>
              <w:rPr>
                <w:rFonts w:ascii="Swis721 Lt BT" w:hAnsi="Swis721 Lt BT"/>
                <w:color w:val="231F20"/>
                <w:spacing w:val="1"/>
                <w:sz w:val="19"/>
              </w:rPr>
              <w:t> </w:t>
            </w:r>
            <w:r>
              <w:rPr>
                <w:rFonts w:ascii="Swis721 Lt BT" w:hAnsi="Swis721 Lt BT"/>
                <w:color w:val="231F20"/>
                <w:sz w:val="19"/>
              </w:rPr>
              <w:t>on</w:t>
            </w:r>
            <w:r>
              <w:rPr>
                <w:rFonts w:ascii="Swis721 Lt BT" w:hAnsi="Swis721 Lt BT"/>
                <w:color w:val="231F20"/>
                <w:spacing w:val="1"/>
                <w:sz w:val="19"/>
              </w:rPr>
              <w:t> </w:t>
            </w:r>
            <w:r>
              <w:rPr>
                <w:rFonts w:ascii="Swis721 Lt BT" w:hAnsi="Swis721 Lt BT"/>
                <w:color w:val="231F20"/>
                <w:sz w:val="19"/>
              </w:rPr>
              <w:t>staff</w:t>
            </w:r>
            <w:r>
              <w:rPr>
                <w:rFonts w:ascii="Swis721 Lt BT" w:hAnsi="Swis721 Lt BT"/>
                <w:color w:val="231F20"/>
                <w:spacing w:val="1"/>
                <w:sz w:val="19"/>
              </w:rPr>
              <w:t> </w:t>
            </w:r>
            <w:r>
              <w:rPr>
                <w:rFonts w:ascii="Swis721 Lt BT" w:hAnsi="Swis721 Lt BT"/>
                <w:color w:val="231F20"/>
                <w:sz w:val="19"/>
              </w:rPr>
              <w:t>location.</w:t>
            </w:r>
            <w:r>
              <w:rPr>
                <w:rFonts w:ascii="Swis721 Lt BT" w:hAnsi="Swis721 Lt BT"/>
                <w:sz w:val="19"/>
              </w:rPr>
            </w:r>
          </w:p>
        </w:tc>
        <w:tc>
          <w:tcPr>
            <w:tcW w:w="1011" w:type="dxa"/>
            <w:tcBorders>
              <w:top w:val="nil" w:sz="6" w:space="0" w:color="auto"/>
              <w:left w:val="nil" w:sz="6" w:space="0" w:color="auto"/>
              <w:bottom w:val="single" w:sz="2" w:space="0" w:color="71797F"/>
              <w:right w:val="nil" w:sz="6" w:space="0" w:color="auto"/>
            </w:tcBorders>
          </w:tcPr>
          <w:p>
            <w:pPr/>
          </w:p>
        </w:tc>
        <w:tc>
          <w:tcPr>
            <w:tcW w:w="2242" w:type="dxa"/>
            <w:tcBorders>
              <w:top w:val="nil" w:sz="6" w:space="0" w:color="auto"/>
              <w:left w:val="nil" w:sz="6" w:space="0" w:color="auto"/>
              <w:bottom w:val="single" w:sz="2" w:space="0" w:color="71797F"/>
              <w:right w:val="nil" w:sz="6" w:space="0" w:color="auto"/>
            </w:tcBorders>
          </w:tcPr>
          <w:p>
            <w:pPr/>
          </w:p>
        </w:tc>
        <w:tc>
          <w:tcPr>
            <w:tcW w:w="835" w:type="dxa"/>
            <w:tcBorders>
              <w:top w:val="nil" w:sz="6" w:space="0" w:color="auto"/>
              <w:left w:val="nil" w:sz="6" w:space="0" w:color="auto"/>
              <w:bottom w:val="single" w:sz="2" w:space="0" w:color="71797F"/>
              <w:right w:val="nil" w:sz="6" w:space="0" w:color="auto"/>
            </w:tcBorders>
          </w:tcPr>
          <w:p>
            <w:pPr/>
          </w:p>
        </w:tc>
      </w:tr>
      <w:tr>
        <w:trPr>
          <w:trHeight w:val="607" w:hRule="exact"/>
        </w:trPr>
        <w:tc>
          <w:tcPr>
            <w:tcW w:w="3905"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13" w:right="233"/>
              <w:jc w:val="left"/>
              <w:rPr>
                <w:rFonts w:ascii="Swis721 Lt BT" w:hAnsi="Swis721 Lt BT" w:cs="Swis721 Lt BT" w:eastAsia="Swis721 Lt BT"/>
                <w:sz w:val="19"/>
                <w:szCs w:val="19"/>
              </w:rPr>
            </w:pPr>
            <w:r>
              <w:rPr>
                <w:rFonts w:ascii="Swis721 Lt BT"/>
                <w:color w:val="231F20"/>
                <w:sz w:val="19"/>
              </w:rPr>
              <w:t>The annual report provides an outline of the location of major activities and facilities</w:t>
            </w:r>
            <w:r>
              <w:rPr>
                <w:rFonts w:ascii="Swis721 Lt BT"/>
                <w:sz w:val="19"/>
              </w:rPr>
            </w:r>
          </w:p>
        </w:tc>
        <w:tc>
          <w:tcPr>
            <w:tcW w:w="1011"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233" w:right="0"/>
              <w:jc w:val="left"/>
              <w:rPr>
                <w:rFonts w:ascii="Swis721 Lt BT" w:hAnsi="Swis721 Lt BT" w:cs="Swis721 Lt BT" w:eastAsia="Swis721 Lt BT"/>
                <w:sz w:val="19"/>
                <w:szCs w:val="19"/>
              </w:rPr>
            </w:pPr>
            <w:r>
              <w:rPr>
                <w:rFonts w:ascii="Swis721 Lt BT"/>
                <w:color w:val="231F20"/>
                <w:sz w:val="19"/>
              </w:rPr>
              <w:t>28E(h)</w:t>
            </w:r>
            <w:r>
              <w:rPr>
                <w:rFonts w:ascii="Swis721 Lt BT"/>
                <w:sz w:val="19"/>
              </w:rPr>
            </w:r>
          </w:p>
        </w:tc>
        <w:tc>
          <w:tcPr>
            <w:tcW w:w="2242"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29" w:right="233"/>
              <w:jc w:val="left"/>
              <w:rPr>
                <w:rFonts w:ascii="Swis721 Lt BT" w:hAnsi="Swis721 Lt BT" w:cs="Swis721 Lt BT" w:eastAsia="Swis721 Lt BT"/>
                <w:sz w:val="19"/>
                <w:szCs w:val="19"/>
              </w:rPr>
            </w:pPr>
            <w:r>
              <w:rPr>
                <w:rFonts w:ascii="Swis721 Lt BT"/>
                <w:color w:val="231F20"/>
                <w:sz w:val="19"/>
              </w:rPr>
              <w:t>Corporate Governance Statement</w:t>
            </w:r>
            <w:r>
              <w:rPr>
                <w:rFonts w:ascii="Swis721 Lt BT"/>
                <w:sz w:val="19"/>
              </w:rPr>
            </w:r>
          </w:p>
        </w:tc>
        <w:tc>
          <w:tcPr>
            <w:tcW w:w="835"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55" w:right="0"/>
              <w:jc w:val="left"/>
              <w:rPr>
                <w:rFonts w:ascii="Swis721 Lt BT" w:hAnsi="Swis721 Lt BT" w:cs="Swis721 Lt BT" w:eastAsia="Swis721 Lt BT"/>
                <w:sz w:val="19"/>
                <w:szCs w:val="19"/>
              </w:rPr>
            </w:pPr>
            <w:r>
              <w:rPr>
                <w:rFonts w:ascii="Swis721 Lt BT"/>
                <w:color w:val="231F20"/>
                <w:sz w:val="19"/>
              </w:rPr>
              <w:t>36</w:t>
            </w:r>
            <w:r>
              <w:rPr>
                <w:rFonts w:ascii="Swis721 Lt BT"/>
                <w:sz w:val="19"/>
              </w:rPr>
            </w:r>
          </w:p>
        </w:tc>
      </w:tr>
      <w:tr>
        <w:trPr>
          <w:trHeight w:val="835" w:hRule="exact"/>
        </w:trPr>
        <w:tc>
          <w:tcPr>
            <w:tcW w:w="3905"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13" w:right="230"/>
              <w:jc w:val="both"/>
              <w:rPr>
                <w:rFonts w:ascii="Swis721 Lt BT" w:hAnsi="Swis721 Lt BT" w:cs="Swis721 Lt BT" w:eastAsia="Swis721 Lt BT"/>
                <w:sz w:val="19"/>
                <w:szCs w:val="19"/>
              </w:rPr>
            </w:pPr>
            <w:r>
              <w:rPr>
                <w:rFonts w:ascii="Swis721 Lt BT"/>
                <w:color w:val="231F20"/>
                <w:sz w:val="19"/>
              </w:rPr>
              <w:t>The annual report provides an outline of the main governance practices used during the period</w:t>
            </w:r>
            <w:r>
              <w:rPr>
                <w:rFonts w:ascii="Swis721 Lt BT"/>
                <w:sz w:val="19"/>
              </w:rPr>
            </w:r>
          </w:p>
        </w:tc>
        <w:tc>
          <w:tcPr>
            <w:tcW w:w="1011"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233" w:right="0"/>
              <w:jc w:val="left"/>
              <w:rPr>
                <w:rFonts w:ascii="Swis721 Lt BT" w:hAnsi="Swis721 Lt BT" w:cs="Swis721 Lt BT" w:eastAsia="Swis721 Lt BT"/>
                <w:sz w:val="19"/>
                <w:szCs w:val="19"/>
              </w:rPr>
            </w:pPr>
            <w:r>
              <w:rPr>
                <w:rFonts w:ascii="Swis721 Lt BT"/>
                <w:color w:val="231F20"/>
                <w:sz w:val="19"/>
              </w:rPr>
              <w:t>28E(i)</w:t>
            </w:r>
            <w:r>
              <w:rPr>
                <w:rFonts w:ascii="Swis721 Lt BT"/>
                <w:sz w:val="19"/>
              </w:rPr>
            </w:r>
          </w:p>
        </w:tc>
        <w:tc>
          <w:tcPr>
            <w:tcW w:w="2242"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29" w:right="234"/>
              <w:jc w:val="left"/>
              <w:rPr>
                <w:rFonts w:ascii="Swis721 Lt BT" w:hAnsi="Swis721 Lt BT" w:cs="Swis721 Lt BT" w:eastAsia="Swis721 Lt BT"/>
                <w:sz w:val="19"/>
                <w:szCs w:val="19"/>
              </w:rPr>
            </w:pPr>
            <w:r>
              <w:rPr>
                <w:rFonts w:ascii="Swis721 Lt BT"/>
                <w:color w:val="231F20"/>
                <w:sz w:val="19"/>
              </w:rPr>
              <w:t>Corporate Governance Statement</w:t>
            </w:r>
            <w:r>
              <w:rPr>
                <w:rFonts w:ascii="Swis721 Lt BT"/>
                <w:sz w:val="19"/>
              </w:rPr>
            </w:r>
          </w:p>
        </w:tc>
        <w:tc>
          <w:tcPr>
            <w:tcW w:w="835"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55" w:right="0"/>
              <w:jc w:val="left"/>
              <w:rPr>
                <w:rFonts w:ascii="Swis721 Lt BT" w:hAnsi="Swis721 Lt BT" w:cs="Swis721 Lt BT" w:eastAsia="Swis721 Lt BT"/>
                <w:sz w:val="19"/>
                <w:szCs w:val="19"/>
              </w:rPr>
            </w:pPr>
            <w:r>
              <w:rPr>
                <w:rFonts w:ascii="Swis721 Lt BT"/>
                <w:color w:val="231F20"/>
                <w:sz w:val="19"/>
              </w:rPr>
              <w:t>36</w:t>
            </w:r>
            <w:r>
              <w:rPr>
                <w:rFonts w:ascii="Swis721 Lt BT"/>
                <w:sz w:val="19"/>
              </w:rPr>
            </w:r>
          </w:p>
        </w:tc>
      </w:tr>
      <w:tr>
        <w:trPr>
          <w:trHeight w:val="604" w:hRule="exact"/>
        </w:trPr>
        <w:tc>
          <w:tcPr>
            <w:tcW w:w="3905"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113" w:right="262"/>
              <w:jc w:val="left"/>
              <w:rPr>
                <w:rFonts w:ascii="Swis721 Lt BT" w:hAnsi="Swis721 Lt BT" w:cs="Swis721 Lt BT" w:eastAsia="Swis721 Lt BT"/>
                <w:sz w:val="19"/>
                <w:szCs w:val="19"/>
              </w:rPr>
            </w:pPr>
            <w:r>
              <w:rPr>
                <w:rFonts w:ascii="Swis721 Lt BT"/>
                <w:color w:val="231F20"/>
                <w:sz w:val="19"/>
              </w:rPr>
              <w:t>The decision-making process undertaken by the Board in relation to transactions with</w:t>
            </w:r>
            <w:r>
              <w:rPr>
                <w:rFonts w:ascii="Swis721 Lt BT"/>
                <w:sz w:val="19"/>
              </w:rPr>
            </w:r>
          </w:p>
        </w:tc>
        <w:tc>
          <w:tcPr>
            <w:tcW w:w="1011"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233" w:right="0"/>
              <w:jc w:val="left"/>
              <w:rPr>
                <w:rFonts w:ascii="Swis721 Lt BT" w:hAnsi="Swis721 Lt BT" w:cs="Swis721 Lt BT" w:eastAsia="Swis721 Lt BT"/>
                <w:sz w:val="19"/>
                <w:szCs w:val="19"/>
              </w:rPr>
            </w:pPr>
            <w:r>
              <w:rPr>
                <w:rFonts w:ascii="Swis721 Lt BT"/>
                <w:color w:val="231F20"/>
                <w:sz w:val="19"/>
              </w:rPr>
              <w:t>28E(j)</w:t>
            </w:r>
            <w:r>
              <w:rPr>
                <w:rFonts w:ascii="Swis721 Lt BT"/>
                <w:sz w:val="19"/>
              </w:rPr>
            </w:r>
          </w:p>
        </w:tc>
        <w:tc>
          <w:tcPr>
            <w:tcW w:w="2242"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129" w:right="234"/>
              <w:jc w:val="left"/>
              <w:rPr>
                <w:rFonts w:ascii="Swis721 Lt BT" w:hAnsi="Swis721 Lt BT" w:cs="Swis721 Lt BT" w:eastAsia="Swis721 Lt BT"/>
                <w:sz w:val="19"/>
                <w:szCs w:val="19"/>
              </w:rPr>
            </w:pPr>
            <w:r>
              <w:rPr>
                <w:rFonts w:ascii="Swis721 Lt BT"/>
                <w:color w:val="231F20"/>
                <w:sz w:val="19"/>
              </w:rPr>
              <w:t>Corporate Governance Statement</w:t>
            </w:r>
            <w:r>
              <w:rPr>
                <w:rFonts w:ascii="Swis721 Lt BT"/>
                <w:sz w:val="19"/>
              </w:rPr>
            </w:r>
          </w:p>
        </w:tc>
        <w:tc>
          <w:tcPr>
            <w:tcW w:w="835"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154" w:right="0"/>
              <w:jc w:val="left"/>
              <w:rPr>
                <w:rFonts w:ascii="Swis721 Lt BT" w:hAnsi="Swis721 Lt BT" w:cs="Swis721 Lt BT" w:eastAsia="Swis721 Lt BT"/>
                <w:sz w:val="19"/>
                <w:szCs w:val="19"/>
              </w:rPr>
            </w:pPr>
            <w:r>
              <w:rPr>
                <w:rFonts w:ascii="Swis721 Lt BT"/>
                <w:color w:val="231F20"/>
                <w:sz w:val="19"/>
              </w:rPr>
              <w:t>30</w:t>
            </w:r>
            <w:r>
              <w:rPr>
                <w:rFonts w:ascii="Swis721 Lt BT"/>
                <w:sz w:val="19"/>
              </w:rPr>
            </w:r>
          </w:p>
        </w:tc>
      </w:tr>
      <w:tr>
        <w:trPr>
          <w:trHeight w:val="345" w:hRule="exact"/>
        </w:trPr>
        <w:tc>
          <w:tcPr>
            <w:tcW w:w="3905" w:type="dxa"/>
            <w:tcBorders>
              <w:top w:val="nil" w:sz="6" w:space="0" w:color="auto"/>
              <w:left w:val="nil" w:sz="6" w:space="0" w:color="auto"/>
              <w:bottom w:val="single" w:sz="2" w:space="0" w:color="71797F"/>
              <w:right w:val="nil" w:sz="6" w:space="0" w:color="auto"/>
            </w:tcBorders>
          </w:tcPr>
          <w:p>
            <w:pPr>
              <w:pStyle w:val="TableParagraph"/>
              <w:spacing w:line="160" w:lineRule="exact"/>
              <w:ind w:left="113" w:right="0"/>
              <w:jc w:val="left"/>
              <w:rPr>
                <w:rFonts w:ascii="Swis721 Lt BT" w:hAnsi="Swis721 Lt BT" w:cs="Swis721 Lt BT" w:eastAsia="Swis721 Lt BT"/>
                <w:sz w:val="19"/>
                <w:szCs w:val="19"/>
              </w:rPr>
            </w:pPr>
            <w:r>
              <w:rPr>
                <w:rFonts w:ascii="Swis721 Lt BT"/>
                <w:color w:val="231F20"/>
                <w:sz w:val="19"/>
              </w:rPr>
              <w:t>related entities</w:t>
            </w:r>
            <w:r>
              <w:rPr>
                <w:rFonts w:ascii="Swis721 Lt BT"/>
                <w:sz w:val="19"/>
              </w:rPr>
            </w:r>
          </w:p>
        </w:tc>
        <w:tc>
          <w:tcPr>
            <w:tcW w:w="1011" w:type="dxa"/>
            <w:tcBorders>
              <w:top w:val="nil" w:sz="6" w:space="0" w:color="auto"/>
              <w:left w:val="nil" w:sz="6" w:space="0" w:color="auto"/>
              <w:bottom w:val="single" w:sz="2" w:space="0" w:color="71797F"/>
              <w:right w:val="nil" w:sz="6" w:space="0" w:color="auto"/>
            </w:tcBorders>
          </w:tcPr>
          <w:p>
            <w:pPr/>
          </w:p>
        </w:tc>
        <w:tc>
          <w:tcPr>
            <w:tcW w:w="2242" w:type="dxa"/>
            <w:tcBorders>
              <w:top w:val="nil" w:sz="6" w:space="0" w:color="auto"/>
              <w:left w:val="nil" w:sz="6" w:space="0" w:color="auto"/>
              <w:bottom w:val="single" w:sz="2" w:space="0" w:color="71797F"/>
              <w:right w:val="nil" w:sz="6" w:space="0" w:color="auto"/>
            </w:tcBorders>
          </w:tcPr>
          <w:p>
            <w:pPr>
              <w:pStyle w:val="TableParagraph"/>
              <w:spacing w:line="240" w:lineRule="auto" w:before="45"/>
              <w:ind w:left="129" w:right="0"/>
              <w:jc w:val="left"/>
              <w:rPr>
                <w:rFonts w:ascii="Swis721 Lt BT" w:hAnsi="Swis721 Lt BT" w:cs="Swis721 Lt BT" w:eastAsia="Swis721 Lt BT"/>
                <w:sz w:val="19"/>
                <w:szCs w:val="19"/>
              </w:rPr>
            </w:pPr>
            <w:r>
              <w:rPr>
                <w:rFonts w:ascii="Swis721 Lt BT"/>
                <w:color w:val="231F20"/>
                <w:spacing w:val="-4"/>
                <w:sz w:val="19"/>
              </w:rPr>
              <w:t>Financial</w:t>
            </w:r>
            <w:r>
              <w:rPr>
                <w:rFonts w:ascii="Swis721 Lt BT"/>
                <w:color w:val="231F20"/>
                <w:spacing w:val="-8"/>
                <w:sz w:val="19"/>
              </w:rPr>
              <w:t> </w:t>
            </w:r>
            <w:r>
              <w:rPr>
                <w:rFonts w:ascii="Swis721 Lt BT"/>
                <w:color w:val="231F20"/>
                <w:spacing w:val="-4"/>
                <w:sz w:val="19"/>
              </w:rPr>
              <w:t>Report</w:t>
            </w:r>
            <w:r>
              <w:rPr>
                <w:rFonts w:ascii="Swis721 Lt BT"/>
                <w:color w:val="231F20"/>
                <w:spacing w:val="-8"/>
                <w:sz w:val="19"/>
              </w:rPr>
              <w:t> </w:t>
            </w:r>
            <w:r>
              <w:rPr>
                <w:rFonts w:ascii="Swis721 Lt BT"/>
                <w:color w:val="231F20"/>
                <w:spacing w:val="-4"/>
                <w:sz w:val="19"/>
              </w:rPr>
              <w:t>(Note</w:t>
            </w:r>
            <w:r>
              <w:rPr>
                <w:rFonts w:ascii="Swis721 Lt BT"/>
                <w:color w:val="231F20"/>
                <w:spacing w:val="-8"/>
                <w:sz w:val="19"/>
              </w:rPr>
              <w:t> </w:t>
            </w:r>
            <w:r>
              <w:rPr>
                <w:rFonts w:ascii="Swis721 Lt BT"/>
                <w:color w:val="231F20"/>
                <w:sz w:val="19"/>
              </w:rPr>
              <w:t>9)</w:t>
            </w:r>
            <w:r>
              <w:rPr>
                <w:rFonts w:ascii="Swis721 Lt BT"/>
                <w:sz w:val="19"/>
              </w:rPr>
            </w:r>
          </w:p>
        </w:tc>
        <w:tc>
          <w:tcPr>
            <w:tcW w:w="835" w:type="dxa"/>
            <w:tcBorders>
              <w:top w:val="nil" w:sz="6" w:space="0" w:color="auto"/>
              <w:left w:val="nil" w:sz="6" w:space="0" w:color="auto"/>
              <w:bottom w:val="single" w:sz="2" w:space="0" w:color="71797F"/>
              <w:right w:val="nil" w:sz="6" w:space="0" w:color="auto"/>
            </w:tcBorders>
          </w:tcPr>
          <w:p>
            <w:pPr>
              <w:pStyle w:val="TableParagraph"/>
              <w:spacing w:line="240" w:lineRule="auto" w:before="45"/>
              <w:ind w:left="154" w:right="0"/>
              <w:jc w:val="left"/>
              <w:rPr>
                <w:rFonts w:ascii="Swis721 Lt BT" w:hAnsi="Swis721 Lt BT" w:cs="Swis721 Lt BT" w:eastAsia="Swis721 Lt BT"/>
                <w:sz w:val="19"/>
                <w:szCs w:val="19"/>
              </w:rPr>
            </w:pPr>
            <w:r>
              <w:rPr>
                <w:rFonts w:ascii="Swis721 Lt BT"/>
                <w:color w:val="231F20"/>
                <w:sz w:val="19"/>
              </w:rPr>
              <w:t>65</w:t>
            </w:r>
            <w:r>
              <w:rPr>
                <w:rFonts w:ascii="Swis721 Lt BT"/>
                <w:sz w:val="19"/>
              </w:rPr>
            </w:r>
          </w:p>
        </w:tc>
      </w:tr>
      <w:tr>
        <w:trPr>
          <w:trHeight w:val="604" w:hRule="exact"/>
        </w:trPr>
        <w:tc>
          <w:tcPr>
            <w:tcW w:w="3905"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113" w:right="78"/>
              <w:jc w:val="left"/>
              <w:rPr>
                <w:rFonts w:ascii="Swis721 Lt BT" w:hAnsi="Swis721 Lt BT" w:cs="Swis721 Lt BT" w:eastAsia="Swis721 Lt BT"/>
                <w:sz w:val="19"/>
                <w:szCs w:val="19"/>
              </w:rPr>
            </w:pPr>
            <w:r>
              <w:rPr>
                <w:rFonts w:ascii="Swis721 Lt BT"/>
                <w:color w:val="231F20"/>
                <w:sz w:val="19"/>
              </w:rPr>
              <w:t>Number and aggregate value of related entity transactions</w:t>
            </w:r>
            <w:r>
              <w:rPr>
                <w:rFonts w:ascii="Swis721 Lt BT"/>
                <w:sz w:val="19"/>
              </w:rPr>
            </w:r>
          </w:p>
        </w:tc>
        <w:tc>
          <w:tcPr>
            <w:tcW w:w="1011"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233" w:right="0"/>
              <w:jc w:val="left"/>
              <w:rPr>
                <w:rFonts w:ascii="Swis721 Lt BT" w:hAnsi="Swis721 Lt BT" w:cs="Swis721 Lt BT" w:eastAsia="Swis721 Lt BT"/>
                <w:sz w:val="19"/>
                <w:szCs w:val="19"/>
              </w:rPr>
            </w:pPr>
            <w:r>
              <w:rPr>
                <w:rFonts w:ascii="Swis721 Lt BT"/>
                <w:color w:val="231F20"/>
                <w:sz w:val="19"/>
              </w:rPr>
              <w:t>28E(k)</w:t>
            </w:r>
            <w:r>
              <w:rPr>
                <w:rFonts w:ascii="Swis721 Lt BT"/>
                <w:sz w:val="19"/>
              </w:rPr>
            </w:r>
          </w:p>
        </w:tc>
        <w:tc>
          <w:tcPr>
            <w:tcW w:w="2242"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129" w:right="234"/>
              <w:jc w:val="left"/>
              <w:rPr>
                <w:rFonts w:ascii="Swis721 Lt BT" w:hAnsi="Swis721 Lt BT" w:cs="Swis721 Lt BT" w:eastAsia="Swis721 Lt BT"/>
                <w:sz w:val="19"/>
                <w:szCs w:val="19"/>
              </w:rPr>
            </w:pPr>
            <w:r>
              <w:rPr>
                <w:rFonts w:ascii="Swis721 Lt BT"/>
                <w:color w:val="231F20"/>
                <w:sz w:val="19"/>
              </w:rPr>
              <w:t>Corporate Governance Statement</w:t>
            </w:r>
            <w:r>
              <w:rPr>
                <w:rFonts w:ascii="Swis721 Lt BT"/>
                <w:sz w:val="19"/>
              </w:rPr>
            </w:r>
          </w:p>
        </w:tc>
        <w:tc>
          <w:tcPr>
            <w:tcW w:w="835"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154" w:right="0"/>
              <w:jc w:val="left"/>
              <w:rPr>
                <w:rFonts w:ascii="Swis721 Lt BT" w:hAnsi="Swis721 Lt BT" w:cs="Swis721 Lt BT" w:eastAsia="Swis721 Lt BT"/>
                <w:sz w:val="19"/>
                <w:szCs w:val="19"/>
              </w:rPr>
            </w:pPr>
            <w:r>
              <w:rPr>
                <w:rFonts w:ascii="Swis721 Lt BT"/>
                <w:color w:val="231F20"/>
                <w:sz w:val="19"/>
              </w:rPr>
              <w:t>30</w:t>
            </w:r>
            <w:r>
              <w:rPr>
                <w:rFonts w:ascii="Swis721 Lt BT"/>
                <w:sz w:val="19"/>
              </w:rPr>
            </w:r>
          </w:p>
        </w:tc>
      </w:tr>
      <w:tr>
        <w:trPr>
          <w:trHeight w:val="345" w:hRule="exact"/>
        </w:trPr>
        <w:tc>
          <w:tcPr>
            <w:tcW w:w="3905" w:type="dxa"/>
            <w:tcBorders>
              <w:top w:val="nil" w:sz="6" w:space="0" w:color="auto"/>
              <w:left w:val="nil" w:sz="6" w:space="0" w:color="auto"/>
              <w:bottom w:val="single" w:sz="2" w:space="0" w:color="71797F"/>
              <w:right w:val="nil" w:sz="6" w:space="0" w:color="auto"/>
            </w:tcBorders>
          </w:tcPr>
          <w:p>
            <w:pPr/>
          </w:p>
        </w:tc>
        <w:tc>
          <w:tcPr>
            <w:tcW w:w="1011" w:type="dxa"/>
            <w:tcBorders>
              <w:top w:val="nil" w:sz="6" w:space="0" w:color="auto"/>
              <w:left w:val="nil" w:sz="6" w:space="0" w:color="auto"/>
              <w:bottom w:val="single" w:sz="2" w:space="0" w:color="71797F"/>
              <w:right w:val="nil" w:sz="6" w:space="0" w:color="auto"/>
            </w:tcBorders>
          </w:tcPr>
          <w:p>
            <w:pPr/>
          </w:p>
        </w:tc>
        <w:tc>
          <w:tcPr>
            <w:tcW w:w="2242" w:type="dxa"/>
            <w:tcBorders>
              <w:top w:val="nil" w:sz="6" w:space="0" w:color="auto"/>
              <w:left w:val="nil" w:sz="6" w:space="0" w:color="auto"/>
              <w:bottom w:val="single" w:sz="2" w:space="0" w:color="71797F"/>
              <w:right w:val="nil" w:sz="6" w:space="0" w:color="auto"/>
            </w:tcBorders>
          </w:tcPr>
          <w:p>
            <w:pPr>
              <w:pStyle w:val="TableParagraph"/>
              <w:spacing w:line="240" w:lineRule="auto" w:before="45"/>
              <w:ind w:left="129" w:right="0"/>
              <w:jc w:val="left"/>
              <w:rPr>
                <w:rFonts w:ascii="Swis721 Lt BT" w:hAnsi="Swis721 Lt BT" w:cs="Swis721 Lt BT" w:eastAsia="Swis721 Lt BT"/>
                <w:sz w:val="19"/>
                <w:szCs w:val="19"/>
              </w:rPr>
            </w:pPr>
            <w:r>
              <w:rPr>
                <w:rFonts w:ascii="Swis721 Lt BT"/>
                <w:color w:val="231F20"/>
                <w:spacing w:val="-4"/>
                <w:sz w:val="19"/>
              </w:rPr>
              <w:t>Financial</w:t>
            </w:r>
            <w:r>
              <w:rPr>
                <w:rFonts w:ascii="Swis721 Lt BT"/>
                <w:color w:val="231F20"/>
                <w:spacing w:val="-8"/>
                <w:sz w:val="19"/>
              </w:rPr>
              <w:t> </w:t>
            </w:r>
            <w:r>
              <w:rPr>
                <w:rFonts w:ascii="Swis721 Lt BT"/>
                <w:color w:val="231F20"/>
                <w:spacing w:val="-4"/>
                <w:sz w:val="19"/>
              </w:rPr>
              <w:t>Report</w:t>
            </w:r>
            <w:r>
              <w:rPr>
                <w:rFonts w:ascii="Swis721 Lt BT"/>
                <w:color w:val="231F20"/>
                <w:spacing w:val="-8"/>
                <w:sz w:val="19"/>
              </w:rPr>
              <w:t> </w:t>
            </w:r>
            <w:r>
              <w:rPr>
                <w:rFonts w:ascii="Swis721 Lt BT"/>
                <w:color w:val="231F20"/>
                <w:spacing w:val="-4"/>
                <w:sz w:val="19"/>
              </w:rPr>
              <w:t>(Note</w:t>
            </w:r>
            <w:r>
              <w:rPr>
                <w:rFonts w:ascii="Swis721 Lt BT"/>
                <w:color w:val="231F20"/>
                <w:spacing w:val="-8"/>
                <w:sz w:val="19"/>
              </w:rPr>
              <w:t> </w:t>
            </w:r>
            <w:r>
              <w:rPr>
                <w:rFonts w:ascii="Swis721 Lt BT"/>
                <w:color w:val="231F20"/>
                <w:sz w:val="19"/>
              </w:rPr>
              <w:t>9)</w:t>
            </w:r>
            <w:r>
              <w:rPr>
                <w:rFonts w:ascii="Swis721 Lt BT"/>
                <w:sz w:val="19"/>
              </w:rPr>
            </w:r>
          </w:p>
        </w:tc>
        <w:tc>
          <w:tcPr>
            <w:tcW w:w="835" w:type="dxa"/>
            <w:tcBorders>
              <w:top w:val="nil" w:sz="6" w:space="0" w:color="auto"/>
              <w:left w:val="nil" w:sz="6" w:space="0" w:color="auto"/>
              <w:bottom w:val="single" w:sz="2" w:space="0" w:color="71797F"/>
              <w:right w:val="nil" w:sz="6" w:space="0" w:color="auto"/>
            </w:tcBorders>
          </w:tcPr>
          <w:p>
            <w:pPr>
              <w:pStyle w:val="TableParagraph"/>
              <w:spacing w:line="240" w:lineRule="auto" w:before="45"/>
              <w:ind w:left="154" w:right="0"/>
              <w:jc w:val="left"/>
              <w:rPr>
                <w:rFonts w:ascii="Swis721 Lt BT" w:hAnsi="Swis721 Lt BT" w:cs="Swis721 Lt BT" w:eastAsia="Swis721 Lt BT"/>
                <w:sz w:val="19"/>
                <w:szCs w:val="19"/>
              </w:rPr>
            </w:pPr>
            <w:r>
              <w:rPr>
                <w:rFonts w:ascii="Swis721 Lt BT"/>
                <w:color w:val="231F20"/>
                <w:sz w:val="19"/>
              </w:rPr>
              <w:t>65</w:t>
            </w:r>
            <w:r>
              <w:rPr>
                <w:rFonts w:ascii="Swis721 Lt BT"/>
                <w:sz w:val="19"/>
              </w:rPr>
            </w:r>
          </w:p>
        </w:tc>
      </w:tr>
      <w:tr>
        <w:trPr>
          <w:trHeight w:val="376" w:hRule="exact"/>
        </w:trPr>
        <w:tc>
          <w:tcPr>
            <w:tcW w:w="3905"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112" w:right="0"/>
              <w:jc w:val="left"/>
              <w:rPr>
                <w:rFonts w:ascii="Swis721 Lt BT" w:hAnsi="Swis721 Lt BT" w:cs="Swis721 Lt BT" w:eastAsia="Swis721 Lt BT"/>
                <w:sz w:val="19"/>
                <w:szCs w:val="19"/>
              </w:rPr>
            </w:pPr>
            <w:r>
              <w:rPr>
                <w:rFonts w:ascii="Swis721 Lt BT"/>
                <w:color w:val="231F20"/>
                <w:sz w:val="19"/>
              </w:rPr>
              <w:t>Any key activities and changes that affected</w:t>
            </w:r>
            <w:r>
              <w:rPr>
                <w:rFonts w:ascii="Swis721 Lt BT"/>
                <w:sz w:val="19"/>
              </w:rPr>
            </w:r>
          </w:p>
        </w:tc>
        <w:tc>
          <w:tcPr>
            <w:tcW w:w="1011"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233" w:right="0"/>
              <w:jc w:val="left"/>
              <w:rPr>
                <w:rFonts w:ascii="Swis721 Lt BT" w:hAnsi="Swis721 Lt BT" w:cs="Swis721 Lt BT" w:eastAsia="Swis721 Lt BT"/>
                <w:sz w:val="19"/>
                <w:szCs w:val="19"/>
              </w:rPr>
            </w:pPr>
            <w:r>
              <w:rPr>
                <w:rFonts w:ascii="Swis721 Lt BT"/>
                <w:color w:val="231F20"/>
                <w:sz w:val="19"/>
              </w:rPr>
              <w:t>28E(l)</w:t>
            </w:r>
            <w:r>
              <w:rPr>
                <w:rFonts w:ascii="Swis721 Lt BT"/>
                <w:sz w:val="19"/>
              </w:rPr>
            </w:r>
          </w:p>
        </w:tc>
        <w:tc>
          <w:tcPr>
            <w:tcW w:w="2242"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128" w:right="0"/>
              <w:jc w:val="left"/>
              <w:rPr>
                <w:rFonts w:ascii="Swis721 Lt BT" w:hAnsi="Swis721 Lt BT" w:cs="Swis721 Lt BT" w:eastAsia="Swis721 Lt BT"/>
                <w:sz w:val="19"/>
                <w:szCs w:val="19"/>
              </w:rPr>
            </w:pPr>
            <w:r>
              <w:rPr>
                <w:rFonts w:ascii="Swis721 Lt BT"/>
                <w:color w:val="231F20"/>
                <w:spacing w:val="-1"/>
                <w:sz w:val="19"/>
              </w:rPr>
              <w:t>From</w:t>
            </w:r>
            <w:r>
              <w:rPr>
                <w:rFonts w:ascii="Swis721 Lt BT"/>
                <w:color w:val="231F20"/>
                <w:sz w:val="19"/>
              </w:rPr>
              <w:t> the Chair</w:t>
            </w:r>
            <w:r>
              <w:rPr>
                <w:rFonts w:ascii="Swis721 Lt BT"/>
                <w:sz w:val="19"/>
              </w:rPr>
            </w:r>
          </w:p>
        </w:tc>
        <w:tc>
          <w:tcPr>
            <w:tcW w:w="835"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154" w:right="0"/>
              <w:jc w:val="left"/>
              <w:rPr>
                <w:rFonts w:ascii="Swis721 Lt BT" w:hAnsi="Swis721 Lt BT" w:cs="Swis721 Lt BT" w:eastAsia="Swis721 Lt BT"/>
                <w:sz w:val="19"/>
                <w:szCs w:val="19"/>
              </w:rPr>
            </w:pPr>
            <w:r>
              <w:rPr>
                <w:rFonts w:ascii="Swis721 Lt BT"/>
                <w:color w:val="231F20"/>
                <w:sz w:val="19"/>
              </w:rPr>
              <w:t>5</w:t>
            </w:r>
            <w:r>
              <w:rPr>
                <w:rFonts w:ascii="Swis721 Lt BT"/>
                <w:sz w:val="19"/>
              </w:rPr>
            </w:r>
          </w:p>
        </w:tc>
      </w:tr>
      <w:tr>
        <w:trPr>
          <w:trHeight w:val="341" w:hRule="exact"/>
        </w:trPr>
        <w:tc>
          <w:tcPr>
            <w:tcW w:w="3905" w:type="dxa"/>
            <w:tcBorders>
              <w:top w:val="nil" w:sz="6" w:space="0" w:color="auto"/>
              <w:left w:val="nil" w:sz="6" w:space="0" w:color="auto"/>
              <w:bottom w:val="nil" w:sz="6" w:space="0" w:color="auto"/>
              <w:right w:val="nil" w:sz="6" w:space="0" w:color="auto"/>
            </w:tcBorders>
          </w:tcPr>
          <w:p>
            <w:pPr>
              <w:pStyle w:val="TableParagraph"/>
              <w:spacing w:line="160" w:lineRule="exact"/>
              <w:ind w:left="112" w:right="0"/>
              <w:jc w:val="left"/>
              <w:rPr>
                <w:rFonts w:ascii="Swis721 Lt BT" w:hAnsi="Swis721 Lt BT" w:cs="Swis721 Lt BT" w:eastAsia="Swis721 Lt BT"/>
                <w:sz w:val="19"/>
                <w:szCs w:val="19"/>
              </w:rPr>
            </w:pPr>
            <w:r>
              <w:rPr>
                <w:rFonts w:ascii="Swis721 Lt BT"/>
                <w:color w:val="231F20"/>
                <w:sz w:val="19"/>
              </w:rPr>
              <w:t>the operations or structure of the organisation</w:t>
            </w:r>
            <w:r>
              <w:rPr>
                <w:rFonts w:ascii="Swis721 Lt BT"/>
                <w:sz w:val="19"/>
              </w:rPr>
            </w:r>
          </w:p>
        </w:tc>
        <w:tc>
          <w:tcPr>
            <w:tcW w:w="1011" w:type="dxa"/>
            <w:tcBorders>
              <w:top w:val="nil" w:sz="6" w:space="0" w:color="auto"/>
              <w:left w:val="nil" w:sz="6" w:space="0" w:color="auto"/>
              <w:bottom w:val="nil" w:sz="6" w:space="0" w:color="auto"/>
              <w:right w:val="nil" w:sz="6" w:space="0" w:color="auto"/>
            </w:tcBorders>
          </w:tcPr>
          <w:p>
            <w:pPr/>
          </w:p>
        </w:tc>
        <w:tc>
          <w:tcPr>
            <w:tcW w:w="2242" w:type="dxa"/>
            <w:tcBorders>
              <w:top w:val="nil" w:sz="6" w:space="0" w:color="auto"/>
              <w:left w:val="nil" w:sz="6" w:space="0" w:color="auto"/>
              <w:bottom w:val="nil" w:sz="6" w:space="0" w:color="auto"/>
              <w:right w:val="nil" w:sz="6" w:space="0" w:color="auto"/>
            </w:tcBorders>
          </w:tcPr>
          <w:p>
            <w:pPr>
              <w:pStyle w:val="TableParagraph"/>
              <w:spacing w:line="240" w:lineRule="auto" w:before="45"/>
              <w:ind w:left="128" w:right="0"/>
              <w:jc w:val="left"/>
              <w:rPr>
                <w:rFonts w:ascii="Swis721 Lt BT" w:hAnsi="Swis721 Lt BT" w:cs="Swis721 Lt BT" w:eastAsia="Swis721 Lt BT"/>
                <w:sz w:val="19"/>
                <w:szCs w:val="19"/>
              </w:rPr>
            </w:pPr>
            <w:r>
              <w:rPr>
                <w:rFonts w:ascii="Swis721 Lt BT" w:hAnsi="Swis721 Lt BT" w:cs="Swis721 Lt BT" w:eastAsia="Swis721 Lt BT"/>
                <w:color w:val="231F20"/>
                <w:sz w:val="19"/>
                <w:szCs w:val="19"/>
              </w:rPr>
              <w:t>Directors’ Report</w:t>
            </w:r>
            <w:r>
              <w:rPr>
                <w:rFonts w:ascii="Swis721 Lt BT" w:hAnsi="Swis721 Lt BT" w:cs="Swis721 Lt BT" w:eastAsia="Swis721 Lt BT"/>
                <w:sz w:val="19"/>
                <w:szCs w:val="19"/>
              </w:rPr>
            </w:r>
          </w:p>
        </w:tc>
        <w:tc>
          <w:tcPr>
            <w:tcW w:w="835" w:type="dxa"/>
            <w:tcBorders>
              <w:top w:val="nil" w:sz="6" w:space="0" w:color="auto"/>
              <w:left w:val="nil" w:sz="6" w:space="0" w:color="auto"/>
              <w:bottom w:val="nil" w:sz="6" w:space="0" w:color="auto"/>
              <w:right w:val="nil" w:sz="6" w:space="0" w:color="auto"/>
            </w:tcBorders>
          </w:tcPr>
          <w:p>
            <w:pPr>
              <w:pStyle w:val="TableParagraph"/>
              <w:spacing w:line="240" w:lineRule="auto" w:before="45"/>
              <w:ind w:left="154" w:right="0"/>
              <w:jc w:val="left"/>
              <w:rPr>
                <w:rFonts w:ascii="Swis721 Lt BT" w:hAnsi="Swis721 Lt BT" w:cs="Swis721 Lt BT" w:eastAsia="Swis721 Lt BT"/>
                <w:sz w:val="19"/>
                <w:szCs w:val="19"/>
              </w:rPr>
            </w:pPr>
            <w:r>
              <w:rPr>
                <w:rFonts w:ascii="Swis721 Lt BT"/>
                <w:color w:val="231F20"/>
                <w:sz w:val="19"/>
              </w:rPr>
              <w:t>45</w:t>
            </w:r>
            <w:r>
              <w:rPr>
                <w:rFonts w:ascii="Swis721 Lt BT"/>
                <w:sz w:val="19"/>
              </w:rPr>
            </w:r>
          </w:p>
        </w:tc>
      </w:tr>
      <w:tr>
        <w:trPr>
          <w:trHeight w:val="573" w:hRule="exact"/>
        </w:trPr>
        <w:tc>
          <w:tcPr>
            <w:tcW w:w="3905" w:type="dxa"/>
            <w:tcBorders>
              <w:top w:val="nil" w:sz="6" w:space="0" w:color="auto"/>
              <w:left w:val="nil" w:sz="6" w:space="0" w:color="auto"/>
              <w:bottom w:val="single" w:sz="2" w:space="0" w:color="71797F"/>
              <w:right w:val="nil" w:sz="6" w:space="0" w:color="auto"/>
            </w:tcBorders>
          </w:tcPr>
          <w:p>
            <w:pPr/>
          </w:p>
        </w:tc>
        <w:tc>
          <w:tcPr>
            <w:tcW w:w="1011" w:type="dxa"/>
            <w:tcBorders>
              <w:top w:val="nil" w:sz="6" w:space="0" w:color="auto"/>
              <w:left w:val="nil" w:sz="6" w:space="0" w:color="auto"/>
              <w:bottom w:val="single" w:sz="2" w:space="0" w:color="71797F"/>
              <w:right w:val="nil" w:sz="6" w:space="0" w:color="auto"/>
            </w:tcBorders>
          </w:tcPr>
          <w:p>
            <w:pPr/>
          </w:p>
        </w:tc>
        <w:tc>
          <w:tcPr>
            <w:tcW w:w="2242" w:type="dxa"/>
            <w:tcBorders>
              <w:top w:val="nil" w:sz="6" w:space="0" w:color="auto"/>
              <w:left w:val="nil" w:sz="6" w:space="0" w:color="auto"/>
              <w:bottom w:val="single" w:sz="2" w:space="0" w:color="71797F"/>
              <w:right w:val="nil" w:sz="6" w:space="0" w:color="auto"/>
            </w:tcBorders>
          </w:tcPr>
          <w:p>
            <w:pPr>
              <w:pStyle w:val="TableParagraph"/>
              <w:spacing w:line="240" w:lineRule="auto" w:before="45"/>
              <w:ind w:left="128" w:right="190"/>
              <w:jc w:val="left"/>
              <w:rPr>
                <w:rFonts w:ascii="Swis721 Lt BT" w:hAnsi="Swis721 Lt BT" w:cs="Swis721 Lt BT" w:eastAsia="Swis721 Lt BT"/>
                <w:sz w:val="19"/>
                <w:szCs w:val="19"/>
              </w:rPr>
            </w:pPr>
            <w:r>
              <w:rPr>
                <w:rFonts w:ascii="Swis721 Lt BT"/>
                <w:color w:val="231F20"/>
                <w:sz w:val="19"/>
              </w:rPr>
              <w:t>Appendix 1: AITSL organisational structure</w:t>
            </w:r>
            <w:r>
              <w:rPr>
                <w:rFonts w:ascii="Swis721 Lt BT"/>
                <w:sz w:val="19"/>
              </w:rPr>
            </w:r>
          </w:p>
        </w:tc>
        <w:tc>
          <w:tcPr>
            <w:tcW w:w="835" w:type="dxa"/>
            <w:tcBorders>
              <w:top w:val="nil" w:sz="6" w:space="0" w:color="auto"/>
              <w:left w:val="nil" w:sz="6" w:space="0" w:color="auto"/>
              <w:bottom w:val="single" w:sz="2" w:space="0" w:color="71797F"/>
              <w:right w:val="nil" w:sz="6" w:space="0" w:color="auto"/>
            </w:tcBorders>
          </w:tcPr>
          <w:p>
            <w:pPr>
              <w:pStyle w:val="TableParagraph"/>
              <w:spacing w:line="240" w:lineRule="auto" w:before="45"/>
              <w:ind w:left="154" w:right="0"/>
              <w:jc w:val="left"/>
              <w:rPr>
                <w:rFonts w:ascii="Swis721 Lt BT" w:hAnsi="Swis721 Lt BT" w:cs="Swis721 Lt BT" w:eastAsia="Swis721 Lt BT"/>
                <w:sz w:val="19"/>
                <w:szCs w:val="19"/>
              </w:rPr>
            </w:pPr>
            <w:r>
              <w:rPr>
                <w:rFonts w:ascii="Swis721 Lt BT"/>
                <w:color w:val="231F20"/>
                <w:sz w:val="19"/>
              </w:rPr>
              <w:t>78</w:t>
            </w:r>
            <w:r>
              <w:rPr>
                <w:rFonts w:ascii="Swis721 Lt BT"/>
                <w:sz w:val="19"/>
              </w:rPr>
            </w:r>
          </w:p>
        </w:tc>
      </w:tr>
      <w:tr>
        <w:trPr>
          <w:trHeight w:val="1063" w:hRule="exact"/>
        </w:trPr>
        <w:tc>
          <w:tcPr>
            <w:tcW w:w="3905"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12" w:right="176"/>
              <w:jc w:val="left"/>
              <w:rPr>
                <w:rFonts w:ascii="Swis721 Lt BT" w:hAnsi="Swis721 Lt BT" w:cs="Swis721 Lt BT" w:eastAsia="Swis721 Lt BT"/>
                <w:sz w:val="19"/>
                <w:szCs w:val="19"/>
              </w:rPr>
            </w:pPr>
            <w:r>
              <w:rPr>
                <w:rFonts w:ascii="Swis721 Lt BT"/>
                <w:color w:val="231F20"/>
                <w:sz w:val="19"/>
              </w:rPr>
              <w:t>The annual report provides details of judicial decisions and decisions of administrative tribunals that have had, or may have, significant</w:t>
            </w:r>
            <w:r>
              <w:rPr>
                <w:rFonts w:ascii="Swis721 Lt BT"/>
                <w:color w:val="231F20"/>
                <w:spacing w:val="-3"/>
                <w:sz w:val="19"/>
              </w:rPr>
              <w:t> </w:t>
            </w:r>
            <w:r>
              <w:rPr>
                <w:rFonts w:ascii="Swis721 Lt BT"/>
                <w:color w:val="231F20"/>
                <w:sz w:val="19"/>
              </w:rPr>
              <w:t>impact</w:t>
            </w:r>
            <w:r>
              <w:rPr>
                <w:rFonts w:ascii="Swis721 Lt BT"/>
                <w:color w:val="231F20"/>
                <w:spacing w:val="-2"/>
                <w:sz w:val="19"/>
              </w:rPr>
              <w:t> </w:t>
            </w:r>
            <w:r>
              <w:rPr>
                <w:rFonts w:ascii="Swis721 Lt BT"/>
                <w:color w:val="231F20"/>
                <w:sz w:val="19"/>
              </w:rPr>
              <w:t>on</w:t>
            </w:r>
            <w:r>
              <w:rPr>
                <w:rFonts w:ascii="Swis721 Lt BT"/>
                <w:color w:val="231F20"/>
                <w:spacing w:val="-2"/>
                <w:sz w:val="19"/>
              </w:rPr>
              <w:t> </w:t>
            </w:r>
            <w:r>
              <w:rPr>
                <w:rFonts w:ascii="Swis721 Lt BT"/>
                <w:color w:val="231F20"/>
                <w:sz w:val="19"/>
              </w:rPr>
              <w:t>the</w:t>
            </w:r>
            <w:r>
              <w:rPr>
                <w:rFonts w:ascii="Swis721 Lt BT"/>
                <w:color w:val="231F20"/>
                <w:spacing w:val="-2"/>
                <w:sz w:val="19"/>
              </w:rPr>
              <w:t> </w:t>
            </w:r>
            <w:r>
              <w:rPr>
                <w:rFonts w:ascii="Swis721 Lt BT"/>
                <w:color w:val="231F20"/>
                <w:sz w:val="19"/>
              </w:rPr>
              <w:t>operations</w:t>
            </w:r>
            <w:r>
              <w:rPr>
                <w:rFonts w:ascii="Swis721 Lt BT"/>
                <w:sz w:val="19"/>
              </w:rPr>
            </w:r>
          </w:p>
        </w:tc>
        <w:tc>
          <w:tcPr>
            <w:tcW w:w="1011"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232" w:right="0"/>
              <w:jc w:val="left"/>
              <w:rPr>
                <w:rFonts w:ascii="Swis721 Lt BT" w:hAnsi="Swis721 Lt BT" w:cs="Swis721 Lt BT" w:eastAsia="Swis721 Lt BT"/>
                <w:sz w:val="19"/>
                <w:szCs w:val="19"/>
              </w:rPr>
            </w:pPr>
            <w:r>
              <w:rPr>
                <w:rFonts w:ascii="Swis721 Lt BT"/>
                <w:color w:val="231F20"/>
                <w:sz w:val="19"/>
              </w:rPr>
              <w:t>28E(m)</w:t>
            </w:r>
            <w:r>
              <w:rPr>
                <w:rFonts w:ascii="Swis721 Lt BT"/>
                <w:sz w:val="19"/>
              </w:rPr>
            </w:r>
          </w:p>
        </w:tc>
        <w:tc>
          <w:tcPr>
            <w:tcW w:w="2242"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28" w:right="0"/>
              <w:jc w:val="left"/>
              <w:rPr>
                <w:rFonts w:ascii="Swis721 Lt BT" w:hAnsi="Swis721 Lt BT" w:cs="Swis721 Lt BT" w:eastAsia="Swis721 Lt BT"/>
                <w:sz w:val="19"/>
                <w:szCs w:val="19"/>
              </w:rPr>
            </w:pPr>
            <w:r>
              <w:rPr>
                <w:rFonts w:ascii="Swis721 Lt BT"/>
                <w:color w:val="231F20"/>
                <w:sz w:val="19"/>
              </w:rPr>
              <w:t>N/A</w:t>
            </w:r>
            <w:r>
              <w:rPr>
                <w:rFonts w:ascii="Swis721 Lt BT"/>
                <w:sz w:val="19"/>
              </w:rPr>
            </w:r>
          </w:p>
        </w:tc>
        <w:tc>
          <w:tcPr>
            <w:tcW w:w="835"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54" w:right="0"/>
              <w:jc w:val="left"/>
              <w:rPr>
                <w:rFonts w:ascii="Swis721 Lt BT" w:hAnsi="Swis721 Lt BT" w:cs="Swis721 Lt BT" w:eastAsia="Swis721 Lt BT"/>
                <w:sz w:val="19"/>
                <w:szCs w:val="19"/>
              </w:rPr>
            </w:pPr>
            <w:r>
              <w:rPr>
                <w:rFonts w:ascii="Swis721 Lt BT"/>
                <w:color w:val="231F20"/>
                <w:sz w:val="19"/>
              </w:rPr>
              <w:t>N/A</w:t>
            </w:r>
            <w:r>
              <w:rPr>
                <w:rFonts w:ascii="Swis721 Lt BT"/>
                <w:sz w:val="19"/>
              </w:rPr>
            </w:r>
          </w:p>
        </w:tc>
      </w:tr>
      <w:tr>
        <w:trPr>
          <w:trHeight w:val="1519" w:hRule="exact"/>
        </w:trPr>
        <w:tc>
          <w:tcPr>
            <w:tcW w:w="3905"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12" w:right="65"/>
              <w:jc w:val="left"/>
              <w:rPr>
                <w:rFonts w:ascii="Swis721 Lt BT" w:hAnsi="Swis721 Lt BT" w:cs="Swis721 Lt BT" w:eastAsia="Swis721 Lt BT"/>
                <w:sz w:val="19"/>
                <w:szCs w:val="19"/>
              </w:rPr>
            </w:pPr>
            <w:r>
              <w:rPr>
                <w:rFonts w:ascii="Swis721 Lt BT"/>
                <w:color w:val="231F20"/>
                <w:sz w:val="19"/>
              </w:rPr>
              <w:t>The annual report provides details of reports about the authority by the Auditor General, a parliamentary committee, the Commonwealth Ombudsman</w:t>
            </w:r>
            <w:r>
              <w:rPr>
                <w:rFonts w:ascii="Swis721 Lt BT"/>
                <w:color w:val="231F20"/>
                <w:spacing w:val="-1"/>
                <w:sz w:val="19"/>
              </w:rPr>
              <w:t> </w:t>
            </w:r>
            <w:r>
              <w:rPr>
                <w:rFonts w:ascii="Swis721 Lt BT"/>
                <w:color w:val="231F20"/>
                <w:sz w:val="19"/>
              </w:rPr>
              <w:t>or</w:t>
            </w:r>
            <w:r>
              <w:rPr>
                <w:rFonts w:ascii="Swis721 Lt BT"/>
                <w:color w:val="231F20"/>
                <w:spacing w:val="-1"/>
                <w:sz w:val="19"/>
              </w:rPr>
              <w:t> </w:t>
            </w:r>
            <w:r>
              <w:rPr>
                <w:rFonts w:ascii="Swis721 Lt BT"/>
                <w:color w:val="231F20"/>
                <w:sz w:val="19"/>
              </w:rPr>
              <w:t>the</w:t>
            </w:r>
            <w:r>
              <w:rPr>
                <w:rFonts w:ascii="Swis721 Lt BT"/>
                <w:color w:val="231F20"/>
                <w:spacing w:val="-1"/>
                <w:sz w:val="19"/>
              </w:rPr>
              <w:t> </w:t>
            </w:r>
            <w:r>
              <w:rPr>
                <w:rFonts w:ascii="Swis721 Lt BT"/>
                <w:color w:val="231F20"/>
                <w:sz w:val="19"/>
              </w:rPr>
              <w:t>Office</w:t>
            </w:r>
            <w:r>
              <w:rPr>
                <w:rFonts w:ascii="Swis721 Lt BT"/>
                <w:color w:val="231F20"/>
                <w:spacing w:val="-1"/>
                <w:sz w:val="19"/>
              </w:rPr>
              <w:t> </w:t>
            </w:r>
            <w:r>
              <w:rPr>
                <w:rFonts w:ascii="Swis721 Lt BT"/>
                <w:color w:val="231F20"/>
                <w:sz w:val="19"/>
              </w:rPr>
              <w:t>of</w:t>
            </w:r>
            <w:r>
              <w:rPr>
                <w:rFonts w:ascii="Swis721 Lt BT"/>
                <w:color w:val="231F20"/>
                <w:spacing w:val="-1"/>
                <w:sz w:val="19"/>
              </w:rPr>
              <w:t> </w:t>
            </w:r>
            <w:r>
              <w:rPr>
                <w:rFonts w:ascii="Swis721 Lt BT"/>
                <w:color w:val="231F20"/>
                <w:sz w:val="19"/>
              </w:rPr>
              <w:t>the Australian</w:t>
            </w:r>
            <w:r>
              <w:rPr>
                <w:rFonts w:ascii="Swis721 Lt BT"/>
                <w:color w:val="231F20"/>
                <w:sz w:val="19"/>
              </w:rPr>
              <w:t> Information </w:t>
            </w:r>
            <w:r>
              <w:rPr>
                <w:rFonts w:ascii="Swis721 Lt BT"/>
                <w:color w:val="231F20"/>
                <w:spacing w:val="-2"/>
                <w:sz w:val="19"/>
              </w:rPr>
              <w:t>Commissioner,</w:t>
            </w:r>
            <w:r>
              <w:rPr>
                <w:rFonts w:ascii="Swis721 Lt BT"/>
                <w:color w:val="231F20"/>
                <w:sz w:val="19"/>
              </w:rPr>
              <w:t> Australian</w:t>
            </w:r>
            <w:r>
              <w:rPr>
                <w:rFonts w:ascii="Swis721 Lt BT"/>
                <w:color w:val="231F20"/>
                <w:spacing w:val="28"/>
                <w:sz w:val="19"/>
              </w:rPr>
              <w:t> </w:t>
            </w:r>
            <w:r>
              <w:rPr>
                <w:rFonts w:ascii="Swis721 Lt BT"/>
                <w:color w:val="231F20"/>
                <w:sz w:val="19"/>
              </w:rPr>
              <w:t>Securities and Investments Commission</w:t>
            </w:r>
            <w:r>
              <w:rPr>
                <w:rFonts w:ascii="Swis721 Lt BT"/>
                <w:sz w:val="19"/>
              </w:rPr>
            </w:r>
          </w:p>
        </w:tc>
        <w:tc>
          <w:tcPr>
            <w:tcW w:w="1011"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232" w:right="0"/>
              <w:jc w:val="left"/>
              <w:rPr>
                <w:rFonts w:ascii="Swis721 Lt BT" w:hAnsi="Swis721 Lt BT" w:cs="Swis721 Lt BT" w:eastAsia="Swis721 Lt BT"/>
                <w:sz w:val="19"/>
                <w:szCs w:val="19"/>
              </w:rPr>
            </w:pPr>
            <w:r>
              <w:rPr>
                <w:rFonts w:ascii="Swis721 Lt BT"/>
                <w:color w:val="231F20"/>
                <w:sz w:val="19"/>
              </w:rPr>
              <w:t>28E(n)</w:t>
            </w:r>
            <w:r>
              <w:rPr>
                <w:rFonts w:ascii="Swis721 Lt BT"/>
                <w:sz w:val="19"/>
              </w:rPr>
            </w:r>
          </w:p>
        </w:tc>
        <w:tc>
          <w:tcPr>
            <w:tcW w:w="2242"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28" w:right="0"/>
              <w:jc w:val="left"/>
              <w:rPr>
                <w:rFonts w:ascii="Swis721 Lt BT" w:hAnsi="Swis721 Lt BT" w:cs="Swis721 Lt BT" w:eastAsia="Swis721 Lt BT"/>
                <w:sz w:val="19"/>
                <w:szCs w:val="19"/>
              </w:rPr>
            </w:pPr>
            <w:r>
              <w:rPr>
                <w:rFonts w:ascii="Swis721 Lt BT"/>
                <w:color w:val="231F20"/>
                <w:sz w:val="19"/>
              </w:rPr>
              <w:t>N/A</w:t>
            </w:r>
            <w:r>
              <w:rPr>
                <w:rFonts w:ascii="Swis721 Lt BT"/>
                <w:sz w:val="19"/>
              </w:rPr>
            </w:r>
          </w:p>
        </w:tc>
        <w:tc>
          <w:tcPr>
            <w:tcW w:w="835"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54" w:right="0"/>
              <w:jc w:val="left"/>
              <w:rPr>
                <w:rFonts w:ascii="Swis721 Lt BT" w:hAnsi="Swis721 Lt BT" w:cs="Swis721 Lt BT" w:eastAsia="Swis721 Lt BT"/>
                <w:sz w:val="19"/>
                <w:szCs w:val="19"/>
              </w:rPr>
            </w:pPr>
            <w:r>
              <w:rPr>
                <w:rFonts w:ascii="Swis721 Lt BT"/>
                <w:color w:val="231F20"/>
                <w:sz w:val="19"/>
              </w:rPr>
              <w:t>N/A</w:t>
            </w:r>
            <w:r>
              <w:rPr>
                <w:rFonts w:ascii="Swis721 Lt BT"/>
                <w:sz w:val="19"/>
              </w:rPr>
            </w:r>
          </w:p>
        </w:tc>
      </w:tr>
      <w:tr>
        <w:trPr>
          <w:trHeight w:val="835" w:hRule="exact"/>
        </w:trPr>
        <w:tc>
          <w:tcPr>
            <w:tcW w:w="3905"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12" w:right="93"/>
              <w:jc w:val="both"/>
              <w:rPr>
                <w:rFonts w:ascii="Swis721 Lt BT" w:hAnsi="Swis721 Lt BT" w:cs="Swis721 Lt BT" w:eastAsia="Swis721 Lt BT"/>
                <w:sz w:val="19"/>
                <w:szCs w:val="19"/>
              </w:rPr>
            </w:pPr>
            <w:r>
              <w:rPr>
                <w:rFonts w:ascii="Swis721 Lt BT"/>
                <w:color w:val="231F20"/>
                <w:sz w:val="19"/>
              </w:rPr>
              <w:t>Explanation if any information is missing from a subsidiary that is required to be included in the annual report</w:t>
            </w:r>
            <w:r>
              <w:rPr>
                <w:rFonts w:ascii="Swis721 Lt BT"/>
                <w:sz w:val="19"/>
              </w:rPr>
            </w:r>
          </w:p>
        </w:tc>
        <w:tc>
          <w:tcPr>
            <w:tcW w:w="1011"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232" w:right="0"/>
              <w:jc w:val="left"/>
              <w:rPr>
                <w:rFonts w:ascii="Swis721 Lt BT" w:hAnsi="Swis721 Lt BT" w:cs="Swis721 Lt BT" w:eastAsia="Swis721 Lt BT"/>
                <w:sz w:val="19"/>
                <w:szCs w:val="19"/>
              </w:rPr>
            </w:pPr>
            <w:r>
              <w:rPr>
                <w:rFonts w:ascii="Swis721 Lt BT"/>
                <w:color w:val="231F20"/>
                <w:sz w:val="19"/>
              </w:rPr>
              <w:t>28E(o)</w:t>
            </w:r>
            <w:r>
              <w:rPr>
                <w:rFonts w:ascii="Swis721 Lt BT"/>
                <w:sz w:val="19"/>
              </w:rPr>
            </w:r>
          </w:p>
        </w:tc>
        <w:tc>
          <w:tcPr>
            <w:tcW w:w="2242"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28" w:right="0"/>
              <w:jc w:val="left"/>
              <w:rPr>
                <w:rFonts w:ascii="Swis721 Lt BT" w:hAnsi="Swis721 Lt BT" w:cs="Swis721 Lt BT" w:eastAsia="Swis721 Lt BT"/>
                <w:sz w:val="19"/>
                <w:szCs w:val="19"/>
              </w:rPr>
            </w:pPr>
            <w:r>
              <w:rPr>
                <w:rFonts w:ascii="Swis721 Lt BT"/>
                <w:color w:val="231F20"/>
                <w:sz w:val="19"/>
              </w:rPr>
              <w:t>N/A</w:t>
            </w:r>
            <w:r>
              <w:rPr>
                <w:rFonts w:ascii="Swis721 Lt BT"/>
                <w:sz w:val="19"/>
              </w:rPr>
            </w:r>
          </w:p>
        </w:tc>
        <w:tc>
          <w:tcPr>
            <w:tcW w:w="835" w:type="dxa"/>
            <w:tcBorders>
              <w:top w:val="single" w:sz="2" w:space="0" w:color="71797F"/>
              <w:left w:val="nil" w:sz="6" w:space="0" w:color="auto"/>
              <w:bottom w:val="single" w:sz="2" w:space="0" w:color="71797F"/>
              <w:right w:val="nil" w:sz="6" w:space="0" w:color="auto"/>
            </w:tcBorders>
          </w:tcPr>
          <w:p>
            <w:pPr>
              <w:pStyle w:val="TableParagraph"/>
              <w:spacing w:line="240" w:lineRule="auto" w:before="80"/>
              <w:ind w:left="153" w:right="0"/>
              <w:jc w:val="left"/>
              <w:rPr>
                <w:rFonts w:ascii="Swis721 Lt BT" w:hAnsi="Swis721 Lt BT" w:cs="Swis721 Lt BT" w:eastAsia="Swis721 Lt BT"/>
                <w:sz w:val="19"/>
                <w:szCs w:val="19"/>
              </w:rPr>
            </w:pPr>
            <w:r>
              <w:rPr>
                <w:rFonts w:ascii="Swis721 Lt BT"/>
                <w:color w:val="231F20"/>
                <w:sz w:val="19"/>
              </w:rPr>
              <w:t>N/A</w:t>
            </w:r>
            <w:r>
              <w:rPr>
                <w:rFonts w:ascii="Swis721 Lt BT"/>
                <w:sz w:val="19"/>
              </w:rPr>
            </w:r>
          </w:p>
        </w:tc>
      </w:tr>
      <w:tr>
        <w:trPr>
          <w:trHeight w:val="604" w:hRule="exact"/>
        </w:trPr>
        <w:tc>
          <w:tcPr>
            <w:tcW w:w="3905"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112" w:right="104"/>
              <w:jc w:val="left"/>
              <w:rPr>
                <w:rFonts w:ascii="Swis721 Lt BT" w:hAnsi="Swis721 Lt BT" w:cs="Swis721 Lt BT" w:eastAsia="Swis721 Lt BT"/>
                <w:sz w:val="19"/>
                <w:szCs w:val="19"/>
              </w:rPr>
            </w:pPr>
            <w:r>
              <w:rPr>
                <w:rFonts w:ascii="Swis721 Lt BT"/>
                <w:color w:val="231F20"/>
                <w:sz w:val="19"/>
              </w:rPr>
              <w:t>The annual report provides information about executive remuneration</w:t>
            </w:r>
            <w:r>
              <w:rPr>
                <w:rFonts w:ascii="Swis721 Lt BT"/>
                <w:sz w:val="19"/>
              </w:rPr>
            </w:r>
          </w:p>
        </w:tc>
        <w:tc>
          <w:tcPr>
            <w:tcW w:w="1011"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232" w:right="0"/>
              <w:jc w:val="left"/>
              <w:rPr>
                <w:rFonts w:ascii="Swis721 Lt BT" w:hAnsi="Swis721 Lt BT" w:cs="Swis721 Lt BT" w:eastAsia="Swis721 Lt BT"/>
                <w:sz w:val="19"/>
                <w:szCs w:val="19"/>
              </w:rPr>
            </w:pPr>
            <w:r>
              <w:rPr>
                <w:rFonts w:ascii="Swis721 Lt BT"/>
                <w:color w:val="231F20"/>
                <w:sz w:val="19"/>
              </w:rPr>
              <w:t>28E(oa)</w:t>
            </w:r>
            <w:r>
              <w:rPr>
                <w:rFonts w:ascii="Swis721 Lt BT"/>
                <w:sz w:val="19"/>
              </w:rPr>
            </w:r>
          </w:p>
        </w:tc>
        <w:tc>
          <w:tcPr>
            <w:tcW w:w="2242"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128" w:right="235"/>
              <w:jc w:val="left"/>
              <w:rPr>
                <w:rFonts w:ascii="Swis721 Lt BT" w:hAnsi="Swis721 Lt BT" w:cs="Swis721 Lt BT" w:eastAsia="Swis721 Lt BT"/>
                <w:sz w:val="19"/>
                <w:szCs w:val="19"/>
              </w:rPr>
            </w:pPr>
            <w:r>
              <w:rPr>
                <w:rFonts w:ascii="Swis721 Lt BT"/>
                <w:color w:val="231F20"/>
                <w:sz w:val="19"/>
              </w:rPr>
              <w:t>Corporate Governance Statement</w:t>
            </w:r>
            <w:r>
              <w:rPr>
                <w:rFonts w:ascii="Swis721 Lt BT"/>
                <w:sz w:val="19"/>
              </w:rPr>
            </w:r>
          </w:p>
        </w:tc>
        <w:tc>
          <w:tcPr>
            <w:tcW w:w="835" w:type="dxa"/>
            <w:tcBorders>
              <w:top w:val="single" w:sz="2" w:space="0" w:color="71797F"/>
              <w:left w:val="nil" w:sz="6" w:space="0" w:color="auto"/>
              <w:bottom w:val="nil" w:sz="6" w:space="0" w:color="auto"/>
              <w:right w:val="nil" w:sz="6" w:space="0" w:color="auto"/>
            </w:tcBorders>
          </w:tcPr>
          <w:p>
            <w:pPr>
              <w:pStyle w:val="TableParagraph"/>
              <w:spacing w:line="240" w:lineRule="auto" w:before="80"/>
              <w:ind w:left="153" w:right="0"/>
              <w:jc w:val="left"/>
              <w:rPr>
                <w:rFonts w:ascii="Swis721 Lt BT" w:hAnsi="Swis721 Lt BT" w:cs="Swis721 Lt BT" w:eastAsia="Swis721 Lt BT"/>
                <w:sz w:val="19"/>
                <w:szCs w:val="19"/>
              </w:rPr>
            </w:pPr>
            <w:r>
              <w:rPr>
                <w:rFonts w:ascii="Swis721 Lt BT"/>
                <w:color w:val="231F20"/>
                <w:sz w:val="19"/>
              </w:rPr>
              <w:t>33</w:t>
            </w:r>
            <w:r>
              <w:rPr>
                <w:rFonts w:ascii="Swis721 Lt BT"/>
                <w:sz w:val="19"/>
              </w:rPr>
            </w:r>
          </w:p>
        </w:tc>
      </w:tr>
      <w:tr>
        <w:trPr>
          <w:trHeight w:val="573" w:hRule="exact"/>
        </w:trPr>
        <w:tc>
          <w:tcPr>
            <w:tcW w:w="3905" w:type="dxa"/>
            <w:tcBorders>
              <w:top w:val="nil" w:sz="6" w:space="0" w:color="auto"/>
              <w:left w:val="nil" w:sz="6" w:space="0" w:color="auto"/>
              <w:bottom w:val="single" w:sz="2" w:space="0" w:color="71797F"/>
              <w:right w:val="nil" w:sz="6" w:space="0" w:color="auto"/>
            </w:tcBorders>
          </w:tcPr>
          <w:p>
            <w:pPr/>
          </w:p>
        </w:tc>
        <w:tc>
          <w:tcPr>
            <w:tcW w:w="1011" w:type="dxa"/>
            <w:tcBorders>
              <w:top w:val="nil" w:sz="6" w:space="0" w:color="auto"/>
              <w:left w:val="nil" w:sz="6" w:space="0" w:color="auto"/>
              <w:bottom w:val="single" w:sz="2" w:space="0" w:color="71797F"/>
              <w:right w:val="nil" w:sz="6" w:space="0" w:color="auto"/>
            </w:tcBorders>
          </w:tcPr>
          <w:p>
            <w:pPr/>
          </w:p>
        </w:tc>
        <w:tc>
          <w:tcPr>
            <w:tcW w:w="2242" w:type="dxa"/>
            <w:tcBorders>
              <w:top w:val="nil" w:sz="6" w:space="0" w:color="auto"/>
              <w:left w:val="nil" w:sz="6" w:space="0" w:color="auto"/>
              <w:bottom w:val="single" w:sz="2" w:space="0" w:color="71797F"/>
              <w:right w:val="nil" w:sz="6" w:space="0" w:color="auto"/>
            </w:tcBorders>
          </w:tcPr>
          <w:p>
            <w:pPr>
              <w:pStyle w:val="TableParagraph"/>
              <w:spacing w:line="240" w:lineRule="auto" w:before="45"/>
              <w:ind w:left="128" w:right="779"/>
              <w:jc w:val="left"/>
              <w:rPr>
                <w:rFonts w:ascii="Swis721 Lt BT" w:hAnsi="Swis721 Lt BT" w:cs="Swis721 Lt BT" w:eastAsia="Swis721 Lt BT"/>
                <w:sz w:val="19"/>
                <w:szCs w:val="19"/>
              </w:rPr>
            </w:pPr>
            <w:r>
              <w:rPr>
                <w:rFonts w:ascii="Swis721 Lt BT"/>
                <w:color w:val="231F20"/>
                <w:sz w:val="19"/>
              </w:rPr>
              <w:t>Financial Report (Note 8)</w:t>
            </w:r>
            <w:r>
              <w:rPr>
                <w:rFonts w:ascii="Swis721 Lt BT"/>
                <w:sz w:val="19"/>
              </w:rPr>
            </w:r>
          </w:p>
        </w:tc>
        <w:tc>
          <w:tcPr>
            <w:tcW w:w="835" w:type="dxa"/>
            <w:tcBorders>
              <w:top w:val="nil" w:sz="6" w:space="0" w:color="auto"/>
              <w:left w:val="nil" w:sz="6" w:space="0" w:color="auto"/>
              <w:bottom w:val="single" w:sz="2" w:space="0" w:color="71797F"/>
              <w:right w:val="nil" w:sz="6" w:space="0" w:color="auto"/>
            </w:tcBorders>
          </w:tcPr>
          <w:p>
            <w:pPr>
              <w:pStyle w:val="TableParagraph"/>
              <w:spacing w:line="240" w:lineRule="auto" w:before="45"/>
              <w:ind w:left="153" w:right="0"/>
              <w:jc w:val="left"/>
              <w:rPr>
                <w:rFonts w:ascii="Swis721 Lt BT" w:hAnsi="Swis721 Lt BT" w:cs="Swis721 Lt BT" w:eastAsia="Swis721 Lt BT"/>
                <w:sz w:val="19"/>
                <w:szCs w:val="19"/>
              </w:rPr>
            </w:pPr>
            <w:r>
              <w:rPr>
                <w:rFonts w:ascii="Swis721 Lt BT"/>
                <w:color w:val="231F20"/>
                <w:sz w:val="19"/>
              </w:rPr>
              <w:t>64</w:t>
            </w:r>
            <w:r>
              <w:rPr>
                <w:rFonts w:ascii="Swis721 Lt BT"/>
                <w:sz w:val="19"/>
              </w:rPr>
            </w:r>
          </w:p>
        </w:tc>
      </w:tr>
    </w:tbl>
    <w:p>
      <w:pPr>
        <w:spacing w:after="0" w:line="240" w:lineRule="auto"/>
        <w:jc w:val="left"/>
        <w:rPr>
          <w:rFonts w:ascii="Swis721 Lt BT" w:hAnsi="Swis721 Lt BT" w:cs="Swis721 Lt BT" w:eastAsia="Swis721 Lt BT"/>
          <w:sz w:val="19"/>
          <w:szCs w:val="19"/>
        </w:rPr>
        <w:sectPr>
          <w:pgSz w:w="9980" w:h="14180"/>
          <w:pgMar w:header="0" w:footer="452" w:top="1040" w:bottom="640" w:left="740" w:right="1020"/>
        </w:sectPr>
      </w:pPr>
    </w:p>
    <w:p>
      <w:pPr>
        <w:spacing w:line="240" w:lineRule="auto" w:before="5"/>
        <w:rPr>
          <w:rFonts w:ascii="Times New Roman" w:hAnsi="Times New Roman" w:cs="Times New Roman" w:eastAsia="Times New Roman"/>
          <w:sz w:val="17"/>
          <w:szCs w:val="17"/>
        </w:rPr>
      </w:pPr>
    </w:p>
    <w:p>
      <w:pPr>
        <w:spacing w:after="0" w:line="240" w:lineRule="auto"/>
        <w:rPr>
          <w:rFonts w:ascii="Times New Roman" w:hAnsi="Times New Roman" w:cs="Times New Roman" w:eastAsia="Times New Roman"/>
          <w:sz w:val="17"/>
          <w:szCs w:val="17"/>
        </w:rPr>
        <w:sectPr>
          <w:footerReference w:type="default" r:id="rId93"/>
          <w:pgSz w:w="9980" w:h="14180"/>
          <w:pgMar w:footer="0" w:header="0" w:top="1320" w:bottom="280" w:left="1380" w:right="138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9"/>
        <w:rPr>
          <w:rFonts w:ascii="Times New Roman" w:hAnsi="Times New Roman" w:cs="Times New Roman" w:eastAsia="Times New Roman"/>
          <w:sz w:val="18"/>
          <w:szCs w:val="18"/>
        </w:rPr>
      </w:pPr>
    </w:p>
    <w:p>
      <w:pPr>
        <w:spacing w:before="73"/>
        <w:ind w:left="3263" w:right="0" w:firstLine="0"/>
        <w:jc w:val="left"/>
        <w:rPr>
          <w:rFonts w:ascii="Swis721 Lt BT" w:hAnsi="Swis721 Lt BT" w:cs="Swis721 Lt BT" w:eastAsia="Swis721 Lt BT"/>
          <w:sz w:val="17"/>
          <w:szCs w:val="17"/>
        </w:rPr>
      </w:pPr>
      <w:r>
        <w:rPr/>
        <w:pict>
          <v:group style="position:absolute;margin-left:79.915001pt;margin-top:-6.575831pt;width:122.2pt;height:35.35pt;mso-position-horizontal-relative:page;mso-position-vertical-relative:paragraph;z-index:7720" coordorigin="1598,-132" coordsize="2444,707">
            <v:shape style="position:absolute;left:2455;top:122;width:340;height:453" type="#_x0000_t75" stroked="false">
              <v:imagedata r:id="rId95" o:title=""/>
            </v:shape>
            <v:shape style="position:absolute;left:2828;top:-132;width:185;height:700" type="#_x0000_t75" stroked="false">
              <v:imagedata r:id="rId96" o:title=""/>
            </v:shape>
            <v:group style="position:absolute;left:2066;top:-63;width:105;height:105" coordorigin="2066,-63" coordsize="105,105">
              <v:shape style="position:absolute;left:2066;top:-63;width:105;height:105" coordorigin="2066,-63" coordsize="105,105" path="m2104,-63l2092,-58,2071,-37,2066,-25,2066,3,2071,15,2092,36,2104,41,2133,41,2145,36,2165,16,2170,3,2170,-10,2118,-63,2104,-63xe" filled="true" fillcolor="#017b85" stroked="false">
                <v:path arrowok="t"/>
                <v:fill type="solid"/>
              </v:shape>
              <v:shape style="position:absolute;left:1598;top:-56;width:860;height:631" type="#_x0000_t75" stroked="false">
                <v:imagedata r:id="rId97" o:title=""/>
              </v:shape>
              <v:shape style="position:absolute;left:3068;top:54;width:974;height:515" type="#_x0000_t75" stroked="false">
                <v:imagedata r:id="rId98" o:title=""/>
              </v:shape>
            </v:group>
            <w10:wrap type="none"/>
          </v:group>
        </w:pict>
      </w:r>
      <w:r>
        <w:rPr/>
        <w:pict>
          <v:group style="position:absolute;margin-left:217.854507pt;margin-top:2.710568pt;width:.1pt;height:25.5pt;mso-position-horizontal-relative:page;mso-position-vertical-relative:paragraph;z-index:7744" coordorigin="4357,54" coordsize="2,510">
            <v:shape style="position:absolute;left:4357;top:54;width:2;height:510" coordorigin="4357,54" coordsize="0,510" path="m4357,54l4357,563e" filled="false" stroked="true" strokeweight=".5pt" strokecolor="#808285">
              <v:path arrowok="t"/>
            </v:shape>
            <w10:wrap type="none"/>
          </v:group>
        </w:pict>
      </w:r>
      <w:hyperlink r:id="rId15">
        <w:r>
          <w:rPr>
            <w:rFonts w:ascii="Swis721 Lt BT"/>
            <w:color w:val="5F6162"/>
            <w:sz w:val="17"/>
          </w:rPr>
          <w:t>aitsl.edu.au | +61 3 9944 1200 | info@aitsl.edu.au</w:t>
        </w:r>
        <w:r>
          <w:rPr>
            <w:rFonts w:ascii="Swis721 Lt BT"/>
            <w:sz w:val="17"/>
          </w:rPr>
        </w:r>
      </w:hyperlink>
    </w:p>
    <w:p>
      <w:pPr>
        <w:spacing w:before="69"/>
        <w:ind w:left="3263" w:right="0" w:firstLine="0"/>
        <w:jc w:val="left"/>
        <w:rPr>
          <w:rFonts w:ascii="Swis721 Lt BT" w:hAnsi="Swis721 Lt BT" w:cs="Swis721 Lt BT" w:eastAsia="Swis721 Lt BT"/>
          <w:sz w:val="17"/>
          <w:szCs w:val="17"/>
        </w:rPr>
      </w:pPr>
      <w:r>
        <w:rPr>
          <w:rFonts w:ascii="Swis721 Lt BT"/>
          <w:i/>
          <w:color w:val="5F6162"/>
          <w:spacing w:val="3"/>
          <w:sz w:val="17"/>
        </w:rPr>
        <w:t>AITSL</w:t>
      </w:r>
      <w:r>
        <w:rPr>
          <w:rFonts w:ascii="Swis721 Lt BT"/>
          <w:i/>
          <w:color w:val="5F6162"/>
          <w:spacing w:val="9"/>
          <w:sz w:val="17"/>
        </w:rPr>
        <w:t> </w:t>
      </w:r>
      <w:r>
        <w:rPr>
          <w:rFonts w:ascii="Swis721 Lt BT"/>
          <w:i/>
          <w:color w:val="5F6162"/>
          <w:spacing w:val="2"/>
          <w:sz w:val="17"/>
        </w:rPr>
        <w:t>is</w:t>
      </w:r>
      <w:r>
        <w:rPr>
          <w:rFonts w:ascii="Swis721 Lt BT"/>
          <w:i/>
          <w:color w:val="5F6162"/>
          <w:spacing w:val="9"/>
          <w:sz w:val="17"/>
        </w:rPr>
        <w:t> </w:t>
      </w:r>
      <w:r>
        <w:rPr>
          <w:rFonts w:ascii="Swis721 Lt BT"/>
          <w:i/>
          <w:color w:val="5F6162"/>
          <w:spacing w:val="3"/>
          <w:sz w:val="17"/>
        </w:rPr>
        <w:t>funded</w:t>
      </w:r>
      <w:r>
        <w:rPr>
          <w:rFonts w:ascii="Swis721 Lt BT"/>
          <w:i/>
          <w:color w:val="5F6162"/>
          <w:spacing w:val="9"/>
          <w:sz w:val="17"/>
        </w:rPr>
        <w:t> </w:t>
      </w:r>
      <w:r>
        <w:rPr>
          <w:rFonts w:ascii="Swis721 Lt BT"/>
          <w:i/>
          <w:color w:val="5F6162"/>
          <w:spacing w:val="2"/>
          <w:sz w:val="17"/>
        </w:rPr>
        <w:t>by</w:t>
      </w:r>
      <w:r>
        <w:rPr>
          <w:rFonts w:ascii="Swis721 Lt BT"/>
          <w:i/>
          <w:color w:val="5F6162"/>
          <w:spacing w:val="9"/>
          <w:sz w:val="17"/>
        </w:rPr>
        <w:t> </w:t>
      </w:r>
      <w:r>
        <w:rPr>
          <w:rFonts w:ascii="Swis721 Lt BT"/>
          <w:i/>
          <w:color w:val="5F6162"/>
          <w:spacing w:val="2"/>
          <w:sz w:val="17"/>
        </w:rPr>
        <w:t>the</w:t>
      </w:r>
      <w:r>
        <w:rPr>
          <w:rFonts w:ascii="Swis721 Lt BT"/>
          <w:i/>
          <w:color w:val="5F6162"/>
          <w:spacing w:val="9"/>
          <w:sz w:val="17"/>
        </w:rPr>
        <w:t> </w:t>
      </w:r>
      <w:r>
        <w:rPr>
          <w:rFonts w:ascii="Swis721 Lt BT"/>
          <w:i/>
          <w:color w:val="5F6162"/>
          <w:spacing w:val="3"/>
          <w:sz w:val="17"/>
        </w:rPr>
        <w:t>Australian</w:t>
      </w:r>
      <w:r>
        <w:rPr>
          <w:rFonts w:ascii="Swis721 Lt BT"/>
          <w:i/>
          <w:color w:val="5F6162"/>
          <w:spacing w:val="9"/>
          <w:sz w:val="17"/>
        </w:rPr>
        <w:t> </w:t>
      </w:r>
      <w:r>
        <w:rPr>
          <w:rFonts w:ascii="Swis721 Lt BT"/>
          <w:i/>
          <w:color w:val="5F6162"/>
          <w:spacing w:val="4"/>
          <w:sz w:val="17"/>
        </w:rPr>
        <w:t>Government</w:t>
      </w:r>
      <w:r>
        <w:rPr>
          <w:rFonts w:ascii="Swis721 Lt BT"/>
          <w:sz w:val="17"/>
        </w:rPr>
      </w:r>
    </w:p>
    <w:sectPr>
      <w:footerReference w:type="even" r:id="rId94"/>
      <w:pgSz w:w="9980" w:h="14180"/>
      <w:pgMar w:footer="0" w:header="0" w:top="1320" w:bottom="280" w:left="1380" w:right="1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wis721 Lt BT">
    <w:altName w:val="Swis721 Lt BT"/>
    <w:charset w:val="0"/>
    <w:family w:val="swiss"/>
    <w:pitch w:val="variable"/>
  </w:font>
  <w:font w:name="Swis721 Md BT">
    <w:altName w:val="Swis721 Md BT"/>
    <w:charset w:val="0"/>
    <w:family w:val="swiss"/>
    <w:pitch w:val="variable"/>
  </w:font>
  <w:font w:name="Swis721 Hv BT">
    <w:altName w:val="Swis721 Hv BT"/>
    <w:charset w:val="0"/>
    <w:family w:val="swiss"/>
    <w:pitch w:val="variable"/>
  </w:font>
  <w:font w:name="Swis721 BT">
    <w:altName w:val="Swis721 BT"/>
    <w:charset w:val="0"/>
    <w:family w:val="swiss"/>
    <w:pitch w:val="variable"/>
  </w:font>
  <w:font w:name="Swis721 Cn BT">
    <w:altName w:val="Swis721 Cn BT"/>
    <w:charset w:val="0"/>
    <w:family w:val="swiss"/>
    <w:pitch w:val="variable"/>
  </w:font>
  <w:font w:name="Courier New">
    <w:altName w:val="Courier New"/>
    <w:charset w:val="0"/>
    <w:family w:val="modern"/>
    <w:pitch w:val="fixed"/>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519699pt;margin-top:675.062561pt;width:12.55pt;height:10.050pt;mso-position-horizontal-relative:page;mso-position-vertical-relative:page;z-index:-184624"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10</w:t>
                </w:r>
                <w:r>
                  <w:rPr/>
                  <w:fldChar w:fldCharType="end"/>
                </w:r>
                <w:r>
                  <w:rPr>
                    <w:rFonts w:ascii="Swis721 Lt BT"/>
                    <w:sz w:val="16"/>
                  </w:rPr>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519699pt;margin-top:675.062561pt;width:12.55pt;height:10pt;mso-position-horizontal-relative:page;mso-position-vertical-relative:page;z-index:-184360"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14</w:t>
                </w:r>
                <w:r>
                  <w:rPr/>
                  <w:fldChar w:fldCharType="end"/>
                </w:r>
                <w:r>
                  <w:rPr>
                    <w:rFonts w:ascii="Swis721 Lt BT"/>
                    <w:sz w:val="16"/>
                  </w:rPr>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45.865997pt;margin-top:675.062561pt;width:12.55pt;height:10pt;mso-position-horizontal-relative:page;mso-position-vertical-relative:page;z-index:-184336"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15</w:t>
                </w:r>
                <w:r>
                  <w:rPr/>
                  <w:fldChar w:fldCharType="end"/>
                </w:r>
                <w:r>
                  <w:rPr>
                    <w:rFonts w:ascii="Swis721 Lt BT"/>
                    <w:sz w:val="16"/>
                  </w:rPr>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45.865997pt;margin-top:675.062561pt;width:12.55pt;height:10pt;mso-position-horizontal-relative:page;mso-position-vertical-relative:page;z-index:-184312"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29</w:t>
                </w:r>
                <w:r>
                  <w:rPr/>
                  <w:fldChar w:fldCharType="end"/>
                </w:r>
                <w:r>
                  <w:rPr>
                    <w:rFonts w:ascii="Swis721 Lt BT"/>
                    <w:sz w:val="16"/>
                  </w:rPr>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519699pt;margin-top:675.062561pt;width:12.55pt;height:10pt;mso-position-horizontal-relative:page;mso-position-vertical-relative:page;z-index:-184288"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30</w:t>
                </w:r>
                <w:r>
                  <w:rPr/>
                  <w:fldChar w:fldCharType="end"/>
                </w:r>
                <w:r>
                  <w:rPr>
                    <w:rFonts w:ascii="Swis721 Lt BT"/>
                    <w:sz w:val="16"/>
                  </w:rPr>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45.865997pt;margin-top:675.062561pt;width:12.55pt;height:10pt;mso-position-horizontal-relative:page;mso-position-vertical-relative:page;z-index:-184264"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35</w:t>
                </w:r>
                <w:r>
                  <w:rPr/>
                  <w:fldChar w:fldCharType="end"/>
                </w:r>
                <w:r>
                  <w:rPr>
                    <w:rFonts w:ascii="Swis721 Lt BT"/>
                    <w:sz w:val="16"/>
                  </w:rPr>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519699pt;margin-top:675.062561pt;width:12.55pt;height:10.050pt;mso-position-horizontal-relative:page;mso-position-vertical-relative:page;z-index:-184240"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36</w:t>
                </w:r>
                <w:r>
                  <w:rPr/>
                  <w:fldChar w:fldCharType="end"/>
                </w:r>
                <w:r>
                  <w:rPr>
                    <w:rFonts w:ascii="Swis721 Lt BT"/>
                    <w:sz w:val="16"/>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519699pt;margin-top:675.062561pt;width:12.55pt;height:10pt;mso-position-horizontal-relative:page;mso-position-vertical-relative:page;z-index:-184216"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44</w:t>
                </w:r>
                <w:r>
                  <w:rPr/>
                  <w:fldChar w:fldCharType="end"/>
                </w:r>
                <w:r>
                  <w:rPr>
                    <w:rFonts w:ascii="Swis721 Lt BT"/>
                    <w:sz w:val="16"/>
                  </w:rPr>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46.865997pt;margin-top:675.062561pt;width:10.55pt;height:10pt;mso-position-horizontal-relative:page;mso-position-vertical-relative:page;z-index:-184192" type="#_x0000_t202" filled="false" stroked="false">
          <v:textbox inset="0,0,0,0">
            <w:txbxContent>
              <w:p>
                <w:pPr>
                  <w:spacing w:line="186" w:lineRule="exact" w:before="0"/>
                  <w:ind w:left="20" w:right="0" w:firstLine="0"/>
                  <w:jc w:val="left"/>
                  <w:rPr>
                    <w:rFonts w:ascii="Swis721 Lt BT" w:hAnsi="Swis721 Lt BT" w:cs="Swis721 Lt BT" w:eastAsia="Swis721 Lt BT"/>
                    <w:sz w:val="16"/>
                    <w:szCs w:val="16"/>
                  </w:rPr>
                </w:pPr>
                <w:r>
                  <w:rPr>
                    <w:rFonts w:ascii="Swis721 Lt BT"/>
                    <w:color w:val="231F20"/>
                    <w:sz w:val="16"/>
                  </w:rPr>
                  <w:t>45</w:t>
                </w:r>
                <w:r>
                  <w:rPr>
                    <w:rFonts w:ascii="Swis721 Lt BT"/>
                    <w:sz w:val="16"/>
                  </w:rPr>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830769pt;margin-top:673.894653pt;width:304.4pt;height:10pt;mso-position-horizontal-relative:page;mso-position-vertical-relative:page;z-index:-184168" type="#_x0000_t202" filled="false" stroked="false">
          <v:textbox inset="0,0,0,0">
            <w:txbxContent>
              <w:p>
                <w:pPr>
                  <w:spacing w:line="184" w:lineRule="exact" w:before="0"/>
                  <w:ind w:left="20" w:right="0" w:firstLine="0"/>
                  <w:jc w:val="left"/>
                  <w:rPr>
                    <w:rFonts w:ascii="Arial" w:hAnsi="Arial" w:cs="Arial" w:eastAsia="Arial"/>
                    <w:sz w:val="16"/>
                    <w:szCs w:val="16"/>
                  </w:rPr>
                </w:pPr>
                <w:r>
                  <w:rPr>
                    <w:rFonts w:ascii="Arial"/>
                    <w:color w:val="504648"/>
                    <w:w w:val="85"/>
                    <w:sz w:val="16"/>
                  </w:rPr>
                  <w:t>AlSTRAl.lo\N</w:t>
                </w:r>
                <w:r>
                  <w:rPr>
                    <w:rFonts w:ascii="Arial"/>
                    <w:color w:val="504648"/>
                    <w:spacing w:val="4"/>
                    <w:w w:val="85"/>
                    <w:sz w:val="16"/>
                  </w:rPr>
                  <w:t> </w:t>
                </w:r>
                <w:r>
                  <w:rPr>
                    <w:rFonts w:ascii="Arial"/>
                    <w:color w:val="504648"/>
                    <w:spacing w:val="-19"/>
                    <w:w w:val="85"/>
                    <w:sz w:val="16"/>
                  </w:rPr>
                  <w:t>I</w:t>
                </w:r>
                <w:r>
                  <w:rPr>
                    <w:rFonts w:ascii="Arial"/>
                    <w:color w:val="504648"/>
                    <w:w w:val="85"/>
                    <w:sz w:val="16"/>
                  </w:rPr>
                  <w:t>NSTITUTE</w:t>
                </w:r>
                <w:r>
                  <w:rPr>
                    <w:rFonts w:ascii="Arial"/>
                    <w:color w:val="504648"/>
                    <w:spacing w:val="-5"/>
                    <w:w w:val="85"/>
                    <w:sz w:val="16"/>
                  </w:rPr>
                  <w:t> </w:t>
                </w:r>
                <w:r>
                  <w:rPr>
                    <w:rFonts w:ascii="Arial"/>
                    <w:color w:val="504648"/>
                    <w:w w:val="85"/>
                    <w:sz w:val="16"/>
                  </w:rPr>
                  <w:t>FOR</w:t>
                </w:r>
                <w:r>
                  <w:rPr>
                    <w:rFonts w:ascii="Arial"/>
                    <w:color w:val="504648"/>
                    <w:spacing w:val="-19"/>
                    <w:w w:val="85"/>
                    <w:sz w:val="16"/>
                  </w:rPr>
                  <w:t> </w:t>
                </w:r>
                <w:r>
                  <w:rPr>
                    <w:rFonts w:ascii="Arial"/>
                    <w:color w:val="504648"/>
                    <w:w w:val="85"/>
                    <w:sz w:val="16"/>
                  </w:rPr>
                  <w:t>TEQCH</w:t>
                </w:r>
                <w:r>
                  <w:rPr>
                    <w:rFonts w:ascii="Arial"/>
                    <w:color w:val="504648"/>
                    <w:spacing w:val="-6"/>
                    <w:w w:val="85"/>
                    <w:sz w:val="16"/>
                  </w:rPr>
                  <w:t>I</w:t>
                </w:r>
                <w:r>
                  <w:rPr>
                    <w:rFonts w:ascii="Arial"/>
                    <w:color w:val="504648"/>
                    <w:w w:val="85"/>
                    <w:sz w:val="16"/>
                  </w:rPr>
                  <w:t>N</w:t>
                </w:r>
                <w:r>
                  <w:rPr>
                    <w:rFonts w:ascii="Arial"/>
                    <w:color w:val="504648"/>
                    <w:spacing w:val="12"/>
                    <w:w w:val="85"/>
                    <w:sz w:val="16"/>
                  </w:rPr>
                  <w:t>G</w:t>
                </w:r>
                <w:r>
                  <w:rPr>
                    <w:rFonts w:ascii="Arial"/>
                    <w:color w:val="504648"/>
                    <w:w w:val="85"/>
                    <w:sz w:val="16"/>
                  </w:rPr>
                  <w:t>AN</w:t>
                </w:r>
                <w:r>
                  <w:rPr>
                    <w:rFonts w:ascii="Arial"/>
                    <w:color w:val="504648"/>
                    <w:spacing w:val="12"/>
                    <w:w w:val="85"/>
                    <w:sz w:val="16"/>
                  </w:rPr>
                  <w:t>O</w:t>
                </w:r>
                <w:r>
                  <w:rPr>
                    <w:rFonts w:ascii="Arial"/>
                    <w:color w:val="504648"/>
                    <w:w w:val="85"/>
                    <w:sz w:val="16"/>
                  </w:rPr>
                  <w:t>SCHOOL</w:t>
                </w:r>
                <w:r>
                  <w:rPr>
                    <w:rFonts w:ascii="Arial"/>
                    <w:color w:val="504648"/>
                    <w:spacing w:val="-15"/>
                    <w:w w:val="85"/>
                    <w:sz w:val="16"/>
                  </w:rPr>
                  <w:t> </w:t>
                </w:r>
                <w:r>
                  <w:rPr>
                    <w:rFonts w:ascii="Arial"/>
                    <w:color w:val="504648"/>
                    <w:w w:val="85"/>
                    <w:sz w:val="16"/>
                  </w:rPr>
                  <w:t>LEADERSH</w:t>
                </w:r>
                <w:r>
                  <w:rPr>
                    <w:rFonts w:ascii="Arial"/>
                    <w:color w:val="504648"/>
                    <w:spacing w:val="-5"/>
                    <w:w w:val="85"/>
                    <w:sz w:val="16"/>
                  </w:rPr>
                  <w:t>I</w:t>
                </w:r>
                <w:r>
                  <w:rPr>
                    <w:rFonts w:ascii="Arial"/>
                    <w:color w:val="504648"/>
                    <w:spacing w:val="-4"/>
                    <w:w w:val="85"/>
                    <w:sz w:val="16"/>
                  </w:rPr>
                  <w:t>P</w:t>
                </w:r>
                <w:r>
                  <w:rPr>
                    <w:rFonts w:ascii="Arial"/>
                    <w:color w:val="67575B"/>
                    <w:spacing w:val="-27"/>
                    <w:w w:val="85"/>
                    <w:sz w:val="16"/>
                  </w:rPr>
                  <w:t>L</w:t>
                </w:r>
                <w:r>
                  <w:rPr>
                    <w:rFonts w:ascii="Arial"/>
                    <w:color w:val="67575B"/>
                    <w:spacing w:val="-34"/>
                    <w:w w:val="85"/>
                    <w:sz w:val="16"/>
                  </w:rPr>
                  <w:t>I</w:t>
                </w:r>
                <w:r>
                  <w:rPr>
                    <w:rFonts w:ascii="Arial"/>
                    <w:color w:val="67575B"/>
                    <w:w w:val="85"/>
                    <w:sz w:val="16"/>
                  </w:rPr>
                  <w:t>MITED</w:t>
                </w:r>
                <w:r>
                  <w:rPr>
                    <w:rFonts w:ascii="Arial"/>
                    <w:color w:val="67575B"/>
                    <w:spacing w:val="-20"/>
                    <w:w w:val="85"/>
                    <w:sz w:val="16"/>
                  </w:rPr>
                  <w:t> </w:t>
                </w:r>
                <w:r>
                  <w:rPr>
                    <w:rFonts w:ascii="Arial"/>
                    <w:color w:val="67575B"/>
                    <w:spacing w:val="6"/>
                    <w:w w:val="85"/>
                    <w:sz w:val="16"/>
                  </w:rPr>
                  <w:t>-</w:t>
                </w:r>
                <w:r>
                  <w:rPr>
                    <w:rFonts w:ascii="Arial"/>
                    <w:color w:val="67575B"/>
                    <w:w w:val="85"/>
                    <w:sz w:val="16"/>
                  </w:rPr>
                  <w:t>ACM</w:t>
                </w:r>
                <w:r>
                  <w:rPr>
                    <w:rFonts w:ascii="Arial"/>
                    <w:color w:val="67575B"/>
                    <w:spacing w:val="-5"/>
                    <w:w w:val="85"/>
                    <w:sz w:val="16"/>
                  </w:rPr>
                  <w:t> </w:t>
                </w:r>
                <w:r>
                  <w:rPr>
                    <w:rFonts w:ascii="Arial"/>
                    <w:color w:val="504648"/>
                    <w:w w:val="85"/>
                    <w:sz w:val="16"/>
                  </w:rPr>
                  <w:t>1</w:t>
                </w:r>
                <w:r>
                  <w:rPr>
                    <w:rFonts w:ascii="Arial"/>
                    <w:color w:val="504648"/>
                    <w:spacing w:val="6"/>
                    <w:w w:val="85"/>
                    <w:sz w:val="16"/>
                  </w:rPr>
                  <w:t>1</w:t>
                </w:r>
                <w:r>
                  <w:rPr>
                    <w:rFonts w:ascii="Arial"/>
                    <w:color w:val="504648"/>
                    <w:spacing w:val="21"/>
                    <w:w w:val="85"/>
                    <w:sz w:val="16"/>
                  </w:rPr>
                  <w:t>7</w:t>
                </w:r>
                <w:r>
                  <w:rPr>
                    <w:rFonts w:ascii="Arial"/>
                    <w:color w:val="504648"/>
                    <w:w w:val="85"/>
                    <w:sz w:val="16"/>
                  </w:rPr>
                  <w:t>352</w:t>
                </w:r>
                <w:r>
                  <w:rPr>
                    <w:rFonts w:ascii="Arial"/>
                    <w:color w:val="504648"/>
                    <w:spacing w:val="-11"/>
                    <w:w w:val="85"/>
                    <w:sz w:val="16"/>
                  </w:rPr>
                  <w:t> </w:t>
                </w:r>
                <w:r>
                  <w:rPr>
                    <w:rFonts w:ascii="Arial"/>
                    <w:color w:val="504648"/>
                    <w:w w:val="85"/>
                    <w:sz w:val="16"/>
                  </w:rPr>
                  <w:t>740</w:t>
                </w:r>
                <w:r>
                  <w:rPr>
                    <w:rFonts w:ascii="Arial"/>
                    <w:sz w:val="16"/>
                  </w:rPr>
                </w:r>
              </w:p>
            </w:txbxContent>
          </v:textbox>
          <w10:wrap type="none"/>
        </v:shape>
      </w:pict>
    </w:r>
    <w:r>
      <w:rPr/>
      <w:pict>
        <v:shape style="position:absolute;margin-left:444.930389pt;margin-top:674.831482pt;width:11.9pt;height:11.5pt;mso-position-horizontal-relative:page;mso-position-vertical-relative:page;z-index:-184144" type="#_x0000_t202" filled="false" stroked="false">
          <v:textbox inset="0,0,0,0">
            <w:txbxContent>
              <w:p>
                <w:pPr>
                  <w:pStyle w:val="BodyText"/>
                  <w:spacing w:line="240" w:lineRule="auto" w:before="1"/>
                  <w:ind w:left="20" w:right="0"/>
                  <w:jc w:val="left"/>
                  <w:rPr>
                    <w:rFonts w:ascii="Courier New" w:hAnsi="Courier New" w:cs="Courier New" w:eastAsia="Courier New"/>
                  </w:rPr>
                </w:pPr>
                <w:r>
                  <w:rPr>
                    <w:rFonts w:ascii="Courier New"/>
                    <w:color w:val="504648"/>
                    <w:spacing w:val="-14"/>
                  </w:rPr>
                  <w:t>47</w:t>
                </w:r>
                <w:r>
                  <w:rPr>
                    <w:rFonts w:ascii="Courier New"/>
                  </w:rPr>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519699pt;margin-top:675.062561pt;width:12.55pt;height:10pt;mso-position-horizontal-relative:page;mso-position-vertical-relative:page;z-index:-184120"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48</w:t>
                </w:r>
                <w:r>
                  <w:rPr/>
                  <w:fldChar w:fldCharType="end"/>
                </w:r>
                <w:r>
                  <w:rPr>
                    <w:rFonts w:ascii="Swis721 Lt BT"/>
                    <w:sz w:val="16"/>
                  </w:rPr>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0pt;width:498.9pt;height:708.7pt;mso-position-horizontal-relative:page;mso-position-vertical-relative:page;z-index:-184096" coordorigin="0,0" coordsize="9978,14174">
          <v:shape style="position:absolute;left:0;top:0;width:9978;height:14174" coordorigin="0,0" coordsize="9978,14174" path="m0,14173l9978,14173,9978,0,0,0,0,14173e" filled="true" fillcolor="#dddfe1" stroked="false">
            <v:path arrowok="t"/>
            <v:fill type="solid"/>
          </v:shape>
          <w10:wrap type="none"/>
        </v:group>
      </w:pict>
    </w:r>
    <w:r>
      <w:rPr/>
      <w:pict>
        <v:shape style="position:absolute;margin-left:55.692902pt;margin-top:675.062622pt;width:305.150pt;height:9pt;mso-position-horizontal-relative:page;mso-position-vertical-relative:page;z-index:-184072" type="#_x0000_t202" filled="false" stroked="false">
          <v:textbox inset="0,0,0,0">
            <w:txbxContent>
              <w:p>
                <w:pPr>
                  <w:spacing w:line="166" w:lineRule="exact" w:before="0"/>
                  <w:ind w:left="20" w:right="0" w:firstLine="0"/>
                  <w:jc w:val="lef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AUSTRALIAN</w:t>
                </w:r>
                <w:r>
                  <w:rPr>
                    <w:rFonts w:ascii="Swis721 Lt BT" w:hAnsi="Swis721 Lt BT" w:cs="Swis721 Lt BT" w:eastAsia="Swis721 Lt BT"/>
                    <w:color w:val="231F20"/>
                    <w:sz w:val="14"/>
                    <w:szCs w:val="14"/>
                  </w:rPr>
                  <w:t> INSTITUTE FOR TEACHING AND SCHOOL LEADERSHIP LIMITED – ACN 117 362 740</w:t>
                </w:r>
                <w:r>
                  <w:rPr>
                    <w:rFonts w:ascii="Swis721 Lt BT" w:hAnsi="Swis721 Lt BT" w:cs="Swis721 Lt BT" w:eastAsia="Swis721 Lt BT"/>
                    <w:sz w:val="14"/>
                    <w:szCs w:val="14"/>
                  </w:rPr>
                </w:r>
              </w:p>
            </w:txbxContent>
          </v:textbox>
          <w10:wrap type="none"/>
        </v:shape>
      </w:pict>
    </w:r>
    <w:r>
      <w:rPr/>
      <w:pict>
        <v:shape style="position:absolute;margin-left:446.865997pt;margin-top:675.062561pt;width:10.55pt;height:10pt;mso-position-horizontal-relative:page;mso-position-vertical-relative:page;z-index:-184048" type="#_x0000_t202" filled="false" stroked="false">
          <v:textbox inset="0,0,0,0">
            <w:txbxContent>
              <w:p>
                <w:pPr>
                  <w:spacing w:line="186" w:lineRule="exact" w:before="0"/>
                  <w:ind w:left="20" w:right="0" w:firstLine="0"/>
                  <w:jc w:val="left"/>
                  <w:rPr>
                    <w:rFonts w:ascii="Swis721 Lt BT" w:hAnsi="Swis721 Lt BT" w:cs="Swis721 Lt BT" w:eastAsia="Swis721 Lt BT"/>
                    <w:sz w:val="16"/>
                    <w:szCs w:val="16"/>
                  </w:rPr>
                </w:pPr>
                <w:r>
                  <w:rPr>
                    <w:rFonts w:ascii="Swis721 Lt BT"/>
                    <w:color w:val="231F20"/>
                    <w:sz w:val="16"/>
                  </w:rPr>
                  <w:t>49</w:t>
                </w:r>
                <w:r>
                  <w:rPr>
                    <w:rFonts w:ascii="Swis721 Lt BT"/>
                    <w:sz w:val="16"/>
                  </w:rPr>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153019pt;margin-top:673.839294pt;width:306.25pt;height:10pt;mso-position-horizontal-relative:page;mso-position-vertical-relative:page;z-index:-184024" type="#_x0000_t202" filled="false" stroked="false">
          <v:textbox inset="0,0,0,0">
            <w:txbxContent>
              <w:p>
                <w:pPr>
                  <w:spacing w:line="184" w:lineRule="exact" w:before="0"/>
                  <w:ind w:left="20" w:right="0" w:firstLine="0"/>
                  <w:jc w:val="left"/>
                  <w:rPr>
                    <w:rFonts w:ascii="Arial" w:hAnsi="Arial" w:cs="Arial" w:eastAsia="Arial"/>
                    <w:sz w:val="16"/>
                    <w:szCs w:val="16"/>
                  </w:rPr>
                </w:pPr>
                <w:r>
                  <w:rPr>
                    <w:rFonts w:ascii="Arial"/>
                    <w:color w:val="363434"/>
                    <w:w w:val="85"/>
                    <w:sz w:val="16"/>
                  </w:rPr>
                  <w:t>ALISTRAUo.N</w:t>
                </w:r>
                <w:r>
                  <w:rPr>
                    <w:rFonts w:ascii="Arial"/>
                    <w:color w:val="363434"/>
                    <w:spacing w:val="18"/>
                    <w:w w:val="85"/>
                    <w:sz w:val="16"/>
                  </w:rPr>
                  <w:t> </w:t>
                </w:r>
                <w:r>
                  <w:rPr>
                    <w:rFonts w:ascii="Arial"/>
                    <w:color w:val="363434"/>
                    <w:spacing w:val="-19"/>
                    <w:w w:val="85"/>
                    <w:sz w:val="16"/>
                  </w:rPr>
                  <w:t>I</w:t>
                </w:r>
                <w:r>
                  <w:rPr>
                    <w:rFonts w:ascii="Arial"/>
                    <w:color w:val="363434"/>
                    <w:w w:val="85"/>
                    <w:sz w:val="16"/>
                  </w:rPr>
                  <w:t>NSTITUTE</w:t>
                </w:r>
                <w:r>
                  <w:rPr>
                    <w:rFonts w:ascii="Arial"/>
                    <w:color w:val="363434"/>
                    <w:spacing w:val="7"/>
                    <w:w w:val="85"/>
                    <w:sz w:val="16"/>
                  </w:rPr>
                  <w:t> </w:t>
                </w:r>
                <w:r>
                  <w:rPr>
                    <w:rFonts w:ascii="Arial"/>
                    <w:color w:val="363434"/>
                    <w:w w:val="85"/>
                    <w:sz w:val="16"/>
                  </w:rPr>
                  <w:t>R)R</w:t>
                </w:r>
                <w:r>
                  <w:rPr>
                    <w:rFonts w:ascii="Arial"/>
                    <w:color w:val="363434"/>
                    <w:spacing w:val="-3"/>
                    <w:w w:val="85"/>
                    <w:sz w:val="16"/>
                  </w:rPr>
                  <w:t> </w:t>
                </w:r>
                <w:r>
                  <w:rPr>
                    <w:rFonts w:ascii="Arial"/>
                    <w:color w:val="363434"/>
                    <w:w w:val="85"/>
                    <w:sz w:val="16"/>
                  </w:rPr>
                  <w:t>TEACH</w:t>
                </w:r>
                <w:r>
                  <w:rPr>
                    <w:rFonts w:ascii="Arial"/>
                    <w:color w:val="363434"/>
                    <w:spacing w:val="-7"/>
                    <w:w w:val="85"/>
                    <w:sz w:val="16"/>
                  </w:rPr>
                  <w:t>I</w:t>
                </w:r>
                <w:r>
                  <w:rPr>
                    <w:rFonts w:ascii="Arial"/>
                    <w:color w:val="363434"/>
                    <w:w w:val="85"/>
                    <w:sz w:val="16"/>
                  </w:rPr>
                  <w:t>N</w:t>
                </w:r>
                <w:r>
                  <w:rPr>
                    <w:rFonts w:ascii="Arial"/>
                    <w:color w:val="363434"/>
                    <w:spacing w:val="11"/>
                    <w:w w:val="85"/>
                    <w:sz w:val="16"/>
                  </w:rPr>
                  <w:t>G</w:t>
                </w:r>
                <w:r>
                  <w:rPr>
                    <w:rFonts w:ascii="Arial"/>
                    <w:color w:val="363434"/>
                    <w:w w:val="85"/>
                    <w:sz w:val="16"/>
                  </w:rPr>
                  <w:t>AND</w:t>
                </w:r>
                <w:r>
                  <w:rPr>
                    <w:rFonts w:ascii="Arial"/>
                    <w:color w:val="363434"/>
                    <w:spacing w:val="-8"/>
                    <w:w w:val="85"/>
                    <w:sz w:val="16"/>
                  </w:rPr>
                  <w:t> </w:t>
                </w:r>
                <w:r>
                  <w:rPr>
                    <w:rFonts w:ascii="Arial"/>
                    <w:color w:val="363434"/>
                    <w:w w:val="85"/>
                    <w:sz w:val="16"/>
                  </w:rPr>
                  <w:t>SCHOOL</w:t>
                </w:r>
                <w:r>
                  <w:rPr>
                    <w:rFonts w:ascii="Arial"/>
                    <w:color w:val="363434"/>
                    <w:spacing w:val="-7"/>
                    <w:w w:val="85"/>
                    <w:sz w:val="16"/>
                  </w:rPr>
                  <w:t> </w:t>
                </w:r>
                <w:r>
                  <w:rPr>
                    <w:rFonts w:ascii="Arial"/>
                    <w:color w:val="363434"/>
                    <w:w w:val="85"/>
                    <w:sz w:val="16"/>
                  </w:rPr>
                  <w:t>LEADERSHIPL</w:t>
                </w:r>
                <w:r>
                  <w:rPr>
                    <w:rFonts w:ascii="Arial"/>
                    <w:color w:val="363434"/>
                    <w:spacing w:val="-20"/>
                    <w:w w:val="85"/>
                    <w:sz w:val="16"/>
                  </w:rPr>
                  <w:t>I</w:t>
                </w:r>
                <w:r>
                  <w:rPr>
                    <w:rFonts w:ascii="Arial"/>
                    <w:color w:val="363434"/>
                    <w:w w:val="85"/>
                    <w:sz w:val="16"/>
                  </w:rPr>
                  <w:t>MITED-ACN 117362</w:t>
                </w:r>
                <w:r>
                  <w:rPr>
                    <w:rFonts w:ascii="Arial"/>
                    <w:color w:val="363434"/>
                    <w:spacing w:val="-7"/>
                    <w:w w:val="85"/>
                    <w:sz w:val="16"/>
                  </w:rPr>
                  <w:t> </w:t>
                </w:r>
                <w:r>
                  <w:rPr>
                    <w:rFonts w:ascii="Arial"/>
                    <w:color w:val="363434"/>
                    <w:w w:val="85"/>
                    <w:sz w:val="16"/>
                  </w:rPr>
                  <w:t>740</w:t>
                </w:r>
                <w:r>
                  <w:rPr>
                    <w:rFonts w:ascii="Arial"/>
                    <w:sz w:val="16"/>
                  </w:rPr>
                </w:r>
              </w:p>
            </w:txbxContent>
          </v:textbox>
          <w10:wrap type="none"/>
        </v:shape>
      </w:pict>
    </w:r>
    <w:r>
      <w:rPr/>
      <w:pict>
        <v:shape style="position:absolute;margin-left:445.784393pt;margin-top:673.799194pt;width:13.1pt;height:11pt;mso-position-horizontal-relative:page;mso-position-vertical-relative:page;z-index:-184000"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color w:val="363434"/>
                    <w:w w:val="122"/>
                    <w:sz w:val="18"/>
                  </w:rPr>
                </w:r>
                <w:r>
                  <w:rPr/>
                  <w:fldChar w:fldCharType="begin"/>
                </w:r>
                <w:r>
                  <w:rPr>
                    <w:rFonts w:ascii="Times New Roman"/>
                    <w:color w:val="363434"/>
                    <w:w w:val="120"/>
                    <w:sz w:val="18"/>
                  </w:rPr>
                  <w:instrText> PAGE </w:instrText>
                </w:r>
                <w:r>
                  <w:rPr/>
                  <w:fldChar w:fldCharType="separate"/>
                </w:r>
                <w:r>
                  <w:rPr/>
                  <w:t>51</w:t>
                </w:r>
                <w:r>
                  <w:rPr/>
                  <w:fldChar w:fldCharType="end"/>
                </w:r>
                <w:r>
                  <w:rPr>
                    <w:rFonts w:ascii="Times New Roman"/>
                    <w:color w:val="363434"/>
                    <w:w w:val="90"/>
                    <w:sz w:val="18"/>
                  </w:rPr>
                </w:r>
                <w:r>
                  <w:rPr>
                    <w:rFonts w:ascii="Times New Roman"/>
                    <w:sz w:val="18"/>
                  </w:rPr>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519699pt;margin-top:675.053345pt;width:12.55pt;height:10.050pt;mso-position-horizontal-relative:page;mso-position-vertical-relative:page;z-index:-183976"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52</w:t>
                </w:r>
                <w:r>
                  <w:rPr/>
                  <w:fldChar w:fldCharType="end"/>
                </w:r>
                <w:r>
                  <w:rPr>
                    <w:rFonts w:ascii="Swis721 Lt BT"/>
                    <w:sz w:val="16"/>
                  </w:rPr>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92902pt;margin-top:675.062622pt;width:305.150pt;height:9pt;mso-position-horizontal-relative:page;mso-position-vertical-relative:page;z-index:-183952" type="#_x0000_t202" filled="false" stroked="false">
          <v:textbox inset="0,0,0,0">
            <w:txbxContent>
              <w:p>
                <w:pPr>
                  <w:spacing w:line="166" w:lineRule="exact" w:before="0"/>
                  <w:ind w:left="20" w:right="0" w:firstLine="0"/>
                  <w:jc w:val="left"/>
                  <w:rPr>
                    <w:rFonts w:ascii="Swis721 Lt BT" w:hAnsi="Swis721 Lt BT" w:cs="Swis721 Lt BT" w:eastAsia="Swis721 Lt BT"/>
                    <w:sz w:val="14"/>
                    <w:szCs w:val="14"/>
                  </w:rPr>
                </w:pPr>
                <w:r>
                  <w:rPr>
                    <w:rFonts w:ascii="Swis721 Lt BT" w:hAnsi="Swis721 Lt BT" w:cs="Swis721 Lt BT" w:eastAsia="Swis721 Lt BT"/>
                    <w:color w:val="231F20"/>
                    <w:spacing w:val="-1"/>
                    <w:sz w:val="14"/>
                    <w:szCs w:val="14"/>
                  </w:rPr>
                  <w:t>AUSTRALIAN</w:t>
                </w:r>
                <w:r>
                  <w:rPr>
                    <w:rFonts w:ascii="Swis721 Lt BT" w:hAnsi="Swis721 Lt BT" w:cs="Swis721 Lt BT" w:eastAsia="Swis721 Lt BT"/>
                    <w:color w:val="231F20"/>
                    <w:sz w:val="14"/>
                    <w:szCs w:val="14"/>
                  </w:rPr>
                  <w:t> INSTITUTE FOR TEACHING AND SCHOOL LEADERSHIP LIMITED – ACN 117 362 740</w:t>
                </w:r>
                <w:r>
                  <w:rPr>
                    <w:rFonts w:ascii="Swis721 Lt BT" w:hAnsi="Swis721 Lt BT" w:cs="Swis721 Lt BT" w:eastAsia="Swis721 Lt BT"/>
                    <w:sz w:val="14"/>
                    <w:szCs w:val="14"/>
                  </w:rPr>
                </w:r>
              </w:p>
            </w:txbxContent>
          </v:textbox>
          <w10:wrap type="none"/>
        </v:shape>
      </w:pict>
    </w:r>
    <w:r>
      <w:rPr/>
      <w:pict>
        <v:shape style="position:absolute;margin-left:445.865997pt;margin-top:675.062561pt;width:12.55pt;height:10pt;mso-position-horizontal-relative:page;mso-position-vertical-relative:page;z-index:-183928"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53</w:t>
                </w:r>
                <w:r>
                  <w:rPr/>
                  <w:fldChar w:fldCharType="end"/>
                </w:r>
                <w:r>
                  <w:rPr>
                    <w:rFonts w:ascii="Swis721 Lt BT"/>
                    <w:sz w:val="16"/>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519699pt;margin-top:675.062561pt;width:8.3pt;height:10pt;mso-position-horizontal-relative:page;mso-position-vertical-relative:page;z-index:-184600"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4</w:t>
                </w:r>
                <w:r>
                  <w:rPr/>
                  <w:fldChar w:fldCharType="end"/>
                </w:r>
                <w:r>
                  <w:rPr>
                    <w:rFonts w:ascii="Swis721 Lt BT"/>
                    <w:sz w:val="16"/>
                  </w:rPr>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519699pt;margin-top:675.063843pt;width:12.55pt;height:10pt;mso-position-horizontal-relative:page;mso-position-vertical-relative:page;z-index:-183904"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54</w:t>
                </w:r>
                <w:r>
                  <w:rPr/>
                  <w:fldChar w:fldCharType="end"/>
                </w:r>
                <w:r>
                  <w:rPr>
                    <w:rFonts w:ascii="Swis721 Lt BT"/>
                    <w:sz w:val="16"/>
                  </w:rPr>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2.3349pt;margin-top:541.068115pt;width:103.094pt;height:55.0pt;mso-position-horizontal-relative:page;mso-position-vertical-relative:page;z-index:-184576" type="#_x0000_t75" stroked="false">
          <v:imagedata r:id="rId1" o:title=""/>
        </v:shape>
      </w:pict>
    </w:r>
    <w:r>
      <w:rPr/>
      <w:pict>
        <v:shape style="position:absolute;margin-left:264.037415pt;margin-top:514.149902pt;width:137.15pt;height:22.35pt;mso-position-horizontal-relative:page;mso-position-vertical-relative:page;z-index:-184552" type="#_x0000_t202" filled="false" stroked="false">
          <v:textbox inset="0,0,0,0">
            <w:txbxContent>
              <w:p>
                <w:pPr>
                  <w:pStyle w:val="BodyText"/>
                  <w:spacing w:line="216" w:lineRule="exact" w:before="0"/>
                  <w:ind w:left="20" w:right="18"/>
                  <w:jc w:val="left"/>
                  <w:rPr>
                    <w:rFonts w:ascii="Swis721 Md BT" w:hAnsi="Swis721 Md BT" w:cs="Swis721 Md BT" w:eastAsia="Swis721 Md BT"/>
                  </w:rPr>
                </w:pPr>
                <w:r>
                  <w:rPr>
                    <w:rFonts w:ascii="Swis721 Md BT"/>
                    <w:color w:val="303B41"/>
                  </w:rPr>
                  <w:t>Laureate Professor John Hattie Chair</w:t>
                </w:r>
                <w:r>
                  <w:rPr>
                    <w:rFonts w:ascii="Swis721 Md BT"/>
                  </w:rPr>
                </w:r>
              </w:p>
            </w:txbxContent>
          </v:textbox>
          <w10:wrap type="none"/>
        </v:shape>
      </w:pict>
    </w:r>
    <w:r>
      <w:rPr/>
      <w:pict>
        <v:shape style="position:absolute;margin-left:55.692902pt;margin-top:514.805359pt;width:189.95pt;height:131.2pt;mso-position-horizontal-relative:page;mso-position-vertical-relative:page;z-index:-184528" type="#_x0000_t202" filled="false" stroked="false">
          <v:textbox inset="0,0,0,0">
            <w:txbxContent>
              <w:p>
                <w:pPr>
                  <w:pStyle w:val="BodyText"/>
                  <w:spacing w:line="240" w:lineRule="auto" w:before="0"/>
                  <w:ind w:left="20" w:right="18"/>
                  <w:jc w:val="left"/>
                </w:pPr>
                <w:r>
                  <w:rPr>
                    <w:color w:val="231F20"/>
                  </w:rPr>
                  <w:t>received and demonstrated again the value of providing powerful and practical resources.</w:t>
                </w:r>
                <w:r>
                  <w:rPr/>
                </w:r>
              </w:p>
              <w:p>
                <w:pPr>
                  <w:pStyle w:val="BodyText"/>
                  <w:spacing w:line="240" w:lineRule="auto"/>
                  <w:ind w:left="20" w:right="153"/>
                  <w:jc w:val="left"/>
                </w:pPr>
                <w:r>
                  <w:rPr>
                    <w:color w:val="231F20"/>
                  </w:rPr>
                  <w:t>AITSL Deputy Chair Chris </w:t>
                </w:r>
                <w:r>
                  <w:rPr>
                    <w:color w:val="231F20"/>
                    <w:spacing w:val="-1"/>
                  </w:rPr>
                  <w:t>Wardlaw</w:t>
                </w:r>
                <w:r>
                  <w:rPr>
                    <w:color w:val="231F20"/>
                  </w:rPr>
                  <w:t> led the</w:t>
                </w:r>
                <w:r>
                  <w:rPr>
                    <w:color w:val="231F20"/>
                    <w:spacing w:val="23"/>
                  </w:rPr>
                  <w:t> </w:t>
                </w:r>
                <w:r>
                  <w:rPr>
                    <w:color w:val="231F20"/>
                  </w:rPr>
                  <w:t>Expert </w:t>
                </w:r>
                <w:r>
                  <w:rPr>
                    <w:color w:val="231F20"/>
                    <w:spacing w:val="-2"/>
                  </w:rPr>
                  <w:t>Panel</w:t>
                </w:r>
                <w:r>
                  <w:rPr>
                    <w:color w:val="231F20"/>
                  </w:rPr>
                  <w:t> for the National Review of</w:t>
                </w:r>
                <w:r>
                  <w:rPr>
                    <w:color w:val="231F20"/>
                    <w:spacing w:val="24"/>
                  </w:rPr>
                  <w:t> </w:t>
                </w:r>
                <w:r>
                  <w:rPr>
                    <w:color w:val="231F20"/>
                    <w:spacing w:val="-26"/>
                  </w:rPr>
                  <w:t>T</w:t>
                </w:r>
                <w:r>
                  <w:rPr>
                    <w:color w:val="231F20"/>
                  </w:rPr>
                  <w:t>eacher Registration to develop and release</w:t>
                </w:r>
                <w:r>
                  <w:rPr>
                    <w:color w:val="231F20"/>
                  </w:rPr>
                  <w:t> 17 recommendations in its report </w:t>
                </w:r>
                <w:r>
                  <w:rPr>
                    <w:rFonts w:ascii="Swis721 Lt BT"/>
                    <w:i/>
                    <w:color w:val="231F20"/>
                  </w:rPr>
                  <w:t>One</w:t>
                </w:r>
                <w:r>
                  <w:rPr>
                    <w:rFonts w:ascii="Swis721 Lt BT"/>
                    <w:i/>
                    <w:color w:val="231F20"/>
                  </w:rPr>
                  <w:t> </w:t>
                </w:r>
                <w:r>
                  <w:rPr>
                    <w:rFonts w:ascii="Swis721 Lt BT"/>
                    <w:i/>
                    <w:color w:val="231F20"/>
                    <w:spacing w:val="-3"/>
                  </w:rPr>
                  <w:t>Teaching</w:t>
                </w:r>
                <w:r>
                  <w:rPr>
                    <w:rFonts w:ascii="Swis721 Lt BT"/>
                    <w:i/>
                    <w:color w:val="231F20"/>
                  </w:rPr>
                  <w:t> Profession: </w:t>
                </w:r>
                <w:r>
                  <w:rPr>
                    <w:rFonts w:ascii="Swis721 Lt BT"/>
                    <w:i/>
                    <w:color w:val="231F20"/>
                    <w:spacing w:val="-4"/>
                  </w:rPr>
                  <w:t>Teacher</w:t>
                </w:r>
                <w:r>
                  <w:rPr>
                    <w:rFonts w:ascii="Swis721 Lt BT"/>
                    <w:i/>
                    <w:color w:val="231F20"/>
                  </w:rPr>
                  <w:t> Registration in</w:t>
                </w:r>
                <w:r>
                  <w:rPr>
                    <w:rFonts w:ascii="Swis721 Lt BT"/>
                    <w:i/>
                    <w:color w:val="231F20"/>
                    <w:spacing w:val="27"/>
                  </w:rPr>
                  <w:t> </w:t>
                </w:r>
                <w:r>
                  <w:rPr>
                    <w:rFonts w:ascii="Swis721 Lt BT"/>
                    <w:i/>
                    <w:color w:val="231F20"/>
                  </w:rPr>
                  <w:t>Australia</w:t>
                </w:r>
                <w:r>
                  <w:rPr>
                    <w:color w:val="231F20"/>
                  </w:rPr>
                  <w:t>.</w:t>
                </w:r>
                <w:r>
                  <w:rPr>
                    <w:color w:val="231F20"/>
                    <w:spacing w:val="-3"/>
                  </w:rPr>
                  <w:t> </w:t>
                </w:r>
                <w:r>
                  <w:rPr>
                    <w:color w:val="231F20"/>
                  </w:rPr>
                  <w:t>While</w:t>
                </w:r>
                <w:r>
                  <w:rPr>
                    <w:color w:val="231F20"/>
                    <w:spacing w:val="-2"/>
                  </w:rPr>
                  <w:t> </w:t>
                </w:r>
                <w:r>
                  <w:rPr>
                    <w:color w:val="231F20"/>
                  </w:rPr>
                  <w:t>a</w:t>
                </w:r>
                <w:r>
                  <w:rPr>
                    <w:color w:val="231F20"/>
                    <w:spacing w:val="-2"/>
                  </w:rPr>
                  <w:t> </w:t>
                </w:r>
                <w:r>
                  <w:rPr>
                    <w:color w:val="231F20"/>
                  </w:rPr>
                  <w:t>significant</w:t>
                </w:r>
                <w:r>
                  <w:rPr>
                    <w:color w:val="231F20"/>
                    <w:spacing w:val="-2"/>
                  </w:rPr>
                  <w:t> </w:t>
                </w:r>
                <w:r>
                  <w:rPr>
                    <w:color w:val="231F20"/>
                  </w:rPr>
                  <w:t>achievement,</w:t>
                </w:r>
                <w:r>
                  <w:rPr>
                    <w:color w:val="231F20"/>
                  </w:rPr>
                  <w:t> work continued on the important aspects of implementation planning aimed at delivering a stronger registration system.</w:t>
                </w:r>
                <w:r>
                  <w:rPr/>
                </w:r>
              </w:p>
            </w:txbxContent>
          </v:textbox>
          <w10:wrap type="none"/>
        </v:shape>
      </w:pict>
    </w:r>
    <w:r>
      <w:rPr/>
      <w:pict>
        <v:shape style="position:absolute;margin-left:451.122009pt;margin-top:675.062561pt;width:6.3pt;height:10pt;mso-position-horizontal-relative:page;mso-position-vertical-relative:page;z-index:-184504" type="#_x0000_t202" filled="false" stroked="false">
          <v:textbox inset="0,0,0,0">
            <w:txbxContent>
              <w:p>
                <w:pPr>
                  <w:spacing w:line="186" w:lineRule="exact" w:before="0"/>
                  <w:ind w:left="20" w:right="0" w:firstLine="0"/>
                  <w:jc w:val="left"/>
                  <w:rPr>
                    <w:rFonts w:ascii="Swis721 Lt BT" w:hAnsi="Swis721 Lt BT" w:cs="Swis721 Lt BT" w:eastAsia="Swis721 Lt BT"/>
                    <w:sz w:val="16"/>
                    <w:szCs w:val="16"/>
                  </w:rPr>
                </w:pPr>
                <w:r>
                  <w:rPr>
                    <w:rFonts w:ascii="Swis721 Lt BT"/>
                    <w:color w:val="231F20"/>
                    <w:sz w:val="16"/>
                  </w:rPr>
                  <w:t>5</w:t>
                </w:r>
                <w:r>
                  <w:rPr>
                    <w:rFonts w:ascii="Swis721 Lt BT"/>
                    <w:sz w:val="16"/>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51.122009pt;margin-top:675.062561pt;width:6.3pt;height:10pt;mso-position-horizontal-relative:page;mso-position-vertical-relative:page;z-index:-184480" type="#_x0000_t202" filled="false" stroked="false">
          <v:textbox inset="0,0,0,0">
            <w:txbxContent>
              <w:p>
                <w:pPr>
                  <w:spacing w:line="186" w:lineRule="exact" w:before="0"/>
                  <w:ind w:left="20" w:right="0" w:firstLine="0"/>
                  <w:jc w:val="left"/>
                  <w:rPr>
                    <w:rFonts w:ascii="Swis721 Lt BT" w:hAnsi="Swis721 Lt BT" w:cs="Swis721 Lt BT" w:eastAsia="Swis721 Lt BT"/>
                    <w:sz w:val="16"/>
                    <w:szCs w:val="16"/>
                  </w:rPr>
                </w:pPr>
                <w:r>
                  <w:rPr>
                    <w:rFonts w:ascii="Swis721 Lt BT"/>
                    <w:color w:val="231F20"/>
                    <w:sz w:val="16"/>
                  </w:rPr>
                  <w:t>7</w:t>
                </w:r>
                <w:r>
                  <w:rPr>
                    <w:rFonts w:ascii="Swis721 Lt BT"/>
                    <w:sz w:val="16"/>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50.900009pt;width:498.9pt;height:657.8pt;mso-position-horizontal-relative:page;mso-position-vertical-relative:page;z-index:-184456" coordorigin="0,1018" coordsize="9978,13156">
          <v:shape style="position:absolute;left:0;top:1018;width:9978;height:13156" coordorigin="0,1018" coordsize="9978,13156" path="m0,14173l9978,14173,9978,1018,0,1018,0,14173xe" filled="true" fillcolor="#005e63" stroked="false">
            <v:path arrowok="t"/>
            <v:fill type="solid"/>
          </v:shape>
          <w10:wrap type="none"/>
        </v:group>
      </w:pict>
    </w:r>
    <w:r>
      <w:rPr/>
      <w:pict>
        <v:shape style="position:absolute;margin-left:40.519699pt;margin-top:675.062561pt;width:8.3pt;height:10pt;mso-position-horizontal-relative:page;mso-position-vertical-relative:page;z-index:-184432"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FFFFFF"/>
                    <w:sz w:val="16"/>
                  </w:rPr>
                </w:r>
                <w:r>
                  <w:rPr/>
                  <w:fldChar w:fldCharType="begin"/>
                </w:r>
                <w:r>
                  <w:rPr>
                    <w:rFonts w:ascii="Swis721 Lt BT"/>
                    <w:color w:val="FFFFFF"/>
                    <w:sz w:val="16"/>
                  </w:rPr>
                  <w:instrText> PAGE </w:instrText>
                </w:r>
                <w:r>
                  <w:rPr/>
                  <w:fldChar w:fldCharType="separate"/>
                </w:r>
                <w:r>
                  <w:rPr/>
                  <w:t>8</w:t>
                </w:r>
                <w:r>
                  <w:rPr/>
                  <w:fldChar w:fldCharType="end"/>
                </w:r>
                <w:r>
                  <w:rPr>
                    <w:rFonts w:ascii="Swis721 Lt BT"/>
                    <w:sz w:val="16"/>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519699pt;margin-top:675.065735pt;width:12.55pt;height:10pt;mso-position-horizontal-relative:page;mso-position-vertical-relative:page;z-index:-184408" type="#_x0000_t202" filled="false" stroked="false">
          <v:textbox inset="0,0,0,0">
            <w:txbxContent>
              <w:p>
                <w:pPr>
                  <w:spacing w:line="186" w:lineRule="exact" w:before="0"/>
                  <w:ind w:left="40" w:right="0" w:firstLine="0"/>
                  <w:jc w:val="left"/>
                  <w:rPr>
                    <w:rFonts w:ascii="Swis721 Lt BT" w:hAnsi="Swis721 Lt BT" w:cs="Swis721 Lt BT" w:eastAsia="Swis721 Lt BT"/>
                    <w:sz w:val="16"/>
                    <w:szCs w:val="16"/>
                  </w:rPr>
                </w:pPr>
                <w:r>
                  <w:rPr>
                    <w:rFonts w:ascii="Swis721 Lt BT"/>
                    <w:color w:val="231F20"/>
                    <w:sz w:val="16"/>
                  </w:rPr>
                </w:r>
                <w:r>
                  <w:rPr/>
                  <w:fldChar w:fldCharType="begin"/>
                </w:r>
                <w:r>
                  <w:rPr>
                    <w:rFonts w:ascii="Swis721 Lt BT"/>
                    <w:color w:val="231F20"/>
                    <w:sz w:val="16"/>
                  </w:rPr>
                  <w:instrText> PAGE </w:instrText>
                </w:r>
                <w:r>
                  <w:rPr/>
                  <w:fldChar w:fldCharType="separate"/>
                </w:r>
                <w:r>
                  <w:rPr/>
                  <w:t>10</w:t>
                </w:r>
                <w:r>
                  <w:rPr/>
                  <w:fldChar w:fldCharType="end"/>
                </w:r>
                <w:r>
                  <w:rPr>
                    <w:rFonts w:ascii="Swis721 Lt BT"/>
                    <w:sz w:val="16"/>
                  </w:rPr>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46.865997pt;margin-top:675.062561pt;width:10.55pt;height:10pt;mso-position-horizontal-relative:page;mso-position-vertical-relative:page;z-index:-184384" type="#_x0000_t202" filled="false" stroked="false">
          <v:textbox inset="0,0,0,0">
            <w:txbxContent>
              <w:p>
                <w:pPr>
                  <w:spacing w:line="186" w:lineRule="exact" w:before="0"/>
                  <w:ind w:left="20" w:right="0" w:firstLine="0"/>
                  <w:jc w:val="left"/>
                  <w:rPr>
                    <w:rFonts w:ascii="Swis721 Lt BT" w:hAnsi="Swis721 Lt BT" w:cs="Swis721 Lt BT" w:eastAsia="Swis721 Lt BT"/>
                    <w:sz w:val="16"/>
                    <w:szCs w:val="16"/>
                  </w:rPr>
                </w:pPr>
                <w:r>
                  <w:rPr>
                    <w:rFonts w:ascii="Swis721 Lt BT"/>
                    <w:color w:val="231F20"/>
                    <w:sz w:val="16"/>
                  </w:rPr>
                  <w:t>11</w:t>
                </w:r>
                <w:r>
                  <w:rPr>
                    <w:rFonts w:ascii="Swis721 Lt BT"/>
                    <w:sz w:val="16"/>
                  </w:rPr>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lowerLetter"/>
      <w:lvlText w:val="(%1)"/>
      <w:lvlJc w:val="left"/>
      <w:pPr>
        <w:ind w:left="1298" w:hanging="245"/>
        <w:jc w:val="left"/>
      </w:pPr>
      <w:rPr>
        <w:rFonts w:hint="default" w:ascii="Arial" w:hAnsi="Arial" w:eastAsia="Arial"/>
        <w:color w:val="74706E"/>
        <w:w w:val="96"/>
        <w:sz w:val="13"/>
        <w:szCs w:val="13"/>
      </w:rPr>
    </w:lvl>
    <w:lvl w:ilvl="1">
      <w:start w:val="1"/>
      <w:numFmt w:val="bullet"/>
      <w:lvlText w:val="•"/>
      <w:lvlJc w:val="left"/>
      <w:pPr>
        <w:ind w:left="1994" w:hanging="245"/>
      </w:pPr>
      <w:rPr>
        <w:rFonts w:hint="default"/>
      </w:rPr>
    </w:lvl>
    <w:lvl w:ilvl="2">
      <w:start w:val="1"/>
      <w:numFmt w:val="bullet"/>
      <w:lvlText w:val="•"/>
      <w:lvlJc w:val="left"/>
      <w:pPr>
        <w:ind w:left="2690" w:hanging="245"/>
      </w:pPr>
      <w:rPr>
        <w:rFonts w:hint="default"/>
      </w:rPr>
    </w:lvl>
    <w:lvl w:ilvl="3">
      <w:start w:val="1"/>
      <w:numFmt w:val="bullet"/>
      <w:lvlText w:val="•"/>
      <w:lvlJc w:val="left"/>
      <w:pPr>
        <w:ind w:left="3386" w:hanging="245"/>
      </w:pPr>
      <w:rPr>
        <w:rFonts w:hint="default"/>
      </w:rPr>
    </w:lvl>
    <w:lvl w:ilvl="4">
      <w:start w:val="1"/>
      <w:numFmt w:val="bullet"/>
      <w:lvlText w:val="•"/>
      <w:lvlJc w:val="left"/>
      <w:pPr>
        <w:ind w:left="4082" w:hanging="245"/>
      </w:pPr>
      <w:rPr>
        <w:rFonts w:hint="default"/>
      </w:rPr>
    </w:lvl>
    <w:lvl w:ilvl="5">
      <w:start w:val="1"/>
      <w:numFmt w:val="bullet"/>
      <w:lvlText w:val="•"/>
      <w:lvlJc w:val="left"/>
      <w:pPr>
        <w:ind w:left="4778" w:hanging="245"/>
      </w:pPr>
      <w:rPr>
        <w:rFonts w:hint="default"/>
      </w:rPr>
    </w:lvl>
    <w:lvl w:ilvl="6">
      <w:start w:val="1"/>
      <w:numFmt w:val="bullet"/>
      <w:lvlText w:val="•"/>
      <w:lvlJc w:val="left"/>
      <w:pPr>
        <w:ind w:left="5474" w:hanging="245"/>
      </w:pPr>
      <w:rPr>
        <w:rFonts w:hint="default"/>
      </w:rPr>
    </w:lvl>
    <w:lvl w:ilvl="7">
      <w:start w:val="1"/>
      <w:numFmt w:val="bullet"/>
      <w:lvlText w:val="•"/>
      <w:lvlJc w:val="left"/>
      <w:pPr>
        <w:ind w:left="6170" w:hanging="245"/>
      </w:pPr>
      <w:rPr>
        <w:rFonts w:hint="default"/>
      </w:rPr>
    </w:lvl>
    <w:lvl w:ilvl="8">
      <w:start w:val="1"/>
      <w:numFmt w:val="bullet"/>
      <w:lvlText w:val="•"/>
      <w:lvlJc w:val="left"/>
      <w:pPr>
        <w:ind w:left="6866" w:hanging="245"/>
      </w:pPr>
      <w:rPr>
        <w:rFonts w:hint="default"/>
      </w:rPr>
    </w:lvl>
  </w:abstractNum>
  <w:abstractNum w:abstractNumId="4">
    <w:multiLevelType w:val="hybridMultilevel"/>
    <w:lvl w:ilvl="0">
      <w:start w:val="3"/>
      <w:numFmt w:val="decimal"/>
      <w:lvlText w:val="%1"/>
      <w:lvlJc w:val="left"/>
      <w:pPr>
        <w:ind w:left="481" w:hanging="368"/>
        <w:jc w:val="left"/>
      </w:pPr>
      <w:rPr>
        <w:rFonts w:hint="default"/>
      </w:rPr>
    </w:lvl>
    <w:lvl w:ilvl="1">
      <w:start w:val="1"/>
      <w:numFmt w:val="decimal"/>
      <w:lvlText w:val="%1.%2"/>
      <w:lvlJc w:val="left"/>
      <w:pPr>
        <w:ind w:left="481" w:hanging="368"/>
        <w:jc w:val="left"/>
      </w:pPr>
      <w:rPr>
        <w:rFonts w:hint="default" w:ascii="Swis721 Md BT" w:hAnsi="Swis721 Md BT" w:eastAsia="Swis721 Md BT"/>
        <w:color w:val="00757A"/>
        <w:sz w:val="22"/>
        <w:szCs w:val="22"/>
      </w:rPr>
    </w:lvl>
    <w:lvl w:ilvl="2">
      <w:start w:val="1"/>
      <w:numFmt w:val="bullet"/>
      <w:lvlText w:val="•"/>
      <w:lvlJc w:val="left"/>
      <w:pPr>
        <w:ind w:left="2028" w:hanging="368"/>
      </w:pPr>
      <w:rPr>
        <w:rFonts w:hint="default"/>
      </w:rPr>
    </w:lvl>
    <w:lvl w:ilvl="3">
      <w:start w:val="1"/>
      <w:numFmt w:val="bullet"/>
      <w:lvlText w:val="•"/>
      <w:lvlJc w:val="left"/>
      <w:pPr>
        <w:ind w:left="2802" w:hanging="368"/>
      </w:pPr>
      <w:rPr>
        <w:rFonts w:hint="default"/>
      </w:rPr>
    </w:lvl>
    <w:lvl w:ilvl="4">
      <w:start w:val="1"/>
      <w:numFmt w:val="bullet"/>
      <w:lvlText w:val="•"/>
      <w:lvlJc w:val="left"/>
      <w:pPr>
        <w:ind w:left="3575" w:hanging="368"/>
      </w:pPr>
      <w:rPr>
        <w:rFonts w:hint="default"/>
      </w:rPr>
    </w:lvl>
    <w:lvl w:ilvl="5">
      <w:start w:val="1"/>
      <w:numFmt w:val="bullet"/>
      <w:lvlText w:val="•"/>
      <w:lvlJc w:val="left"/>
      <w:pPr>
        <w:ind w:left="4349" w:hanging="368"/>
      </w:pPr>
      <w:rPr>
        <w:rFonts w:hint="default"/>
      </w:rPr>
    </w:lvl>
    <w:lvl w:ilvl="6">
      <w:start w:val="1"/>
      <w:numFmt w:val="bullet"/>
      <w:lvlText w:val="•"/>
      <w:lvlJc w:val="left"/>
      <w:pPr>
        <w:ind w:left="5123" w:hanging="368"/>
      </w:pPr>
      <w:rPr>
        <w:rFonts w:hint="default"/>
      </w:rPr>
    </w:lvl>
    <w:lvl w:ilvl="7">
      <w:start w:val="1"/>
      <w:numFmt w:val="bullet"/>
      <w:lvlText w:val="•"/>
      <w:lvlJc w:val="left"/>
      <w:pPr>
        <w:ind w:left="5896" w:hanging="368"/>
      </w:pPr>
      <w:rPr>
        <w:rFonts w:hint="default"/>
      </w:rPr>
    </w:lvl>
    <w:lvl w:ilvl="8">
      <w:start w:val="1"/>
      <w:numFmt w:val="bullet"/>
      <w:lvlText w:val="•"/>
      <w:lvlJc w:val="left"/>
      <w:pPr>
        <w:ind w:left="6670" w:hanging="368"/>
      </w:pPr>
      <w:rPr>
        <w:rFonts w:hint="default"/>
      </w:rPr>
    </w:lvl>
  </w:abstractNum>
  <w:abstractNum w:abstractNumId="3">
    <w:multiLevelType w:val="hybridMultilevel"/>
    <w:lvl w:ilvl="0">
      <w:start w:val="2"/>
      <w:numFmt w:val="decimal"/>
      <w:lvlText w:val="%1"/>
      <w:lvlJc w:val="left"/>
      <w:pPr>
        <w:ind w:left="477" w:hanging="368"/>
        <w:jc w:val="left"/>
      </w:pPr>
      <w:rPr>
        <w:rFonts w:hint="default"/>
      </w:rPr>
    </w:lvl>
    <w:lvl w:ilvl="1">
      <w:start w:val="1"/>
      <w:numFmt w:val="decimal"/>
      <w:lvlText w:val="%1.%2"/>
      <w:lvlJc w:val="left"/>
      <w:pPr>
        <w:ind w:left="477" w:hanging="368"/>
        <w:jc w:val="left"/>
      </w:pPr>
      <w:rPr>
        <w:rFonts w:hint="default" w:ascii="Swis721 Md BT" w:hAnsi="Swis721 Md BT" w:eastAsia="Swis721 Md BT"/>
        <w:color w:val="00757A"/>
        <w:sz w:val="22"/>
        <w:szCs w:val="22"/>
      </w:rPr>
    </w:lvl>
    <w:lvl w:ilvl="2">
      <w:start w:val="1"/>
      <w:numFmt w:val="bullet"/>
      <w:lvlText w:val="•"/>
      <w:lvlJc w:val="left"/>
      <w:pPr>
        <w:ind w:left="2025" w:hanging="368"/>
      </w:pPr>
      <w:rPr>
        <w:rFonts w:hint="default"/>
      </w:rPr>
    </w:lvl>
    <w:lvl w:ilvl="3">
      <w:start w:val="1"/>
      <w:numFmt w:val="bullet"/>
      <w:lvlText w:val="•"/>
      <w:lvlJc w:val="left"/>
      <w:pPr>
        <w:ind w:left="2799" w:hanging="368"/>
      </w:pPr>
      <w:rPr>
        <w:rFonts w:hint="default"/>
      </w:rPr>
    </w:lvl>
    <w:lvl w:ilvl="4">
      <w:start w:val="1"/>
      <w:numFmt w:val="bullet"/>
      <w:lvlText w:val="•"/>
      <w:lvlJc w:val="left"/>
      <w:pPr>
        <w:ind w:left="3573" w:hanging="368"/>
      </w:pPr>
      <w:rPr>
        <w:rFonts w:hint="default"/>
      </w:rPr>
    </w:lvl>
    <w:lvl w:ilvl="5">
      <w:start w:val="1"/>
      <w:numFmt w:val="bullet"/>
      <w:lvlText w:val="•"/>
      <w:lvlJc w:val="left"/>
      <w:pPr>
        <w:ind w:left="4347" w:hanging="368"/>
      </w:pPr>
      <w:rPr>
        <w:rFonts w:hint="default"/>
      </w:rPr>
    </w:lvl>
    <w:lvl w:ilvl="6">
      <w:start w:val="1"/>
      <w:numFmt w:val="bullet"/>
      <w:lvlText w:val="•"/>
      <w:lvlJc w:val="left"/>
      <w:pPr>
        <w:ind w:left="5121" w:hanging="368"/>
      </w:pPr>
      <w:rPr>
        <w:rFonts w:hint="default"/>
      </w:rPr>
    </w:lvl>
    <w:lvl w:ilvl="7">
      <w:start w:val="1"/>
      <w:numFmt w:val="bullet"/>
      <w:lvlText w:val="•"/>
      <w:lvlJc w:val="left"/>
      <w:pPr>
        <w:ind w:left="5895" w:hanging="368"/>
      </w:pPr>
      <w:rPr>
        <w:rFonts w:hint="default"/>
      </w:rPr>
    </w:lvl>
    <w:lvl w:ilvl="8">
      <w:start w:val="1"/>
      <w:numFmt w:val="bullet"/>
      <w:lvlText w:val="•"/>
      <w:lvlJc w:val="left"/>
      <w:pPr>
        <w:ind w:left="6669" w:hanging="368"/>
      </w:pPr>
      <w:rPr>
        <w:rFonts w:hint="default"/>
      </w:rPr>
    </w:lvl>
  </w:abstractNum>
  <w:abstractNum w:abstractNumId="1">
    <w:multiLevelType w:val="hybridMultilevel"/>
    <w:lvl w:ilvl="0">
      <w:start w:val="1"/>
      <w:numFmt w:val="lowerRoman"/>
      <w:lvlText w:val="(%1)"/>
      <w:lvlJc w:val="left"/>
      <w:pPr>
        <w:ind w:left="2048" w:hanging="483"/>
        <w:jc w:val="left"/>
      </w:pPr>
      <w:rPr>
        <w:rFonts w:hint="default" w:ascii="Calibri" w:hAnsi="Calibri" w:eastAsia="Calibri"/>
        <w:color w:val="231F20"/>
        <w:w w:val="103"/>
        <w:sz w:val="13"/>
        <w:szCs w:val="13"/>
      </w:rPr>
    </w:lvl>
    <w:lvl w:ilvl="1">
      <w:start w:val="1"/>
      <w:numFmt w:val="bullet"/>
      <w:lvlText w:val="•"/>
      <w:lvlJc w:val="left"/>
      <w:pPr>
        <w:ind w:left="2669" w:hanging="483"/>
      </w:pPr>
      <w:rPr>
        <w:rFonts w:hint="default"/>
      </w:rPr>
    </w:lvl>
    <w:lvl w:ilvl="2">
      <w:start w:val="1"/>
      <w:numFmt w:val="bullet"/>
      <w:lvlText w:val="•"/>
      <w:lvlJc w:val="left"/>
      <w:pPr>
        <w:ind w:left="3290" w:hanging="483"/>
      </w:pPr>
      <w:rPr>
        <w:rFonts w:hint="default"/>
      </w:rPr>
    </w:lvl>
    <w:lvl w:ilvl="3">
      <w:start w:val="1"/>
      <w:numFmt w:val="bullet"/>
      <w:lvlText w:val="•"/>
      <w:lvlJc w:val="left"/>
      <w:pPr>
        <w:ind w:left="3911" w:hanging="483"/>
      </w:pPr>
      <w:rPr>
        <w:rFonts w:hint="default"/>
      </w:rPr>
    </w:lvl>
    <w:lvl w:ilvl="4">
      <w:start w:val="1"/>
      <w:numFmt w:val="bullet"/>
      <w:lvlText w:val="•"/>
      <w:lvlJc w:val="left"/>
      <w:pPr>
        <w:ind w:left="4532" w:hanging="483"/>
      </w:pPr>
      <w:rPr>
        <w:rFonts w:hint="default"/>
      </w:rPr>
    </w:lvl>
    <w:lvl w:ilvl="5">
      <w:start w:val="1"/>
      <w:numFmt w:val="bullet"/>
      <w:lvlText w:val="•"/>
      <w:lvlJc w:val="left"/>
      <w:pPr>
        <w:ind w:left="5153" w:hanging="483"/>
      </w:pPr>
      <w:rPr>
        <w:rFonts w:hint="default"/>
      </w:rPr>
    </w:lvl>
    <w:lvl w:ilvl="6">
      <w:start w:val="1"/>
      <w:numFmt w:val="bullet"/>
      <w:lvlText w:val="•"/>
      <w:lvlJc w:val="left"/>
      <w:pPr>
        <w:ind w:left="5774" w:hanging="483"/>
      </w:pPr>
      <w:rPr>
        <w:rFonts w:hint="default"/>
      </w:rPr>
    </w:lvl>
    <w:lvl w:ilvl="7">
      <w:start w:val="1"/>
      <w:numFmt w:val="bullet"/>
      <w:lvlText w:val="•"/>
      <w:lvlJc w:val="left"/>
      <w:pPr>
        <w:ind w:left="6395" w:hanging="483"/>
      </w:pPr>
      <w:rPr>
        <w:rFonts w:hint="default"/>
      </w:rPr>
    </w:lvl>
    <w:lvl w:ilvl="8">
      <w:start w:val="1"/>
      <w:numFmt w:val="bullet"/>
      <w:lvlText w:val="•"/>
      <w:lvlJc w:val="left"/>
      <w:pPr>
        <w:ind w:left="7016" w:hanging="483"/>
      </w:pPr>
      <w:rPr>
        <w:rFonts w:hint="default"/>
      </w:rPr>
    </w:lvl>
  </w:abstractNum>
  <w:abstractNum w:abstractNumId="0">
    <w:multiLevelType w:val="hybridMultilevel"/>
    <w:lvl w:ilvl="0">
      <w:start w:val="1"/>
      <w:numFmt w:val="decimal"/>
      <w:lvlText w:val="%1."/>
      <w:lvlJc w:val="left"/>
      <w:pPr>
        <w:ind w:left="393" w:hanging="284"/>
        <w:jc w:val="left"/>
      </w:pPr>
      <w:rPr>
        <w:rFonts w:hint="default" w:ascii="Swis721 Lt BT" w:hAnsi="Swis721 Lt BT" w:eastAsia="Swis721 Lt BT"/>
        <w:color w:val="231F20"/>
        <w:sz w:val="19"/>
        <w:szCs w:val="19"/>
      </w:rPr>
    </w:lvl>
    <w:lvl w:ilvl="1">
      <w:start w:val="1"/>
      <w:numFmt w:val="lowerLetter"/>
      <w:lvlText w:val="%2)"/>
      <w:lvlJc w:val="left"/>
      <w:pPr>
        <w:ind w:left="677" w:hanging="284"/>
        <w:jc w:val="left"/>
      </w:pPr>
      <w:rPr>
        <w:rFonts w:hint="default" w:ascii="Swis721 Lt BT" w:hAnsi="Swis721 Lt BT" w:eastAsia="Swis721 Lt BT"/>
        <w:color w:val="231F20"/>
        <w:sz w:val="19"/>
        <w:szCs w:val="19"/>
      </w:rPr>
    </w:lvl>
    <w:lvl w:ilvl="2">
      <w:start w:val="1"/>
      <w:numFmt w:val="bullet"/>
      <w:lvlText w:val="•"/>
      <w:lvlJc w:val="left"/>
      <w:pPr>
        <w:ind w:left="1510" w:hanging="284"/>
      </w:pPr>
      <w:rPr>
        <w:rFonts w:hint="default"/>
      </w:rPr>
    </w:lvl>
    <w:lvl w:ilvl="3">
      <w:start w:val="1"/>
      <w:numFmt w:val="bullet"/>
      <w:lvlText w:val="•"/>
      <w:lvlJc w:val="left"/>
      <w:pPr>
        <w:ind w:left="2344" w:hanging="284"/>
      </w:pPr>
      <w:rPr>
        <w:rFonts w:hint="default"/>
      </w:rPr>
    </w:lvl>
    <w:lvl w:ilvl="4">
      <w:start w:val="1"/>
      <w:numFmt w:val="bullet"/>
      <w:lvlText w:val="•"/>
      <w:lvlJc w:val="left"/>
      <w:pPr>
        <w:ind w:left="3177" w:hanging="284"/>
      </w:pPr>
      <w:rPr>
        <w:rFonts w:hint="default"/>
      </w:rPr>
    </w:lvl>
    <w:lvl w:ilvl="5">
      <w:start w:val="1"/>
      <w:numFmt w:val="bullet"/>
      <w:lvlText w:val="•"/>
      <w:lvlJc w:val="left"/>
      <w:pPr>
        <w:ind w:left="4010" w:hanging="284"/>
      </w:pPr>
      <w:rPr>
        <w:rFonts w:hint="default"/>
      </w:rPr>
    </w:lvl>
    <w:lvl w:ilvl="6">
      <w:start w:val="1"/>
      <w:numFmt w:val="bullet"/>
      <w:lvlText w:val="•"/>
      <w:lvlJc w:val="left"/>
      <w:pPr>
        <w:ind w:left="4844" w:hanging="284"/>
      </w:pPr>
      <w:rPr>
        <w:rFonts w:hint="default"/>
      </w:rPr>
    </w:lvl>
    <w:lvl w:ilvl="7">
      <w:start w:val="1"/>
      <w:numFmt w:val="bullet"/>
      <w:lvlText w:val="•"/>
      <w:lvlJc w:val="left"/>
      <w:pPr>
        <w:ind w:left="5677" w:hanging="284"/>
      </w:pPr>
      <w:rPr>
        <w:rFonts w:hint="default"/>
      </w:rPr>
    </w:lvl>
    <w:lvl w:ilvl="8">
      <w:start w:val="1"/>
      <w:numFmt w:val="bullet"/>
      <w:lvlText w:val="•"/>
      <w:lvlJc w:val="left"/>
      <w:pPr>
        <w:ind w:left="6511" w:hanging="284"/>
      </w:pPr>
      <w:rPr>
        <w:rFonts w:hint="default"/>
      </w:rPr>
    </w:lvl>
  </w:abstractNum>
  <w:num w:numId="3">
    <w:abstractNumId w:val="2"/>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208"/>
      <w:ind w:left="110"/>
    </w:pPr>
    <w:rPr>
      <w:rFonts w:ascii="Swis721 Md BT" w:hAnsi="Swis721 Md BT" w:eastAsia="Swis721 Md BT"/>
      <w:sz w:val="24"/>
      <w:szCs w:val="24"/>
    </w:rPr>
  </w:style>
  <w:style w:styleId="BodyText" w:type="paragraph">
    <w:name w:val="Body Text"/>
    <w:basedOn w:val="Normal"/>
    <w:uiPriority w:val="1"/>
    <w:qFormat/>
    <w:pPr>
      <w:spacing w:before="113"/>
      <w:ind w:left="110"/>
    </w:pPr>
    <w:rPr>
      <w:rFonts w:ascii="Swis721 Lt BT" w:hAnsi="Swis721 Lt BT" w:eastAsia="Swis721 Lt BT"/>
      <w:sz w:val="19"/>
      <w:szCs w:val="19"/>
    </w:rPr>
  </w:style>
  <w:style w:styleId="Heading1" w:type="paragraph">
    <w:name w:val="Heading 1"/>
    <w:basedOn w:val="Normal"/>
    <w:uiPriority w:val="1"/>
    <w:qFormat/>
    <w:pPr>
      <w:ind w:left="116"/>
      <w:outlineLvl w:val="1"/>
    </w:pPr>
    <w:rPr>
      <w:rFonts w:ascii="Swis721 Cn BT" w:hAnsi="Swis721 Cn BT" w:eastAsia="Swis721 Cn BT"/>
      <w:b/>
      <w:bCs/>
      <w:sz w:val="42"/>
      <w:szCs w:val="42"/>
    </w:rPr>
  </w:style>
  <w:style w:styleId="Heading2" w:type="paragraph">
    <w:name w:val="Heading 2"/>
    <w:basedOn w:val="Normal"/>
    <w:uiPriority w:val="1"/>
    <w:qFormat/>
    <w:pPr>
      <w:spacing w:before="36"/>
      <w:ind w:left="110"/>
      <w:outlineLvl w:val="2"/>
    </w:pPr>
    <w:rPr>
      <w:rFonts w:ascii="Swis721 BT" w:hAnsi="Swis721 BT" w:eastAsia="Swis721 BT"/>
      <w:b/>
      <w:bCs/>
      <w:sz w:val="40"/>
      <w:szCs w:val="40"/>
    </w:rPr>
  </w:style>
  <w:style w:styleId="Heading3" w:type="paragraph">
    <w:name w:val="Heading 3"/>
    <w:basedOn w:val="Normal"/>
    <w:uiPriority w:val="1"/>
    <w:qFormat/>
    <w:pPr>
      <w:spacing w:before="61"/>
      <w:ind w:left="428"/>
      <w:outlineLvl w:val="3"/>
    </w:pPr>
    <w:rPr>
      <w:rFonts w:ascii="Swis721 Cn BT" w:hAnsi="Swis721 Cn BT" w:eastAsia="Swis721 Cn BT"/>
      <w:sz w:val="34"/>
      <w:szCs w:val="34"/>
    </w:rPr>
  </w:style>
  <w:style w:styleId="Heading4" w:type="paragraph">
    <w:name w:val="Heading 4"/>
    <w:basedOn w:val="Normal"/>
    <w:uiPriority w:val="1"/>
    <w:qFormat/>
    <w:pPr>
      <w:ind w:left="103"/>
      <w:outlineLvl w:val="4"/>
    </w:pPr>
    <w:rPr>
      <w:rFonts w:ascii="Arial" w:hAnsi="Arial" w:eastAsia="Arial"/>
      <w:sz w:val="26"/>
      <w:szCs w:val="26"/>
    </w:rPr>
  </w:style>
  <w:style w:styleId="Heading5" w:type="paragraph">
    <w:name w:val="Heading 5"/>
    <w:basedOn w:val="Normal"/>
    <w:uiPriority w:val="1"/>
    <w:qFormat/>
    <w:pPr>
      <w:ind w:left="110"/>
      <w:outlineLvl w:val="5"/>
    </w:pPr>
    <w:rPr>
      <w:rFonts w:ascii="Swis721 BT" w:hAnsi="Swis721 BT" w:eastAsia="Swis721 BT"/>
      <w:b/>
      <w:bCs/>
      <w:sz w:val="24"/>
      <w:szCs w:val="24"/>
    </w:rPr>
  </w:style>
  <w:style w:styleId="Heading6" w:type="paragraph">
    <w:name w:val="Heading 6"/>
    <w:basedOn w:val="Normal"/>
    <w:uiPriority w:val="1"/>
    <w:qFormat/>
    <w:pPr>
      <w:ind w:left="850"/>
      <w:outlineLvl w:val="6"/>
    </w:pPr>
    <w:rPr>
      <w:rFonts w:ascii="Swis721 Lt BT" w:hAnsi="Swis721 Lt BT" w:eastAsia="Swis721 Lt BT"/>
      <w:sz w:val="24"/>
      <w:szCs w:val="24"/>
    </w:rPr>
  </w:style>
  <w:style w:styleId="Heading7" w:type="paragraph">
    <w:name w:val="Heading 7"/>
    <w:basedOn w:val="Normal"/>
    <w:uiPriority w:val="1"/>
    <w:qFormat/>
    <w:pPr>
      <w:spacing w:before="65"/>
      <w:ind w:left="2557"/>
      <w:outlineLvl w:val="7"/>
    </w:pPr>
    <w:rPr>
      <w:rFonts w:ascii="Swis721 BT" w:hAnsi="Swis721 BT" w:eastAsia="Swis721 BT"/>
      <w:b/>
      <w:bCs/>
      <w:sz w:val="22"/>
      <w:szCs w:val="22"/>
    </w:rPr>
  </w:style>
  <w:style w:styleId="Heading8" w:type="paragraph">
    <w:name w:val="Heading 8"/>
    <w:basedOn w:val="Normal"/>
    <w:uiPriority w:val="1"/>
    <w:qFormat/>
    <w:pPr>
      <w:spacing w:before="127"/>
      <w:ind w:left="110"/>
      <w:outlineLvl w:val="8"/>
    </w:pPr>
    <w:rPr>
      <w:rFonts w:ascii="Swis721 Md BT" w:hAnsi="Swis721 Md BT" w:eastAsia="Swis721 Md BT"/>
      <w:sz w:val="22"/>
      <w:szCs w:val="22"/>
    </w:rPr>
  </w:style>
  <w:style w:styleId="Heading9" w:type="paragraph">
    <w:name w:val="Heading 9"/>
    <w:basedOn w:val="Normal"/>
    <w:uiPriority w:val="1"/>
    <w:qFormat/>
    <w:pPr>
      <w:ind w:left="170"/>
      <w:outlineLvl w:val="9"/>
    </w:pPr>
    <w:rPr>
      <w:rFonts w:ascii="Swis721 BT" w:hAnsi="Swis721 BT" w:eastAsia="Swis721 BT"/>
      <w:b/>
      <w:bCs/>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www.aitsl.edu.au/" TargetMode="External"/><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mailto:info@aitsl.edu.au"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10.jpeg"/><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footer" Target="footer5.xml"/><Relationship Id="rId24" Type="http://schemas.openxmlformats.org/officeDocument/2006/relationships/footer" Target="footer6.xml"/><Relationship Id="rId25" Type="http://schemas.openxmlformats.org/officeDocument/2006/relationships/image" Target="media/image14.png"/><Relationship Id="rId26" Type="http://schemas.openxmlformats.org/officeDocument/2006/relationships/footer" Target="footer7.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footer" Target="footer10.xml"/><Relationship Id="rId30" Type="http://schemas.openxmlformats.org/officeDocument/2006/relationships/image" Target="media/image15.png"/><Relationship Id="rId31" Type="http://schemas.openxmlformats.org/officeDocument/2006/relationships/footer" Target="footer11.xml"/><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footer" Target="footer12.xml"/><Relationship Id="rId35" Type="http://schemas.openxmlformats.org/officeDocument/2006/relationships/footer" Target="footer13.xml"/><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jpeg"/><Relationship Id="rId49" Type="http://schemas.openxmlformats.org/officeDocument/2006/relationships/footer" Target="footer14.xml"/><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footer" Target="footer15.xml"/><Relationship Id="rId55" Type="http://schemas.openxmlformats.org/officeDocument/2006/relationships/footer" Target="footer16.xml"/><Relationship Id="rId56" Type="http://schemas.openxmlformats.org/officeDocument/2006/relationships/image" Target="media/image35.jpeg"/><Relationship Id="rId57" Type="http://schemas.openxmlformats.org/officeDocument/2006/relationships/image" Target="media/image36.jpeg"/><Relationship Id="rId58" Type="http://schemas.openxmlformats.org/officeDocument/2006/relationships/image" Target="media/image37.jpeg"/><Relationship Id="rId59" Type="http://schemas.openxmlformats.org/officeDocument/2006/relationships/footer" Target="footer17.xml"/><Relationship Id="rId60" Type="http://schemas.openxmlformats.org/officeDocument/2006/relationships/footer" Target="footer18.xml"/><Relationship Id="rId61" Type="http://schemas.openxmlformats.org/officeDocument/2006/relationships/footer" Target="footer19.xml"/><Relationship Id="rId62" Type="http://schemas.openxmlformats.org/officeDocument/2006/relationships/image" Target="media/image38.jpeg"/><Relationship Id="rId63" Type="http://schemas.openxmlformats.org/officeDocument/2006/relationships/image" Target="media/image39.jpeg"/><Relationship Id="rId64" Type="http://schemas.openxmlformats.org/officeDocument/2006/relationships/image" Target="media/image40.jpeg"/><Relationship Id="rId65" Type="http://schemas.openxmlformats.org/officeDocument/2006/relationships/image" Target="media/image41.jpeg"/><Relationship Id="rId66" Type="http://schemas.openxmlformats.org/officeDocument/2006/relationships/image" Target="media/image42.jpeg"/><Relationship Id="rId67" Type="http://schemas.openxmlformats.org/officeDocument/2006/relationships/image" Target="media/image43.jpeg"/><Relationship Id="rId68" Type="http://schemas.openxmlformats.org/officeDocument/2006/relationships/image" Target="media/image44.jpeg"/><Relationship Id="rId69" Type="http://schemas.openxmlformats.org/officeDocument/2006/relationships/image" Target="media/image45.jpeg"/><Relationship Id="rId70" Type="http://schemas.openxmlformats.org/officeDocument/2006/relationships/image" Target="media/image46.jpeg"/><Relationship Id="rId71" Type="http://schemas.openxmlformats.org/officeDocument/2006/relationships/image" Target="media/image47.jpeg"/><Relationship Id="rId72" Type="http://schemas.openxmlformats.org/officeDocument/2006/relationships/image" Target="media/image48.jpeg"/><Relationship Id="rId73" Type="http://schemas.openxmlformats.org/officeDocument/2006/relationships/footer" Target="footer20.xml"/><Relationship Id="rId74" Type="http://schemas.openxmlformats.org/officeDocument/2006/relationships/footer" Target="footer21.xml"/><Relationship Id="rId75" Type="http://schemas.openxmlformats.org/officeDocument/2006/relationships/footer" Target="footer22.xml"/><Relationship Id="rId76" Type="http://schemas.openxmlformats.org/officeDocument/2006/relationships/image" Target="media/image49.png"/><Relationship Id="rId77" Type="http://schemas.openxmlformats.org/officeDocument/2006/relationships/image" Target="media/image50.jpeg"/><Relationship Id="rId78" Type="http://schemas.openxmlformats.org/officeDocument/2006/relationships/footer" Target="footer23.xml"/><Relationship Id="rId79" Type="http://schemas.openxmlformats.org/officeDocument/2006/relationships/footer" Target="footer24.xml"/><Relationship Id="rId80" Type="http://schemas.openxmlformats.org/officeDocument/2006/relationships/image" Target="media/image51.jpeg"/><Relationship Id="rId81" Type="http://schemas.openxmlformats.org/officeDocument/2006/relationships/image" Target="media/image52.png"/><Relationship Id="rId82" Type="http://schemas.openxmlformats.org/officeDocument/2006/relationships/image" Target="media/image53.png"/><Relationship Id="rId83" Type="http://schemas.openxmlformats.org/officeDocument/2006/relationships/footer" Target="footer25.xml"/><Relationship Id="rId84" Type="http://schemas.openxmlformats.org/officeDocument/2006/relationships/image" Target="media/image54.png"/><Relationship Id="rId85" Type="http://schemas.openxmlformats.org/officeDocument/2006/relationships/image" Target="media/image55.png"/><Relationship Id="rId86" Type="http://schemas.openxmlformats.org/officeDocument/2006/relationships/footer" Target="footer26.xml"/><Relationship Id="rId87" Type="http://schemas.openxmlformats.org/officeDocument/2006/relationships/image" Target="media/image56.jpeg"/><Relationship Id="rId88" Type="http://schemas.openxmlformats.org/officeDocument/2006/relationships/image" Target="media/image57.jpeg"/><Relationship Id="rId89" Type="http://schemas.openxmlformats.org/officeDocument/2006/relationships/footer" Target="footer27.xml"/><Relationship Id="rId90" Type="http://schemas.openxmlformats.org/officeDocument/2006/relationships/footer" Target="footer28.xml"/><Relationship Id="rId91" Type="http://schemas.openxmlformats.org/officeDocument/2006/relationships/footer" Target="footer29.xml"/><Relationship Id="rId92" Type="http://schemas.openxmlformats.org/officeDocument/2006/relationships/footer" Target="footer30.xml"/><Relationship Id="rId93" Type="http://schemas.openxmlformats.org/officeDocument/2006/relationships/footer" Target="footer31.xml"/><Relationship Id="rId94" Type="http://schemas.openxmlformats.org/officeDocument/2006/relationships/footer" Target="footer32.xml"/><Relationship Id="rId95" Type="http://schemas.openxmlformats.org/officeDocument/2006/relationships/image" Target="media/image58.png"/><Relationship Id="rId96" Type="http://schemas.openxmlformats.org/officeDocument/2006/relationships/image" Target="media/image59.png"/><Relationship Id="rId97" Type="http://schemas.openxmlformats.org/officeDocument/2006/relationships/image" Target="media/image60.png"/><Relationship Id="rId98" Type="http://schemas.openxmlformats.org/officeDocument/2006/relationships/image" Target="media/image61.png"/><Relationship Id="rId99" Type="http://schemas.openxmlformats.org/officeDocument/2006/relationships/numbering" Target="numbering.xml"/></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2019-10-29T12:22:23Z</dcterms:created>
  <dcterms:modified xsi:type="dcterms:W3CDTF">2019-10-29T12:22:23Z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2019-10-25T00:00:00Z</vt:filetime>
  </property>
  <property fmtid="{D5CDD505-2E9C-101B-9397-08002B2CF9AE}" pid="3" name="LastSaved">
    <vt:filetime>2019-10-29T00:00:00Z</vt:filetime>
  </property>
</Properties>
</file>